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C4C" w:rsidRPr="00336C4C" w:rsidRDefault="00336C4C" w:rsidP="00336C4C">
      <w:pPr>
        <w:jc w:val="center"/>
        <w:rPr>
          <w:b/>
        </w:rPr>
      </w:pPr>
      <w:r w:rsidRPr="00336C4C">
        <w:rPr>
          <w:b/>
        </w:rPr>
        <w:t>ABSTRACT</w:t>
      </w:r>
    </w:p>
    <w:p w:rsidR="00C31562" w:rsidRDefault="00336C4C" w:rsidP="00336C4C">
      <w:r>
        <w:t xml:space="preserve">Beta thalassemia major is a fatal genetic blood disorder that gets transferred from parents to their next generation while the parents being only carriers doesn’t face any clinical complications. But the thalassemia major patients remain blood transfusion dependent throughout their life and that becomes a reason of oxidative stress in their body leading towards more complications. These clinical complications need to be monitored regularly in order to refrain from further problems and early death of patient. Blood samples of patients were collected for DNA isolation and biochemical profiling. Primers were designed using Primer3plus and verified by in-silico PCR. The secondary structures of proteins were obtained via Psipred by using obtained sequences of samples. TrRosetta software was used to predict the 3D structure of amplified protein and AutoDockvina was used to predict the interactions between protein and ligands i.e. Folic acid and vitamin D3. A total of 91 beta thalassemia major patients were included in this study. Basic demographic details along their biochemical profiles were collected from patients and Fatimid Foundation. Statistical analysis showed that there is statistically non-significant correlation between the levels of ALT, AST, ALP and Hb i.e. p= 0.149, p= -0.161 and p= 0.062 respectively. The primer for 3rd exon of beta globin gene was used to amplify the selected exonic regions. The predicted secondary structures obtained by Psipred were used to compare the helix and coils of mutant protein with wild and it showed significant differences. The predicted secondary 3D structures obtained by trRosetta were used to check molecular interaction between beta globin and ligands. The molecular interaction between folic acid and beta globin gene showed the affinity of -4.4 kcal/mol and the interaction of vitamin D3 and beta globin showed the affinity of -4.6 kcal/mol. These interactions show very weak binding between the ligand and protein which confirms that the health complications faced by beta thalassemia major patients aren’t sufficiently dealt by using these supplements. This study is an </w:t>
      </w:r>
      <w:r w:rsidRPr="00336C4C">
        <w:t>attempt to understand the health complications faced by beta thalassemia patients and the results</w:t>
      </w:r>
      <w:r>
        <w:t xml:space="preserve"> can be used for designing personalized drugs for the patients. </w:t>
      </w:r>
    </w:p>
    <w:p w:rsidR="00C95FD7" w:rsidRDefault="00336C4C" w:rsidP="00336C4C">
      <w:r w:rsidRPr="00336C4C">
        <w:rPr>
          <w:b/>
        </w:rPr>
        <w:t xml:space="preserve">Keywords: </w:t>
      </w:r>
      <w:r>
        <w:t xml:space="preserve">Beta thalassemia, </w:t>
      </w:r>
      <w:r>
        <w:rPr>
          <w:rFonts w:ascii="Cambria Math" w:hAnsi="Cambria Math"/>
        </w:rPr>
        <w:t>β</w:t>
      </w:r>
      <w:r>
        <w:t xml:space="preserve">-globin, biochemical profiling, molecular characterization </w:t>
      </w:r>
    </w:p>
    <w:p w:rsidR="00C95FD7" w:rsidRDefault="00C95FD7">
      <w:pPr>
        <w:spacing w:line="259" w:lineRule="auto"/>
        <w:jc w:val="left"/>
      </w:pPr>
      <w:r>
        <w:br w:type="page"/>
      </w:r>
    </w:p>
    <w:p w:rsidR="00C95FD7" w:rsidRDefault="00C95FD7" w:rsidP="00C95FD7">
      <w:pPr>
        <w:pStyle w:val="Heading1"/>
      </w:pPr>
      <w:r>
        <w:lastRenderedPageBreak/>
        <w:t xml:space="preserve">Introduction </w:t>
      </w:r>
    </w:p>
    <w:p w:rsidR="00C95FD7" w:rsidRPr="006D22BD" w:rsidRDefault="00C95FD7" w:rsidP="00C95FD7">
      <w:pPr>
        <w:spacing w:line="480" w:lineRule="auto"/>
        <w:rPr>
          <w:rFonts w:cs="Times New Roman"/>
        </w:rPr>
      </w:pPr>
      <w:r w:rsidRPr="006D22BD">
        <w:rPr>
          <w:rFonts w:cs="Times New Roman"/>
        </w:rPr>
        <w:t xml:space="preserve">Beta thalassemia is known for chronic hemolytic anemia occurring as a result of defect in beta globin chain. It is a recessive autosomal blood disorder inherited from parents to children. Beta thalassemia is caused by quantitative defect in hemoglobin resulting in reduction of production of beta chain or in complete absence of beta globin chain. The deficiency or absence of beta chains result in severe anemia and the patient becomes completely dependent upon blood transfusions and management therapies. Regular blood transfusions and therapeutic management can result in more complications and infections, adding more to the suffering of a patient </w:t>
      </w:r>
      <w:r w:rsidRPr="006D22BD">
        <w:rPr>
          <w:rFonts w:cs="Times New Roman"/>
        </w:rPr>
        <w:fldChar w:fldCharType="begin"/>
      </w:r>
      <w:r w:rsidRPr="006D22BD">
        <w:rPr>
          <w:rFonts w:cs="Times New Roman"/>
        </w:rPr>
        <w:instrText xml:space="preserve"> ADDIN EN.CITE &lt;EndNote&gt;&lt;Cite&gt;&lt;Author&gt;Maheri&lt;/Author&gt;&lt;Year&gt;2018&lt;/Year&gt;&lt;RecNum&gt;21&lt;/RecNum&gt;&lt;DisplayText&gt;(Maheri, Sadeghi et al. 2018)&lt;/DisplayText&gt;&lt;record&gt;&lt;rec-number&gt;21&lt;/rec-number&gt;&lt;foreign-keys&gt;&lt;key app="EN" db-id="w5d5teax5wtseretf5qxsswaawx9zard5xae" timestamp="1628656195"&gt;21&lt;/key&gt;&lt;/foreign-keys&gt;&lt;ref-type name="Journal Article"&gt;17&lt;/ref-type&gt;&lt;contributors&gt;&lt;authors&gt;&lt;author&gt;Maheri, Aghbabak&lt;/author&gt;&lt;author&gt;Sadeghi, Roya&lt;/author&gt;&lt;author&gt;Shojaeizadeh, Davoud&lt;/author&gt;&lt;author&gt;Tol, Azar&lt;/author&gt;&lt;author&gt;Yaseri, Mehdi&lt;/author&gt;&lt;author&gt;Rohban, Alireza&lt;/author&gt;&lt;/authors&gt;&lt;/contributors&gt;&lt;titles&gt;&lt;title&gt;Depression, anxiety, and perceived social support among adults with beta-thalassemia major: cross-sectional study&lt;/title&gt;&lt;secondary-title&gt;Korean journal of family medicine&lt;/secondary-title&gt;&lt;/titles&gt;&lt;periodical&gt;&lt;full-title&gt;Korean journal of family medicine&lt;/full-title&gt;&lt;/periodical&gt;&lt;pages&gt;101&lt;/pages&gt;&lt;volume&gt;39&lt;/volume&gt;&lt;number&gt;2&lt;/number&gt;&lt;dates&gt;&lt;year&gt;2018&lt;/year&gt;&lt;/dates&gt;&lt;urls&gt;&lt;/urls&gt;&lt;/record&gt;&lt;/Cite&gt;&lt;/EndNote&gt;</w:instrText>
      </w:r>
      <w:r w:rsidRPr="006D22BD">
        <w:rPr>
          <w:rFonts w:cs="Times New Roman"/>
        </w:rPr>
        <w:fldChar w:fldCharType="separate"/>
      </w:r>
      <w:r w:rsidRPr="006D22BD">
        <w:rPr>
          <w:rFonts w:cs="Times New Roman"/>
          <w:noProof/>
        </w:rPr>
        <w:t>(</w:t>
      </w:r>
      <w:hyperlink w:anchor="_ENREF_39" w:tooltip="Maheri, 2018 #21" w:history="1">
        <w:r w:rsidRPr="006D22BD">
          <w:rPr>
            <w:rFonts w:cs="Times New Roman"/>
            <w:noProof/>
          </w:rPr>
          <w:t>Maheri, Sadeghi et al. 2018</w:t>
        </w:r>
      </w:hyperlink>
      <w:r w:rsidRPr="006D22BD">
        <w:rPr>
          <w:rFonts w:cs="Times New Roman"/>
          <w:noProof/>
        </w:rPr>
        <w:t>)</w:t>
      </w:r>
      <w:r w:rsidRPr="006D22BD">
        <w:rPr>
          <w:rFonts w:cs="Times New Roman"/>
        </w:rPr>
        <w:fldChar w:fldCharType="end"/>
      </w:r>
      <w:r w:rsidRPr="006D22BD">
        <w:rPr>
          <w:rFonts w:cs="Times New Roman"/>
        </w:rPr>
        <w:t xml:space="preserve">. Beta thalassemia is caused due to several mutations affecting the transcriptional control, splicing and translation of HBB gene. The disease severity depends upon the inheritance of beta globin gene, one on each chromosome 11, that’s why its categorized under heterogeneous pool of genetic diseases </w:t>
      </w:r>
      <w:r w:rsidRPr="006D22BD">
        <w:rPr>
          <w:rFonts w:cs="Times New Roman"/>
        </w:rPr>
        <w:fldChar w:fldCharType="begin"/>
      </w:r>
      <w:r w:rsidRPr="006D22BD">
        <w:rPr>
          <w:rFonts w:cs="Times New Roman"/>
        </w:rPr>
        <w:instrText xml:space="preserve"> ADDIN EN.CITE &lt;EndNote&gt;&lt;Cite&gt;&lt;Author&gt;Needs&lt;/Author&gt;&lt;Year&gt;2020&lt;/Year&gt;&lt;RecNum&gt;22&lt;/RecNum&gt;&lt;DisplayText&gt;(Needs, Gonzalez-Mosquera et al. 2020)&lt;/DisplayText&gt;&lt;record&gt;&lt;rec-number&gt;22&lt;/rec-number&gt;&lt;foreign-keys&gt;&lt;key app="EN" db-id="w5d5teax5wtseretf5qxsswaawx9zard5xae" timestamp="1628662443"&gt;22&lt;/key&gt;&lt;/foreign-keys&gt;&lt;ref-type name="Journal Article"&gt;17&lt;/ref-type&gt;&lt;contributors&gt;&lt;authors&gt;&lt;author&gt;Needs, Todd&lt;/author&gt;&lt;author&gt;Gonzalez-Mosquera, Luis F&lt;/author&gt;&lt;author&gt;Lynch, David T&lt;/author&gt;&lt;/authors&gt;&lt;/contributors&gt;&lt;titles&gt;&lt;title&gt;Beta thalassemia&lt;/title&gt;&lt;secondary-title&gt;StatPearls [Internet]&lt;/secondary-title&gt;&lt;/titles&gt;&lt;periodical&gt;&lt;full-title&gt;StatPearls [Internet]&lt;/full-title&gt;&lt;/periodical&gt;&lt;dates&gt;&lt;year&gt;2020&lt;/year&gt;&lt;/dates&gt;&lt;urls&gt;&lt;/urls&gt;&lt;/record&gt;&lt;/Cite&gt;&lt;/EndNote&gt;</w:instrText>
      </w:r>
      <w:r w:rsidRPr="006D22BD">
        <w:rPr>
          <w:rFonts w:cs="Times New Roman"/>
        </w:rPr>
        <w:fldChar w:fldCharType="separate"/>
      </w:r>
      <w:r w:rsidRPr="006D22BD">
        <w:rPr>
          <w:rFonts w:cs="Times New Roman"/>
          <w:noProof/>
        </w:rPr>
        <w:t>(</w:t>
      </w:r>
      <w:hyperlink w:anchor="_ENREF_42" w:tooltip="Needs, 2020 #22" w:history="1">
        <w:r w:rsidRPr="006D22BD">
          <w:rPr>
            <w:rFonts w:cs="Times New Roman"/>
            <w:noProof/>
          </w:rPr>
          <w:t>Needs, Gonzalez-Mosquera et al. 2020</w:t>
        </w:r>
      </w:hyperlink>
      <w:r w:rsidRPr="006D22BD">
        <w:rPr>
          <w:rFonts w:cs="Times New Roman"/>
          <w:noProof/>
        </w:rPr>
        <w:t>)</w:t>
      </w:r>
      <w:r w:rsidRPr="006D22BD">
        <w:rPr>
          <w:rFonts w:cs="Times New Roman"/>
        </w:rPr>
        <w:fldChar w:fldCharType="end"/>
      </w:r>
      <w:r w:rsidRPr="006D22BD">
        <w:rPr>
          <w:rFonts w:cs="Times New Roman"/>
        </w:rPr>
        <w:t xml:space="preserve">. </w:t>
      </w:r>
    </w:p>
    <w:p w:rsidR="00C95FD7" w:rsidRPr="006D22BD" w:rsidRDefault="00C95FD7" w:rsidP="00C95FD7">
      <w:pPr>
        <w:spacing w:line="480" w:lineRule="auto"/>
        <w:rPr>
          <w:rFonts w:cs="Times New Roman"/>
          <w:szCs w:val="24"/>
        </w:rPr>
      </w:pPr>
      <w:r w:rsidRPr="006D22BD">
        <w:rPr>
          <w:rFonts w:cs="Times New Roman"/>
          <w:szCs w:val="24"/>
        </w:rPr>
        <w:t>It is characterized by severe anemia and body’s inability to produce appropriate Hemoglobin</w:t>
      </w:r>
      <w:r>
        <w:rPr>
          <w:rFonts w:cs="Times New Roman"/>
          <w:szCs w:val="24"/>
        </w:rPr>
        <w:t xml:space="preserve">. It is </w:t>
      </w:r>
      <w:r w:rsidRPr="006D22BD">
        <w:rPr>
          <w:rFonts w:cs="Times New Roman"/>
          <w:szCs w:val="24"/>
        </w:rPr>
        <w:t xml:space="preserve">linked to 200-point mutations in the beta chains of globin. There are three further classifications of beta thalassemia based upon clinical severity and genetics i.e. Beta thalassemia major, beta thalassemia minor and intermedia. Beta thalassemia major is a homozygous condition which is clinically affected and the person suffering from beta thalassemia major needs periodic blood transfusions throughout their life </w:t>
      </w:r>
      <w:r w:rsidRPr="006D22BD">
        <w:rPr>
          <w:rFonts w:cs="Times New Roman"/>
          <w:szCs w:val="24"/>
        </w:rPr>
        <w:fldChar w:fldCharType="begin"/>
      </w:r>
      <w:r w:rsidRPr="006D22BD">
        <w:rPr>
          <w:rFonts w:cs="Times New Roman"/>
          <w:szCs w:val="24"/>
        </w:rPr>
        <w:instrText xml:space="preserve"> ADDIN EN.CITE &lt;EndNote&gt;&lt;Cite&gt;&lt;Author&gt;Fibach&lt;/Author&gt;&lt;Year&gt;2017&lt;/Year&gt;&lt;RecNum&gt;4&lt;/RecNum&gt;&lt;DisplayText&gt;(Fibach and Rachmilewitz 2017)&lt;/DisplayText&gt;&lt;record&gt;&lt;rec-number&gt;4&lt;/rec-number&gt;&lt;foreign-keys&gt;&lt;key app="EN" db-id="wv99zxs225v25vexfxhpxxtkx0vpredpr5zs" timestamp="1624597414"&gt;4&lt;/key&gt;&lt;/foreign-keys&gt;&lt;ref-type name="Journal Article"&gt;17&lt;/ref-type&gt;&lt;contributors&gt;&lt;authors&gt;&lt;author&gt;Fibach, Eitan&lt;/author&gt;&lt;author&gt;Rachmilewitz, Eliezer A %J FResearch&lt;/author&gt;&lt;/authors&gt;&lt;/contributors&gt;&lt;titles&gt;&lt;title&gt;Pathophysiology and treatment of patients with beta-thalassemia–an update&lt;/title&gt;&lt;/titles&gt;&lt;volume&gt;6&lt;/volume&gt;&lt;dates&gt;&lt;year&gt;2017&lt;/year&gt;&lt;/dates&gt;&lt;urls&gt;&lt;/urls&gt;&lt;/record&gt;&lt;/Cite&gt;&lt;/EndNote&gt;</w:instrText>
      </w:r>
      <w:r w:rsidRPr="006D22BD">
        <w:rPr>
          <w:rFonts w:cs="Times New Roman"/>
          <w:szCs w:val="24"/>
        </w:rPr>
        <w:fldChar w:fldCharType="separate"/>
      </w:r>
      <w:r w:rsidRPr="006D22BD">
        <w:rPr>
          <w:rFonts w:cs="Times New Roman"/>
          <w:noProof/>
          <w:szCs w:val="24"/>
        </w:rPr>
        <w:t>(</w:t>
      </w:r>
      <w:hyperlink w:anchor="_ENREF_25" w:tooltip="Fibach, 2017 #4" w:history="1">
        <w:r w:rsidRPr="006D22BD">
          <w:rPr>
            <w:rFonts w:cs="Times New Roman"/>
            <w:noProof/>
            <w:szCs w:val="24"/>
          </w:rPr>
          <w:t>Fibach and Rachmilewitz 2017</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Beta thalassemia minor is a heterozygous condition where the patient doesn’t need blood transfusions or clinical management but they be a carrier for the upcoming generation if married to another thalassemia minor. If both male and female of the couple is having autosomal recessive condition, they have one in four chances of having an affected child with beta thalassemia major who will need continuous blood transfusions for life. While if only one member of the couple is having recessive condition, none of their offspring will have beta thalassemia major condition but they can carry the recessive condition as one of their parents. While thalassemia intermedia is a condition in which the patient may or may not need blood transfusions or the duration of blood transfusions can be longer than even a year, so consequently the chances of occurrence of more complications in thalassemia intermedia are lesser than thalassemia major. </w:t>
      </w:r>
      <w:r w:rsidRPr="006D22BD">
        <w:rPr>
          <w:rFonts w:cs="Times New Roman"/>
          <w:szCs w:val="24"/>
        </w:rPr>
        <w:fldChar w:fldCharType="begin"/>
      </w:r>
      <w:r w:rsidRPr="006D22BD">
        <w:rPr>
          <w:rFonts w:cs="Times New Roman"/>
          <w:szCs w:val="24"/>
        </w:rPr>
        <w:instrText xml:space="preserve"> ADDIN EN.CITE &lt;EndNote&gt;&lt;Cite&gt;&lt;Author&gt;Needs&lt;/Author&gt;&lt;Year&gt;2020&lt;/Year&gt;&lt;RecNum&gt;5&lt;/RecNum&gt;&lt;DisplayText&gt;(Needs, Gonzalez-Mosquera et al. 2020)&lt;/DisplayText&gt;&lt;record&gt;&lt;rec-number&gt;5&lt;/rec-number&gt;&lt;foreign-keys&gt;&lt;key app="EN" db-id="wv99zxs225v25vexfxhpxxtkx0vpredpr5zs" timestamp="1624597560"&gt;5&lt;/key&gt;&lt;/foreign-keys&gt;&lt;ref-type name="Journal Article"&gt;17&lt;/ref-type&gt;&lt;contributors&gt;&lt;authors&gt;&lt;author&gt;Needs, Todd&lt;/author&gt;&lt;author&gt;Gonzalez-Mosquera, Luis F&lt;/author&gt;&lt;author&gt;Lynch, David T %J StatPearls&lt;/author&gt;&lt;/authors&gt;&lt;/contributors&gt;&lt;titles&gt;&lt;title&gt;Beta thalassemia&lt;/title&gt;&lt;/titles&gt;&lt;dates&gt;&lt;year&gt;2020&lt;/year&gt;&lt;/dates&gt;&lt;urls&gt;&lt;/urls&gt;&lt;/record&gt;&lt;/Cite&gt;&lt;/EndNote&gt;</w:instrText>
      </w:r>
      <w:r w:rsidRPr="006D22BD">
        <w:rPr>
          <w:rFonts w:cs="Times New Roman"/>
          <w:szCs w:val="24"/>
        </w:rPr>
        <w:fldChar w:fldCharType="separate"/>
      </w:r>
      <w:r w:rsidRPr="006D22BD">
        <w:rPr>
          <w:rFonts w:cs="Times New Roman"/>
          <w:noProof/>
          <w:szCs w:val="24"/>
        </w:rPr>
        <w:t>(</w:t>
      </w:r>
      <w:hyperlink w:anchor="_ENREF_43" w:tooltip="Needs, 2020 #5" w:history="1">
        <w:r w:rsidRPr="006D22BD">
          <w:rPr>
            <w:rFonts w:cs="Times New Roman"/>
            <w:noProof/>
            <w:szCs w:val="24"/>
          </w:rPr>
          <w:t>Needs, Gonzalez-Mosquera et al. 2020</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w:t>
      </w:r>
    </w:p>
    <w:p w:rsidR="00C95FD7" w:rsidRPr="006D22BD" w:rsidRDefault="00C95FD7" w:rsidP="00C95FD7">
      <w:pPr>
        <w:spacing w:line="480" w:lineRule="auto"/>
        <w:rPr>
          <w:rFonts w:cs="Times New Roman"/>
          <w:szCs w:val="24"/>
        </w:rPr>
      </w:pPr>
      <w:r w:rsidRPr="006D22BD">
        <w:rPr>
          <w:rFonts w:cs="Times New Roman"/>
          <w:szCs w:val="24"/>
        </w:rPr>
        <w:t>The patients of beta thalassemia major usually doesn’t have access to safe and healthy blood transfusions. In most countries there are no such policies or</w:t>
      </w:r>
      <w:r>
        <w:rPr>
          <w:rFonts w:cs="Times New Roman"/>
          <w:szCs w:val="24"/>
        </w:rPr>
        <w:t xml:space="preserve"> medical </w:t>
      </w:r>
      <w:r w:rsidRPr="006D22BD">
        <w:rPr>
          <w:rFonts w:cs="Times New Roman"/>
          <w:szCs w:val="24"/>
        </w:rPr>
        <w:t xml:space="preserve">regulations for blood donors which lead to unsafe blood donation and putting the life of donor and recipient at risk. Mostly the patients are transfused un-screened blood that becomes the reason of viral infections in them. Consequently, patients face cardiac failure, kidney and liver disorders. Better and improved services can increase the life expectancy of patients </w:t>
      </w:r>
      <w:r w:rsidRPr="006D22BD">
        <w:rPr>
          <w:rFonts w:cs="Times New Roman"/>
          <w:szCs w:val="24"/>
        </w:rPr>
        <w:fldChar w:fldCharType="begin"/>
      </w:r>
      <w:r w:rsidRPr="006D22BD">
        <w:rPr>
          <w:rFonts w:cs="Times New Roman"/>
          <w:szCs w:val="24"/>
        </w:rPr>
        <w:instrText xml:space="preserve"> ADDIN EN.CITE &lt;EndNote&gt;&lt;Cite&gt;&lt;Author&gt;Shah&lt;/Author&gt;&lt;Year&gt;2019&lt;/Year&gt;&lt;RecNum&gt;25&lt;/RecNum&gt;&lt;DisplayText&gt;(Shah, Sayani et al. 2019)&lt;/DisplayText&gt;&lt;record&gt;&lt;rec-number&gt;25&lt;/rec-number&gt;&lt;foreign-keys&gt;&lt;key app="EN" db-id="w5d5teax5wtseretf5qxsswaawx9zard5xae" timestamp="1628823942"&gt;25&lt;/key&gt;&lt;/foreign-keys&gt;&lt;ref-type name="Journal Article"&gt;17&lt;/ref-type&gt;&lt;contributors&gt;&lt;authors&gt;&lt;author&gt;Shah, Farrukh T&lt;/author&gt;&lt;author&gt;Sayani, Farzana&lt;/author&gt;&lt;author&gt;Trompeter, Sara&lt;/author&gt;&lt;author&gt;Drasar, Emma&lt;/author&gt;&lt;author&gt;Piga, Antonio&lt;/author&gt;&lt;/authors&gt;&lt;/contributors&gt;&lt;titles&gt;&lt;title&gt;Challenges of blood transfusions in β-thalassemia&lt;/title&gt;&lt;secondary-title&gt;Blood reviews&lt;/secondary-title&gt;&lt;/titles&gt;&lt;periodical&gt;&lt;full-title&gt;Blood reviews&lt;/full-title&gt;&lt;/periodical&gt;&lt;pages&gt;100588&lt;/pages&gt;&lt;volume&gt;37&lt;/volume&gt;&lt;dates&gt;&lt;year&gt;2019&lt;/year&gt;&lt;/dates&gt;&lt;isbn&gt;0268-960X&lt;/isbn&gt;&lt;urls&gt;&lt;/urls&gt;&lt;/record&gt;&lt;/Cite&gt;&lt;/EndNote&gt;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50" w:tooltip="Shah, 2019 #25" w:history="1">
        <w:r w:rsidRPr="006D22BD">
          <w:rPr>
            <w:rFonts w:cs="Times New Roman"/>
            <w:noProof/>
            <w:szCs w:val="24"/>
          </w:rPr>
          <w:t>Shah, Sayani et al. 2019</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Patients of beta thalassemia major have shown significantly lower life quality </w:t>
      </w:r>
      <w:r w:rsidRPr="006D22BD">
        <w:rPr>
          <w:rFonts w:cs="Times New Roman"/>
          <w:szCs w:val="24"/>
        </w:rPr>
        <w:fldChar w:fldCharType="begin"/>
      </w:r>
      <w:r w:rsidRPr="006D22BD">
        <w:rPr>
          <w:rFonts w:cs="Times New Roman"/>
          <w:szCs w:val="24"/>
        </w:rPr>
        <w:instrText xml:space="preserve"> ADDIN EN.CITE &lt;EndNote&gt;&lt;Cite&gt;&lt;Author&gt;Ismail&lt;/Author&gt;&lt;Year&gt;2018&lt;/Year&gt;&lt;RecNum&gt;26&lt;/RecNum&gt;&lt;DisplayText&gt;(Ismail, El-Tagui et al. 2018)&lt;/DisplayText&gt;&lt;record&gt;&lt;rec-number&gt;26&lt;/rec-number&gt;&lt;foreign-keys&gt;&lt;key app="EN" db-id="w5d5teax5wtseretf5qxsswaawx9zard5xae" timestamp="1628824128"&gt;26&lt;/key&gt;&lt;/foreign-keys&gt;&lt;ref-type name="Journal Article"&gt;17&lt;/ref-type&gt;&lt;contributors&gt;&lt;authors&gt;&lt;author&gt;Ismail, Dina K&lt;/author&gt;&lt;author&gt;El-Tagui, Mona H&lt;/author&gt;&lt;author&gt;Hussein, Zeinab A&lt;/author&gt;&lt;author&gt;Eid, Mohamed A&lt;/author&gt;&lt;author&gt;Aly, Sobhy M&lt;/author&gt;&lt;/authors&gt;&lt;/contributors&gt;&lt;titles&gt;&lt;title&gt;Evaluation of health-related quality of life and muscular strength in children with beta thalassemia major&lt;/title&gt;&lt;secondary-title&gt;Egyptian Journal of Medical Human Genetics&lt;/secondary-title&gt;&lt;/titles&gt;&lt;periodical&gt;&lt;full-title&gt;Egyptian Journal of Medical Human Genetics&lt;/full-title&gt;&lt;/periodical&gt;&lt;pages&gt;353-357&lt;/pages&gt;&lt;volume&gt;19&lt;/volume&gt;&lt;number&gt;4&lt;/number&gt;&lt;dates&gt;&lt;year&gt;2018&lt;/year&gt;&lt;/dates&gt;&lt;isbn&gt;1110-8630&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28" w:tooltip="Ismail, 2018 #26" w:history="1">
        <w:r w:rsidRPr="006D22BD">
          <w:rPr>
            <w:rFonts w:cs="Times New Roman"/>
            <w:noProof/>
            <w:szCs w:val="24"/>
          </w:rPr>
          <w:t>Ismail, El-Tagui et al. 2018</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w:t>
      </w:r>
    </w:p>
    <w:p w:rsidR="00C95FD7" w:rsidRPr="006D22BD" w:rsidRDefault="00C95FD7" w:rsidP="00C95FD7">
      <w:pPr>
        <w:spacing w:line="480" w:lineRule="auto"/>
        <w:rPr>
          <w:rFonts w:cs="Times New Roman"/>
          <w:szCs w:val="24"/>
        </w:rPr>
      </w:pPr>
      <w:r w:rsidRPr="006D22BD">
        <w:rPr>
          <w:rFonts w:cs="Times New Roman"/>
          <w:szCs w:val="24"/>
        </w:rPr>
        <w:t>Continuous blood transfusions make the patient vulnerable towards iron overload, cardiac disorders</w:t>
      </w:r>
      <w:r>
        <w:rPr>
          <w:rFonts w:cs="Times New Roman"/>
          <w:szCs w:val="24"/>
        </w:rPr>
        <w:t>, oxidative stress</w:t>
      </w:r>
      <w:r w:rsidRPr="006D22BD">
        <w:rPr>
          <w:rFonts w:cs="Times New Roman"/>
          <w:szCs w:val="24"/>
        </w:rPr>
        <w:t xml:space="preserve"> and viral infections. Despite of great improvement in medical equipment and methods, the life of patient remains dependent upon multiple factors that are not directly linked to thalassemia </w:t>
      </w:r>
      <w:r w:rsidRPr="006D22BD">
        <w:rPr>
          <w:rFonts w:cs="Times New Roman"/>
          <w:szCs w:val="24"/>
        </w:rPr>
        <w:fldChar w:fldCharType="begin"/>
      </w:r>
      <w:r w:rsidRPr="006D22BD">
        <w:rPr>
          <w:rFonts w:cs="Times New Roman"/>
          <w:szCs w:val="24"/>
        </w:rPr>
        <w:instrText xml:space="preserve"> ADDIN EN.CITE &lt;EndNote&gt;&lt;Cite&gt;&lt;Author&gt;Koohi&lt;/Author&gt;&lt;Year&gt;2019&lt;/Year&gt;&lt;RecNum&gt;23&lt;/RecNum&gt;&lt;DisplayText&gt;(Koohi, Kazemi et al. 2019)&lt;/DisplayText&gt;&lt;record&gt;&lt;rec-number&gt;23&lt;/rec-number&gt;&lt;foreign-keys&gt;&lt;key app="EN" db-id="w5d5teax5wtseretf5qxsswaawx9zard5xae" timestamp="1628662851"&gt;23&lt;/key&gt;&lt;/foreign-keys&gt;&lt;ref-type name="Journal Article"&gt;17&lt;/ref-type&gt;&lt;contributors&gt;&lt;authors&gt;&lt;author&gt;Koohi, F&lt;/author&gt;&lt;author&gt;Kazemi, T&lt;/author&gt;&lt;author&gt;Miri-Moghaddam, E&lt;/author&gt;&lt;/authors&gt;&lt;/contributors&gt;&lt;titles&gt;&lt;title&gt;Cardiac complications and iron overload in beta thalassemia major patients—a systematic review and meta-analysis&lt;/title&gt;&lt;secondary-title&gt;Annals of hematology&lt;/secondary-title&gt;&lt;/titles&gt;&lt;periodical&gt;&lt;full-title&gt;Annals of hematology&lt;/full-title&gt;&lt;/periodical&gt;&lt;pages&gt;1323-1331&lt;/pages&gt;&lt;volume&gt;98&lt;/volume&gt;&lt;number&gt;6&lt;/number&gt;&lt;dates&gt;&lt;year&gt;2019&lt;/year&gt;&lt;/dates&gt;&lt;isbn&gt;0939-5555&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34" w:tooltip="Koohi, 2019 #23" w:history="1">
        <w:r w:rsidRPr="006D22BD">
          <w:rPr>
            <w:rFonts w:cs="Times New Roman"/>
            <w:noProof/>
            <w:szCs w:val="24"/>
          </w:rPr>
          <w:t>Koohi, Kazemi et al. 2019</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Iron intoxication can damage vital organs which ultimately leads to organ failure. Excessive iron is also stored in tissues. These unbound molecules of iron leads to the release of free radicals of iron. Supplements and iron chelation therapies can help improving the life of thalassemia major patients </w:t>
      </w:r>
      <w:r w:rsidRPr="006D22BD">
        <w:rPr>
          <w:rFonts w:cs="Times New Roman"/>
          <w:szCs w:val="24"/>
        </w:rPr>
        <w:fldChar w:fldCharType="begin"/>
      </w:r>
      <w:r w:rsidRPr="006D22BD">
        <w:rPr>
          <w:rFonts w:cs="Times New Roman"/>
          <w:szCs w:val="24"/>
        </w:rPr>
        <w:instrText xml:space="preserve"> ADDIN EN.CITE &lt;EndNote&gt;&lt;Cite&gt;&lt;Author&gt;Yu&lt;/Author&gt;&lt;Year&gt;2019&lt;/Year&gt;&lt;RecNum&gt;27&lt;/RecNum&gt;&lt;DisplayText&gt;(Yu, Chen et al. 2019)&lt;/DisplayText&gt;&lt;record&gt;&lt;rec-number&gt;27&lt;/rec-number&gt;&lt;foreign-keys&gt;&lt;key app="EN" db-id="w5d5teax5wtseretf5qxsswaawx9zard5xae" timestamp="1628824979"&gt;27&lt;/key&gt;&lt;/foreign-keys&gt;&lt;ref-type name="Journal Article"&gt;17&lt;/ref-type&gt;&lt;contributors&gt;&lt;authors&gt;&lt;author&gt;Yu, Uet&lt;/author&gt;&lt;author&gt;Chen, Li&lt;/author&gt;&lt;author&gt;Wang, Xiaodong&lt;/author&gt;&lt;author&gt;Zhang, Xiaoling&lt;/author&gt;&lt;author&gt;Li, Yue&lt;/author&gt;&lt;author&gt;Wen, Feiqiu&lt;/author&gt;&lt;author&gt;Liu, Sixi&lt;/author&gt;&lt;/authors&gt;&lt;/contributors&gt;&lt;titles&gt;&lt;title&gt;Evaluation of the vitamin D and biomedical statuses of young children with β-thalassemia major at a single center in southern China&lt;/title&gt;&lt;secondary-title&gt;BMC pediatrics&lt;/secondary-title&gt;&lt;/titles&gt;&lt;periodical&gt;&lt;full-title&gt;BMC pediatrics&lt;/full-title&gt;&lt;/periodical&gt;&lt;pages&gt;1-8&lt;/pages&gt;&lt;volume&gt;19&lt;/volume&gt;&lt;number&gt;1&lt;/number&gt;&lt;dates&gt;&lt;year&gt;2019&lt;/year&gt;&lt;/dates&gt;&lt;isbn&gt;1471-2431&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56" w:tooltip="Yu, 2019 #27" w:history="1">
        <w:r w:rsidRPr="006D22BD">
          <w:rPr>
            <w:rFonts w:cs="Times New Roman"/>
            <w:noProof/>
            <w:szCs w:val="24"/>
          </w:rPr>
          <w:t>Yu, Chen et al. 2019</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w:t>
      </w:r>
    </w:p>
    <w:p w:rsidR="00C95FD7" w:rsidRPr="006D22BD" w:rsidRDefault="00C95FD7" w:rsidP="00C95FD7">
      <w:pPr>
        <w:spacing w:line="480" w:lineRule="auto"/>
        <w:rPr>
          <w:rFonts w:cs="Times New Roman"/>
          <w:szCs w:val="24"/>
        </w:rPr>
      </w:pPr>
      <w:r w:rsidRPr="006D22BD">
        <w:rPr>
          <w:rFonts w:cs="Times New Roman"/>
          <w:szCs w:val="24"/>
        </w:rPr>
        <w:t xml:space="preserve">All these related health issues cause more problems for the patients and their clinical management. At a time, they need to take multiple treatments which can cause more complications. Iron overload is a very commonly faced issue by thalassemia major patients which itself need iron chelation therapies but it also increases the amount of free radicals in the bloodstream and ultimately erythrocytes face oxidative damage. The imbalance of oxidative in the bloodstream cause damage to other trace minerals in the body which are a reason of osteoporosis and other endocrinal issues in children and adults both. It is needed to maintain a balance of these trace minerals to have a healthy life </w:t>
      </w:r>
      <w:r w:rsidRPr="006D22BD">
        <w:rPr>
          <w:rFonts w:cs="Times New Roman"/>
          <w:szCs w:val="24"/>
        </w:rPr>
        <w:fldChar w:fldCharType="begin"/>
      </w:r>
      <w:r w:rsidRPr="006D22BD">
        <w:rPr>
          <w:rFonts w:cs="Times New Roman"/>
          <w:szCs w:val="24"/>
        </w:rPr>
        <w:instrText xml:space="preserve"> ADDIN EN.CITE &lt;EndNote&gt;&lt;Cite&gt;&lt;Author&gt;Al-Ghanimi&lt;/Author&gt;&lt;Year&gt;2019&lt;/Year&gt;&lt;RecNum&gt;13&lt;/RecNum&gt;&lt;DisplayText&gt;(Al-Ghanimi, AL-Essawi et al. 2019)&lt;/DisplayText&gt;&lt;record&gt;&lt;rec-number&gt;13&lt;/rec-number&gt;&lt;foreign-keys&gt;&lt;key app="EN" db-id="w5d5teax5wtseretf5qxsswaawx9zard5xae" timestamp="1625160505"&gt;13&lt;/key&gt;&lt;/foreign-keys&gt;&lt;ref-type name="Journal Article"&gt;17&lt;/ref-type&gt;&lt;contributors&gt;&lt;authors&gt;&lt;author&gt;Al-Ghanimi, Hussein Hazim&lt;/author&gt;&lt;author&gt;AL-Essawi, Zeyad Swadi Obead&lt;/author&gt;&lt;author&gt;AL-Nasrawi, Taha Hamzah&lt;/author&gt;&lt;author&gt;Howaidy, Sabreen Hassan&lt;/author&gt;&lt;author&gt;Kadhim, Hussein Mahdi&lt;/author&gt;&lt;author&gt;Al-Mihyawi, ReadA&lt;/author&gt;&lt;/authors&gt;&lt;/contributors&gt;&lt;titles&gt;&lt;title&gt;Hematological characteristics and biochemical status of beta-thalassemia major patients in Kerbala Holy city&lt;/title&gt;&lt;secondary-title&gt;Biochemical and Cellular Archives&lt;/secondary-title&gt;&lt;/titles&gt;&lt;periodical&gt;&lt;full-title&gt;Biochemical and Cellular Archives&lt;/full-title&gt;&lt;/periodical&gt;&lt;pages&gt;2301-2305&lt;/pages&gt;&lt;volume&gt;19&lt;/volume&gt;&lt;dates&gt;&lt;year&gt;2019&lt;/year&gt;&lt;/dates&gt;&lt;urls&gt;&lt;/urls&gt;&lt;/record&gt;&lt;/Cite&gt;&lt;/EndNote&gt;</w:instrText>
      </w:r>
      <w:r w:rsidRPr="006D22BD">
        <w:rPr>
          <w:rFonts w:cs="Times New Roman"/>
          <w:szCs w:val="24"/>
        </w:rPr>
        <w:fldChar w:fldCharType="separate"/>
      </w:r>
      <w:r w:rsidRPr="006D22BD">
        <w:rPr>
          <w:rFonts w:cs="Times New Roman"/>
          <w:noProof/>
          <w:szCs w:val="24"/>
        </w:rPr>
        <w:t>(</w:t>
      </w:r>
      <w:hyperlink w:anchor="_ENREF_4" w:tooltip="Al-Ghanimi, 2019 #13" w:history="1">
        <w:r w:rsidRPr="006D22BD">
          <w:rPr>
            <w:rFonts w:cs="Times New Roman"/>
            <w:noProof/>
            <w:szCs w:val="24"/>
          </w:rPr>
          <w:t>Al-Ghanimi, AL-Essawi et al. 2019</w:t>
        </w:r>
      </w:hyperlink>
      <w:r w:rsidRPr="006D22BD">
        <w:rPr>
          <w:rFonts w:cs="Times New Roman"/>
          <w:noProof/>
          <w:szCs w:val="24"/>
        </w:rPr>
        <w:t>)</w:t>
      </w:r>
      <w:r w:rsidRPr="006D22BD">
        <w:rPr>
          <w:rFonts w:cs="Times New Roman"/>
          <w:szCs w:val="24"/>
        </w:rPr>
        <w:fldChar w:fldCharType="end"/>
      </w:r>
      <w:r w:rsidRPr="006D22BD">
        <w:rPr>
          <w:rFonts w:cs="Times New Roman"/>
          <w:szCs w:val="24"/>
        </w:rPr>
        <w:t>.</w:t>
      </w:r>
    </w:p>
    <w:p w:rsidR="00C95FD7" w:rsidRPr="006D22BD" w:rsidRDefault="00C95FD7" w:rsidP="00C95FD7">
      <w:pPr>
        <w:spacing w:line="480" w:lineRule="auto"/>
        <w:rPr>
          <w:rFonts w:cs="Times New Roman"/>
          <w:szCs w:val="24"/>
        </w:rPr>
      </w:pPr>
      <w:r w:rsidRPr="006D22BD">
        <w:rPr>
          <w:rFonts w:cs="Times New Roman"/>
          <w:szCs w:val="24"/>
        </w:rPr>
        <w:t>Thalassemia major patients need regular iron chelation from the age of 2 and a half years and this tiring process just adds more to the already existing disease. Patients who are deprived of proper medical facilities are often suffering more than the rest. Because their iron levels keep increasing and that leads in increase of oxidative stress on the blood cells. It is highly recommended to get ALT and AST tests done on a regular basis, so that the medical practitioners can keep a healthy balance of chemicals in the body of the patient. It’s important to understand that oxidative stress isn’t the main etiology of thalassemia but it is definitely signi</w:t>
      </w:r>
      <w:r>
        <w:rPr>
          <w:rFonts w:cs="Times New Roman"/>
          <w:szCs w:val="24"/>
        </w:rPr>
        <w:t xml:space="preserve">ficant for its pathophysiology </w:t>
      </w:r>
      <w:r w:rsidRPr="006D22BD">
        <w:rPr>
          <w:rFonts w:cs="Times New Roman"/>
          <w:szCs w:val="24"/>
        </w:rPr>
        <w:fldChar w:fldCharType="begin"/>
      </w:r>
      <w:r w:rsidRPr="006D22BD">
        <w:rPr>
          <w:rFonts w:cs="Times New Roman"/>
          <w:szCs w:val="24"/>
        </w:rPr>
        <w:instrText xml:space="preserve"> ADDIN EN.CITE &lt;EndNote&gt;&lt;Cite&gt;&lt;Author&gt;Fibach&lt;/Author&gt;&lt;Year&gt;2019&lt;/Year&gt;&lt;RecNum&gt;29&lt;/RecNum&gt;&lt;DisplayText&gt;(Fibach and Dana 2019)&lt;/DisplayText&gt;&lt;record&gt;&lt;rec-number&gt;29&lt;/rec-number&gt;&lt;foreign-keys&gt;&lt;key app="EN" db-id="w5d5teax5wtseretf5qxsswaawx9zard5xae" timestamp="1628826221"&gt;29&lt;/key&gt;&lt;/foreign-keys&gt;&lt;ref-type name="Journal Article"&gt;17&lt;/ref-type&gt;&lt;contributors&gt;&lt;authors&gt;&lt;author&gt;Fibach, Eitan&lt;/author&gt;&lt;author&gt;Dana, Mutaz&lt;/author&gt;&lt;/authors&gt;&lt;/contributors&gt;&lt;titles&gt;&lt;title&gt;Oxidative stress in β-thalassemia&lt;/title&gt;&lt;secondary-title&gt;Molecular diagnosis &amp;amp; therapy&lt;/secondary-title&gt;&lt;/titles&gt;&lt;periodical&gt;&lt;full-title&gt;Molecular diagnosis &amp;amp; therapy&lt;/full-title&gt;&lt;/periodical&gt;&lt;pages&gt;245-261&lt;/pages&gt;&lt;volume&gt;23&lt;/volume&gt;&lt;number&gt;2&lt;/number&gt;&lt;dates&gt;&lt;year&gt;2019&lt;/year&gt;&lt;/dates&gt;&lt;isbn&gt;1179-2000&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24" w:tooltip="Fibach, 2019 #29" w:history="1">
        <w:r w:rsidRPr="006D22BD">
          <w:rPr>
            <w:rFonts w:cs="Times New Roman"/>
            <w:noProof/>
            <w:szCs w:val="24"/>
          </w:rPr>
          <w:t>Fibach and Dana 2019</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w:t>
      </w:r>
    </w:p>
    <w:p w:rsidR="00C95FD7" w:rsidRPr="006D22BD" w:rsidRDefault="00C95FD7" w:rsidP="00C95FD7">
      <w:pPr>
        <w:spacing w:line="480" w:lineRule="auto"/>
        <w:rPr>
          <w:rFonts w:cs="Times New Roman"/>
          <w:szCs w:val="24"/>
        </w:rPr>
      </w:pPr>
      <w:r w:rsidRPr="006D22BD">
        <w:rPr>
          <w:rFonts w:cs="Times New Roman"/>
          <w:szCs w:val="24"/>
        </w:rPr>
        <w:t xml:space="preserve">Renal and liver issues aren’t directly caused by any genetic mutation but these are indirect results of regular blood transfusion in beta thalassemia major patients. Tissue damage occurs due to oxidative stress, and accumulation of iron in the body. Liver is the primary organ of iron storage has a large capacity to produce proteins. It is the only tissue for synthesis of transferrin and ferritin. Free ferrous iron is highly toxic and normally is protein-bound within the liver. With continued transfusions, iron eventually accumulates in parenchymal cells (hepatocytes). Moreover, iron catalyzes the production of free radicals which have been implicated in the lipid peroxidation, hepatotoxicity and increasing the risk of liver injury with hepatocytes, synthetic dysfunction, fibrosis, and eventually cirrhosis. In most β-TM patients, remarkable increase in renal tissue iron content and oxidative stress which contribute to lipid peroxidation and functional abnormalities in tubular cells may lead to tissue injury and kidney dysfunction (Shanaki, 2016). </w:t>
      </w:r>
    </w:p>
    <w:p w:rsidR="00C95FD7" w:rsidRPr="006D22BD" w:rsidRDefault="00C95FD7" w:rsidP="00C95FD7">
      <w:pPr>
        <w:shd w:val="clear" w:color="auto" w:fill="FFFFFF"/>
        <w:spacing w:after="0" w:line="480" w:lineRule="auto"/>
        <w:rPr>
          <w:rFonts w:eastAsia="Times New Roman" w:cs="Times New Roman"/>
          <w:szCs w:val="24"/>
        </w:rPr>
      </w:pPr>
      <w:r w:rsidRPr="006D22BD">
        <w:rPr>
          <w:rFonts w:eastAsia="Times New Roman" w:cs="Times New Roman"/>
          <w:szCs w:val="24"/>
        </w:rPr>
        <w:t xml:space="preserve">While hormonal inadequacy, medullary development, high bone turnover, press gathering, irregular calcium phosphorus, and hypoxia are the diverse variables that add to skeletal illnesses. The most debilitating life-restricting complexity caused by over-burden in beta-thalassemia patients is heart malady caused by myocardial siderosis and 71% beta thalassemia patients reportedly suffer from these issues (Sharif, 2021). </w:t>
      </w:r>
    </w:p>
    <w:p w:rsidR="00C95FD7" w:rsidRPr="006D22BD" w:rsidRDefault="00C95FD7" w:rsidP="00C95FD7">
      <w:pPr>
        <w:shd w:val="clear" w:color="auto" w:fill="FFFFFF"/>
        <w:spacing w:line="480" w:lineRule="auto"/>
        <w:rPr>
          <w:rFonts w:eastAsia="Times New Roman" w:cs="Times New Roman"/>
          <w:szCs w:val="24"/>
        </w:rPr>
      </w:pPr>
      <w:r w:rsidRPr="006D22BD">
        <w:rPr>
          <w:rFonts w:eastAsia="Times New Roman" w:cs="Times New Roman"/>
          <w:szCs w:val="24"/>
        </w:rPr>
        <w:t xml:space="preserve">Endocrine glands are susceptible to excess iron causing endocrine dysfunction (significantly Hypogonadotropic hypogonadism HH) which is a common complication in beta thalassemia major   that   requires recognition and treatment. Patients with the beta thalassemia major present with a delay in growth and puberty and reduction of the average height.  Growth failure pathogenesis    is    multifactorial:    including    iron overload, chronic anemia and hypoxia, zinc and folic acid deficiency, chronic liver disease, intensive use   of   chelating   agents, endocrinopathies and growth hormone-insulin like growth factor-1(GH-IGF-1) axis dysregulation. </w:t>
      </w:r>
      <w:r w:rsidRPr="006D22BD">
        <w:rPr>
          <w:rFonts w:cs="Times New Roman"/>
          <w:szCs w:val="24"/>
        </w:rPr>
        <w:t xml:space="preserve">Folic acid deficiency results in complications such as anorexia, growth failure and GIT disorders besides megaloblastic anemia.  Folic acid deficiency is more severe among beta thalassemia major patients; however, microcytosis of thalassemia may mask the hematological characteristics of folic acid deficiency </w:t>
      </w:r>
      <w:r w:rsidRPr="006D22BD">
        <w:rPr>
          <w:rFonts w:eastAsia="Times New Roman" w:cs="Times New Roman"/>
          <w:szCs w:val="24"/>
        </w:rPr>
        <w:fldChar w:fldCharType="begin"/>
      </w:r>
      <w:r w:rsidRPr="006D22BD">
        <w:rPr>
          <w:rFonts w:eastAsia="Times New Roman" w:cs="Times New Roman"/>
          <w:szCs w:val="24"/>
        </w:rPr>
        <w:instrText xml:space="preserve"> ADDIN EN.CITE &lt;EndNote&gt;&lt;Cite&gt;&lt;Author&gt;Shawkat&lt;/Author&gt;&lt;Year&gt;2019&lt;/Year&gt;&lt;RecNum&gt;17&lt;/RecNum&gt;&lt;DisplayText&gt;(Shawkat and Jwaid 2019)&lt;/DisplayText&gt;&lt;record&gt;&lt;rec-number&gt;17&lt;/rec-number&gt;&lt;foreign-keys&gt;&lt;key app="EN" db-id="w5d5teax5wtseretf5qxsswaawx9zard5xae" timestamp="1625195176"&gt;17&lt;/key&gt;&lt;/foreign-keys&gt;&lt;ref-type name="Journal Article"&gt;17&lt;/ref-type&gt;&lt;contributors&gt;&lt;authors&gt;&lt;author&gt;Shawkat, Ali Jalal&lt;/author&gt;&lt;author&gt;Jwaid, Ahmed H&lt;/author&gt;&lt;/authors&gt;&lt;/contributors&gt;&lt;titles&gt;&lt;title&gt;Clinical Complications of Beta-Thalassemia Major&lt;/title&gt;&lt;secondary-title&gt;Iraqi Journal of Pharmaceutical Sciences (P-ISSN: 1683-3597, E-ISSN: 2521-3512)&lt;/secondary-title&gt;&lt;/titles&gt;&lt;periodical&gt;&lt;full-title&gt;Iraqi Journal of Pharmaceutical Sciences (P-ISSN: 1683-3597, E-ISSN: 2521-3512)&lt;/full-title&gt;&lt;/periodical&gt;&lt;pages&gt;1-8&lt;/pages&gt;&lt;volume&gt;28&lt;/volume&gt;&lt;number&gt;2&lt;/number&gt;&lt;dates&gt;&lt;year&gt;2019&lt;/year&gt;&lt;/dates&gt;&lt;isbn&gt;1683-3597&lt;/isbn&gt;&lt;urls&gt;&lt;/urls&gt;&lt;/record&gt;&lt;/Cite&gt;&lt;/EndNote&gt;</w:instrText>
      </w:r>
      <w:r w:rsidRPr="006D22BD">
        <w:rPr>
          <w:rFonts w:eastAsia="Times New Roman" w:cs="Times New Roman"/>
          <w:szCs w:val="24"/>
        </w:rPr>
        <w:fldChar w:fldCharType="separate"/>
      </w:r>
      <w:r w:rsidRPr="006D22BD">
        <w:rPr>
          <w:rFonts w:eastAsia="Times New Roman" w:cs="Times New Roman"/>
          <w:noProof/>
          <w:szCs w:val="24"/>
        </w:rPr>
        <w:t>(</w:t>
      </w:r>
      <w:hyperlink w:anchor="_ENREF_51" w:tooltip="Shawkat, 2019 #17" w:history="1">
        <w:r w:rsidRPr="006D22BD">
          <w:rPr>
            <w:rFonts w:eastAsia="Times New Roman" w:cs="Times New Roman"/>
            <w:noProof/>
            <w:szCs w:val="24"/>
          </w:rPr>
          <w:t>Shawkat and Jwaid 2019</w:t>
        </w:r>
      </w:hyperlink>
      <w:r w:rsidRPr="006D22BD">
        <w:rPr>
          <w:rFonts w:eastAsia="Times New Roman" w:cs="Times New Roman"/>
          <w:noProof/>
          <w:szCs w:val="24"/>
        </w:rPr>
        <w:t>)</w:t>
      </w:r>
      <w:r w:rsidRPr="006D22BD">
        <w:rPr>
          <w:rFonts w:eastAsia="Times New Roman" w:cs="Times New Roman"/>
          <w:szCs w:val="24"/>
        </w:rPr>
        <w:fldChar w:fldCharType="end"/>
      </w:r>
      <w:r w:rsidRPr="006D22BD">
        <w:rPr>
          <w:rFonts w:eastAsia="Times New Roman" w:cs="Times New Roman"/>
          <w:szCs w:val="24"/>
        </w:rPr>
        <w:t xml:space="preserve">. Deficiency of trace elements and oxidative stress cause damage to normal growth of adults and cause delayed puberty </w:t>
      </w:r>
      <w:r w:rsidRPr="006D22BD">
        <w:rPr>
          <w:rFonts w:eastAsia="Times New Roman" w:cs="Times New Roman"/>
          <w:szCs w:val="24"/>
        </w:rPr>
        <w:fldChar w:fldCharType="begin"/>
      </w:r>
      <w:r w:rsidRPr="006D22BD">
        <w:rPr>
          <w:rFonts w:eastAsia="Times New Roman" w:cs="Times New Roman"/>
          <w:szCs w:val="24"/>
        </w:rPr>
        <w:instrText xml:space="preserve"> ADDIN EN.CITE &lt;EndNote&gt;&lt;Cite&gt;&lt;Author&gt;Prakash&lt;/Author&gt;&lt;Year&gt;2012&lt;/Year&gt;&lt;RecNum&gt;18&lt;/RecNum&gt;&lt;DisplayText&gt;(Prakash and Aggarwal 2012)&lt;/DisplayText&gt;&lt;record&gt;&lt;rec-number&gt;18&lt;/rec-number&gt;&lt;foreign-keys&gt;&lt;key app="EN" db-id="w5d5teax5wtseretf5qxsswaawx9zard5xae" timestamp="1625195389"&gt;18&lt;/key&gt;&lt;/foreign-keys&gt;&lt;ref-type name="Journal Article"&gt;17&lt;/ref-type&gt;&lt;contributors&gt;&lt;authors&gt;&lt;author&gt;Prakash, Anupam&lt;/author&gt;&lt;author&gt;Aggarwal, Ramesh&lt;/author&gt;&lt;/authors&gt;&lt;/contributors&gt;&lt;titles&gt;&lt;title&gt;Thalassemia major in adults: Short stature, hyperpigmentation, inadequate chelation, and transfusion-transmitted infections are key features&lt;/title&gt;&lt;secondary-title&gt;North American journal of medical sciences&lt;/secondary-title&gt;&lt;/titles&gt;&lt;periodical&gt;&lt;full-title&gt;North American journal of medical sciences&lt;/full-title&gt;&lt;/periodical&gt;&lt;pages&gt;141&lt;/pages&gt;&lt;volume&gt;4&lt;/volume&gt;&lt;number&gt;3&lt;/number&gt;&lt;dates&gt;&lt;year&gt;2012&lt;/year&gt;&lt;/dates&gt;&lt;urls&gt;&lt;/urls&gt;&lt;/record&gt;&lt;/Cite&gt;&lt;/EndNote&gt;</w:instrText>
      </w:r>
      <w:r w:rsidRPr="006D22BD">
        <w:rPr>
          <w:rFonts w:eastAsia="Times New Roman" w:cs="Times New Roman"/>
          <w:szCs w:val="24"/>
        </w:rPr>
        <w:fldChar w:fldCharType="separate"/>
      </w:r>
      <w:r w:rsidRPr="006D22BD">
        <w:rPr>
          <w:rFonts w:eastAsia="Times New Roman" w:cs="Times New Roman"/>
          <w:noProof/>
          <w:szCs w:val="24"/>
        </w:rPr>
        <w:t>(</w:t>
      </w:r>
      <w:hyperlink w:anchor="_ENREF_45" w:tooltip="Prakash, 2012 #18" w:history="1">
        <w:r w:rsidRPr="006D22BD">
          <w:rPr>
            <w:rFonts w:eastAsia="Times New Roman" w:cs="Times New Roman"/>
            <w:noProof/>
            <w:szCs w:val="24"/>
          </w:rPr>
          <w:t>Prakash and Aggarwal 2012</w:t>
        </w:r>
      </w:hyperlink>
      <w:r w:rsidRPr="006D22BD">
        <w:rPr>
          <w:rFonts w:eastAsia="Times New Roman" w:cs="Times New Roman"/>
          <w:noProof/>
          <w:szCs w:val="24"/>
        </w:rPr>
        <w:t>)</w:t>
      </w:r>
      <w:r w:rsidRPr="006D22BD">
        <w:rPr>
          <w:rFonts w:eastAsia="Times New Roman" w:cs="Times New Roman"/>
          <w:szCs w:val="24"/>
        </w:rPr>
        <w:fldChar w:fldCharType="end"/>
      </w:r>
      <w:r w:rsidRPr="006D22BD">
        <w:rPr>
          <w:rFonts w:eastAsia="Times New Roman" w:cs="Times New Roman"/>
          <w:szCs w:val="24"/>
        </w:rPr>
        <w:t xml:space="preserve">. </w:t>
      </w:r>
      <w:r w:rsidRPr="006D22BD">
        <w:rPr>
          <w:rFonts w:cs="Times New Roman"/>
          <w:szCs w:val="24"/>
        </w:rPr>
        <w:t xml:space="preserve">Endocrinopathies have shown a great impact on the lifestyle of growing patients with beta thalassemia major which makes their disease a syndrome carrying multiple clinical complications. </w:t>
      </w:r>
      <w:r w:rsidRPr="006D22BD">
        <w:rPr>
          <w:rFonts w:cs="Times New Roman"/>
        </w:rPr>
        <w:t xml:space="preserve">Thalassemia is a chronic disorder and the suffering of patients never end until death. Children who face health issues are more likely to get into psychological diseases as well. They are posed with a risk of getting mental health issues 1.3 to 3 times more than normal children who are healthy. Patients are more likely to suffer from anxiety disorders, OCD and disruptive behavior disorders. Most of the patients suffer from behavioral disorders, academic problems, sleep difficulty, eating and appetite disorders etc. Most of the time when patient has to go to hospital twice in a month and in severe cases more than twice, they are then unable to stay synchronized with their school and academic activities. Usually they suffer from fatigue and bone issues, so they cannot participate in any other extracurricular activities as well. Psychotic and sexual issues are more common in patients ranging in age from 18 to 25 </w:t>
      </w:r>
      <w:r w:rsidRPr="006D22BD">
        <w:rPr>
          <w:rFonts w:cs="Times New Roman"/>
          <w:szCs w:val="24"/>
        </w:rPr>
        <w:t xml:space="preserve"> </w:t>
      </w:r>
      <w:r w:rsidRPr="006D22BD">
        <w:rPr>
          <w:rFonts w:cs="Times New Roman"/>
          <w:szCs w:val="24"/>
        </w:rPr>
        <w:fldChar w:fldCharType="begin"/>
      </w:r>
      <w:r w:rsidRPr="006D22BD">
        <w:rPr>
          <w:rFonts w:cs="Times New Roman"/>
          <w:szCs w:val="24"/>
        </w:rPr>
        <w:instrText xml:space="preserve"> ADDIN EN.CITE &lt;EndNote&gt;&lt;Cite&gt;&lt;Author&gt;Altincik&lt;/Author&gt;&lt;Year&gt;2016&lt;/Year&gt;&lt;RecNum&gt;19&lt;/RecNum&gt;&lt;DisplayText&gt;(Altincik and Akin 2016)&lt;/DisplayText&gt;&lt;record&gt;&lt;rec-number&gt;19&lt;/rec-number&gt;&lt;foreign-keys&gt;&lt;key app="EN" db-id="w5d5teax5wtseretf5qxsswaawx9zard5xae" timestamp="1625195690"&gt;19&lt;/key&gt;&lt;/foreign-keys&gt;&lt;ref-type name="Journal Article"&gt;17&lt;/ref-type&gt;&lt;contributors&gt;&lt;authors&gt;&lt;author&gt;Altincik, Ayça&lt;/author&gt;&lt;author&gt;Akin, Mehmet&lt;/author&gt;&lt;/authors&gt;&lt;/contributors&gt;&lt;titles&gt;&lt;title&gt;Prevalence of endocrinopathies in Turkish children with β-thalassemia major: a single-center study&lt;/title&gt;&lt;secondary-title&gt;Journal of pediatric hematology/oncology&lt;/secondary-title&gt;&lt;/titles&gt;&lt;periodical&gt;&lt;full-title&gt;Journal of pediatric hematology/oncology&lt;/full-title&gt;&lt;/periodical&gt;&lt;pages&gt;389-393&lt;/pages&gt;&lt;volume&gt;38&lt;/volume&gt;&lt;number&gt;5&lt;/number&gt;&lt;dates&gt;&lt;year&gt;2016&lt;/year&gt;&lt;/dates&gt;&lt;isbn&gt;1077-4114&lt;/isbn&gt;&lt;urls&gt;&lt;/urls&gt;&lt;/record&gt;&lt;/Cite&gt;&lt;/EndNote&gt;</w:instrText>
      </w:r>
      <w:r w:rsidRPr="006D22BD">
        <w:rPr>
          <w:rFonts w:cs="Times New Roman"/>
          <w:szCs w:val="24"/>
        </w:rPr>
        <w:fldChar w:fldCharType="separate"/>
      </w:r>
      <w:r w:rsidRPr="006D22BD">
        <w:rPr>
          <w:rFonts w:cs="Times New Roman"/>
          <w:noProof/>
          <w:szCs w:val="24"/>
        </w:rPr>
        <w:t>(</w:t>
      </w:r>
      <w:hyperlink w:anchor="_ENREF_5" w:tooltip="Altincik, 2016 #19" w:history="1">
        <w:r w:rsidRPr="006D22BD">
          <w:rPr>
            <w:rFonts w:cs="Times New Roman"/>
            <w:noProof/>
            <w:szCs w:val="24"/>
          </w:rPr>
          <w:t>Altincik and Akin 2016</w:t>
        </w:r>
      </w:hyperlink>
      <w:r w:rsidRPr="006D22BD">
        <w:rPr>
          <w:rFonts w:cs="Times New Roman"/>
          <w:noProof/>
          <w:szCs w:val="24"/>
        </w:rPr>
        <w:t>)</w:t>
      </w:r>
      <w:r w:rsidRPr="006D22BD">
        <w:rPr>
          <w:rFonts w:cs="Times New Roman"/>
          <w:szCs w:val="24"/>
        </w:rPr>
        <w:fldChar w:fldCharType="end"/>
      </w:r>
      <w:r w:rsidRPr="006D22BD">
        <w:rPr>
          <w:rFonts w:cs="Times New Roman"/>
          <w:szCs w:val="24"/>
        </w:rPr>
        <w:t xml:space="preserve">. </w:t>
      </w:r>
    </w:p>
    <w:p w:rsidR="00C95FD7" w:rsidRDefault="00C95FD7" w:rsidP="00C95FD7">
      <w:pPr>
        <w:spacing w:line="480" w:lineRule="auto"/>
        <w:rPr>
          <w:rFonts w:cs="Times New Roman"/>
        </w:rPr>
      </w:pPr>
      <w:r w:rsidRPr="006D22BD">
        <w:rPr>
          <w:rFonts w:cs="Times New Roman"/>
        </w:rPr>
        <w:t xml:space="preserve">Beta thalassemia is more prevalent in Mediterranean region, Africa, Middle east and Asia. Many regions of the world have eradicated thalassemia by spreading awareness and improved medical practices. While it still remains a fatal blood disorder in many other regions of the world </w:t>
      </w:r>
      <w:r w:rsidRPr="006D22BD">
        <w:rPr>
          <w:rFonts w:cs="Times New Roman"/>
        </w:rPr>
        <w:fldChar w:fldCharType="begin"/>
      </w:r>
      <w:r w:rsidRPr="006D22BD">
        <w:rPr>
          <w:rFonts w:cs="Times New Roman"/>
        </w:rPr>
        <w:instrText xml:space="preserve"> ADDIN EN.CITE &lt;EndNote&gt;&lt;Cite&gt;&lt;Author&gt;Ansari-Moghaddam&lt;/Author&gt;&lt;Year&gt;2018&lt;/Year&gt;&lt;RecNum&gt;24&lt;/RecNum&gt;&lt;DisplayText&gt;(Ansari-Moghaddam, Adineh et al. 2018)&lt;/DisplayText&gt;&lt;record&gt;&lt;rec-number&gt;24&lt;/rec-number&gt;&lt;foreign-keys&gt;&lt;key app="EN" db-id="w5d5teax5wtseretf5qxsswaawx9zard5xae" timestamp="1628823257"&gt;24&lt;/key&gt;&lt;/foreign-keys&gt;&lt;ref-type name="Journal Article"&gt;17&lt;/ref-type&gt;&lt;contributors&gt;&lt;authors&gt;&lt;author&gt;Ansari-Moghaddam, Alireza&lt;/author&gt;&lt;author&gt;Adineh, Hossein Ali&lt;/author&gt;&lt;author&gt;Zareban, Iraj&lt;/author&gt;&lt;author&gt;Mohammadi, Mehdi&lt;/author&gt;&lt;author&gt;Maghsoodlu, Mahtab&lt;/author&gt;&lt;/authors&gt;&lt;/contributors&gt;&lt;titles&gt;&lt;title&gt;The survival rate of patients with beta-thalassemia major and intermedia and its trends in recent years in Iran&lt;/title&gt;&lt;secondary-title&gt;Epidemiology and health&lt;/secondary-title&gt;&lt;/titles&gt;&lt;periodical&gt;&lt;full-title&gt;Epidemiology and health&lt;/full-title&gt;&lt;/periodical&gt;&lt;volume&gt;40&lt;/volume&gt;&lt;dates&gt;&lt;year&gt;2018&lt;/year&gt;&lt;/dates&gt;&lt;urls&gt;&lt;/urls&gt;&lt;/record&gt;&lt;/Cite&gt;&lt;/EndNote&gt;</w:instrText>
      </w:r>
      <w:r w:rsidRPr="006D22BD">
        <w:rPr>
          <w:rFonts w:cs="Times New Roman"/>
        </w:rPr>
        <w:fldChar w:fldCharType="separate"/>
      </w:r>
      <w:r w:rsidRPr="006D22BD">
        <w:rPr>
          <w:rFonts w:cs="Times New Roman"/>
          <w:noProof/>
        </w:rPr>
        <w:t>(</w:t>
      </w:r>
      <w:hyperlink w:anchor="_ENREF_6" w:tooltip="Ansari-Moghaddam, 2018 #24" w:history="1">
        <w:r w:rsidRPr="006D22BD">
          <w:rPr>
            <w:rFonts w:cs="Times New Roman"/>
            <w:noProof/>
          </w:rPr>
          <w:t>Ansari-Moghaddam, Adineh et al. 2018</w:t>
        </w:r>
      </w:hyperlink>
      <w:r w:rsidRPr="006D22BD">
        <w:rPr>
          <w:rFonts w:cs="Times New Roman"/>
          <w:noProof/>
        </w:rPr>
        <w:t>)</w:t>
      </w:r>
      <w:r w:rsidRPr="006D22BD">
        <w:rPr>
          <w:rFonts w:cs="Times New Roman"/>
        </w:rPr>
        <w:fldChar w:fldCharType="end"/>
      </w:r>
      <w:r w:rsidRPr="006D22BD">
        <w:rPr>
          <w:rFonts w:cs="Times New Roman"/>
        </w:rPr>
        <w:t xml:space="preserve">. Beta thalassemia major has a birthrate of 7000-9000 per year in Pakistan while the carrier rate is 5-7% of whole population, making a total of 9.8 million carriers ready to contribute in the already existing pool of millions of patients. Among Asian countries, Pakistan has the larger birthrate of genetic disease due to multiple factors which include larger population size, inter-caste marriages, bigger birthrate and lack of awareness </w:t>
      </w:r>
      <w:r w:rsidRPr="006D22BD">
        <w:rPr>
          <w:rFonts w:cs="Times New Roman"/>
        </w:rPr>
        <w:fldChar w:fldCharType="begin"/>
      </w:r>
      <w:r w:rsidRPr="006D22BD">
        <w:rPr>
          <w:rFonts w:cs="Times New Roman"/>
        </w:rPr>
        <w:instrText xml:space="preserve"> ADDIN EN.CITE &lt;EndNote&gt;&lt;Cite&gt;&lt;Author&gt;Ehsan&lt;/Author&gt;&lt;Year&gt;2020&lt;/Year&gt;&lt;RecNum&gt;20&lt;/RecNum&gt;&lt;DisplayText&gt;(Ehsan, Wahab et al. 2020)&lt;/DisplayText&gt;&lt;record&gt;&lt;rec-number&gt;20&lt;/rec-number&gt;&lt;foreign-keys&gt;&lt;key app="EN" db-id="w5d5teax5wtseretf5qxsswaawx9zard5xae" timestamp="1626246501"&gt;20&lt;/key&gt;&lt;/foreign-keys&gt;&lt;ref-type name="Journal Article"&gt;17&lt;/ref-type&gt;&lt;contributors&gt;&lt;authors&gt;&lt;author&gt;Ehsan, Hamid&lt;/author&gt;&lt;author&gt;Wahab, Ahsan&lt;/author&gt;&lt;author&gt;Anwer, Faiz&lt;/author&gt;&lt;author&gt;Iftikhar, Raheel&lt;/author&gt;&lt;author&gt;Yousaf, Muhammad N&lt;/author&gt;&lt;/authors&gt;&lt;/contributors&gt;&lt;titles&gt;&lt;title&gt;Prevalence of transfusion transmissible infections in beta-thalassemia major patients in Pakistan: a systematic review&lt;/title&gt;&lt;secondary-title&gt;Cureus&lt;/secondary-title&gt;&lt;/titles&gt;&lt;periodical&gt;&lt;full-title&gt;Cureus&lt;/full-title&gt;&lt;/periodical&gt;&lt;volume&gt;12&lt;/volume&gt;&lt;number&gt;8&lt;/number&gt;&lt;dates&gt;&lt;year&gt;2020&lt;/year&gt;&lt;/dates&gt;&lt;urls&gt;&lt;/urls&gt;&lt;/record&gt;&lt;/Cite&gt;&lt;/EndNote&gt;</w:instrText>
      </w:r>
      <w:r w:rsidRPr="006D22BD">
        <w:rPr>
          <w:rFonts w:cs="Times New Roman"/>
        </w:rPr>
        <w:fldChar w:fldCharType="separate"/>
      </w:r>
      <w:r w:rsidRPr="006D22BD">
        <w:rPr>
          <w:rFonts w:cs="Times New Roman"/>
          <w:noProof/>
        </w:rPr>
        <w:t>(</w:t>
      </w:r>
      <w:hyperlink w:anchor="_ENREF_21" w:tooltip="Ehsan, 2020 #20" w:history="1">
        <w:r w:rsidRPr="006D22BD">
          <w:rPr>
            <w:rFonts w:cs="Times New Roman"/>
            <w:noProof/>
          </w:rPr>
          <w:t>Ehsan, Wahab et al. 2020</w:t>
        </w:r>
      </w:hyperlink>
      <w:r w:rsidRPr="006D22BD">
        <w:rPr>
          <w:rFonts w:cs="Times New Roman"/>
          <w:noProof/>
        </w:rPr>
        <w:t>)</w:t>
      </w:r>
      <w:r w:rsidRPr="006D22BD">
        <w:rPr>
          <w:rFonts w:cs="Times New Roman"/>
        </w:rPr>
        <w:fldChar w:fldCharType="end"/>
      </w:r>
      <w:r w:rsidRPr="006D22BD">
        <w:rPr>
          <w:rFonts w:cs="Times New Roman"/>
        </w:rPr>
        <w:t xml:space="preserve">. </w:t>
      </w:r>
      <w:r>
        <w:rPr>
          <w:rFonts w:cs="Times New Roman"/>
        </w:rPr>
        <w:t xml:space="preserve">Pakistan being a struggling country constitute of most of the labor class, who also unfortunately happen to suffer more from genetic and viral diseases and beta thalassemia is one of those. Patients and their families due to lack of awareness are usually unable to access the right medical help and that is why the average life expectancy of patients in Pakistan still lies between 17-20 years of age, while it has been improved in other regions of the world </w:t>
      </w:r>
      <w:r>
        <w:rPr>
          <w:rFonts w:cs="Times New Roman"/>
        </w:rPr>
        <w:fldChar w:fldCharType="begin"/>
      </w:r>
      <w:r>
        <w:rPr>
          <w:rFonts w:cs="Times New Roman"/>
        </w:rPr>
        <w:instrText xml:space="preserve"> ADDIN EN.CITE &lt;EndNote&gt;&lt;Cite&gt;&lt;Author&gt;Kantharaj&lt;/Author&gt;&lt;Year&gt;2018&lt;/Year&gt;&lt;RecNum&gt;30&lt;/RecNum&gt;&lt;DisplayText&gt;(Kantharaj and Chandrashekar 2018)&lt;/DisplayText&gt;&lt;record&gt;&lt;rec-number&gt;30&lt;/rec-number&gt;&lt;foreign-keys&gt;&lt;key app="EN" db-id="w5d5teax5wtseretf5qxsswaawx9zard5xae" timestamp="1629699804"&gt;30&lt;/key&gt;&lt;/foreign-keys&gt;&lt;ref-type name="Journal Article"&gt;17&lt;/ref-type&gt;&lt;contributors&gt;&lt;authors&gt;&lt;author&gt;Kantharaj, Ambuja&lt;/author&gt;&lt;author&gt;Chandrashekar, Shivaram&lt;/author&gt;&lt;/authors&gt;&lt;/contributors&gt;&lt;titles&gt;&lt;title&gt;Coping with the burden of thalassemia: Aiming for a thalassemia free world&lt;/title&gt;&lt;secondary-title&gt;Global Journal of Transfusion Medicine&lt;/secondary-title&gt;&lt;/titles&gt;&lt;periodical&gt;&lt;full-title&gt;Global Journal of Transfusion Medicine&lt;/full-title&gt;&lt;/periodical&gt;&lt;pages&gt;1&lt;/pages&gt;&lt;volume&gt;3&lt;/volume&gt;&lt;number&gt;1&lt;/number&gt;&lt;dates&gt;&lt;year&gt;2018&lt;/year&gt;&lt;/dates&gt;&lt;isbn&gt;2468-8398&lt;/isbn&gt;&lt;urls&gt;&lt;/urls&gt;&lt;/record&gt;&lt;/Cite&gt;&lt;/EndNote&gt;</w:instrText>
      </w:r>
      <w:r>
        <w:rPr>
          <w:rFonts w:cs="Times New Roman"/>
        </w:rPr>
        <w:fldChar w:fldCharType="separate"/>
      </w:r>
      <w:r>
        <w:rPr>
          <w:rFonts w:cs="Times New Roman"/>
          <w:noProof/>
        </w:rPr>
        <w:t>(</w:t>
      </w:r>
      <w:hyperlink w:anchor="_ENREF_31" w:tooltip="Kantharaj, 2018 #30" w:history="1">
        <w:r>
          <w:rPr>
            <w:rFonts w:cs="Times New Roman"/>
            <w:noProof/>
          </w:rPr>
          <w:t>Kantharaj and Chandrashekar 2018</w:t>
        </w:r>
      </w:hyperlink>
      <w:r>
        <w:rPr>
          <w:rFonts w:cs="Times New Roman"/>
          <w:noProof/>
        </w:rPr>
        <w:t>)</w:t>
      </w:r>
      <w:r>
        <w:rPr>
          <w:rFonts w:cs="Times New Roman"/>
        </w:rPr>
        <w:fldChar w:fldCharType="end"/>
      </w:r>
      <w:r>
        <w:rPr>
          <w:rFonts w:cs="Times New Roman"/>
        </w:rPr>
        <w:t xml:space="preserve">. Other than these factors, there is an important issue being faced by beta thalassemia patients is that their growth patterns are disturbed and they face many issues in this regard i.e. delayed puberty, hormonal imbalance, bone deformities and disturbed biochemistry profiles. Their lifestyle can be improved by adding supplements and important vitamins, it also increases their life expectancy </w:t>
      </w:r>
      <w:r>
        <w:rPr>
          <w:rFonts w:cs="Times New Roman"/>
        </w:rPr>
        <w:fldChar w:fldCharType="begin"/>
      </w:r>
      <w:r>
        <w:rPr>
          <w:rFonts w:cs="Times New Roman"/>
        </w:rPr>
        <w:instrText xml:space="preserve"> ADDIN EN.CITE &lt;EndNote&gt;&lt;Cite&gt;&lt;Author&gt;Yassin&lt;/Author&gt;&lt;Year&gt;2018&lt;/Year&gt;&lt;RecNum&gt;31&lt;/RecNum&gt;&lt;DisplayText&gt;(Yassin, Soliman et al. 2018)&lt;/DisplayText&gt;&lt;record&gt;&lt;rec-number&gt;31&lt;/rec-number&gt;&lt;foreign-keys&gt;&lt;key app="EN" db-id="w5d5teax5wtseretf5qxsswaawx9zard5xae" timestamp="1629700108"&gt;31&lt;/key&gt;&lt;/foreign-keys&gt;&lt;ref-type name="Journal Article"&gt;17&lt;/ref-type&gt;&lt;contributors&gt;&lt;authors&gt;&lt;author&gt;Yassin, Mohamed A&lt;/author&gt;&lt;author&gt;Soliman, Ashraf T&lt;/author&gt;&lt;author&gt;De Sanctis, Vincenzo&lt;/author&gt;&lt;author&gt;Hussein, Radwa M&lt;/author&gt;&lt;author&gt;Al-Okka, Randa&lt;/author&gt;&lt;author&gt;Kassem, Nancy&lt;/author&gt;&lt;author&gt;Ghasoub, Rula&lt;/author&gt;&lt;author&gt;Basha, Ahmed&lt;/author&gt;&lt;author&gt;Nashwan, Abdulqadir J&lt;/author&gt;&lt;author&gt;Adel, Ahmad M&lt;/author&gt;&lt;/authors&gt;&lt;/contributors&gt;&lt;titles&gt;&lt;title&gt;Jadenu® substituting Exjade® in iron overloaded β-thalassemia major (BTM) patients: a preliminary report of the effects on the tolerability, serum ferritin level, liver iron concentration and biochemical profiles&lt;/title&gt;&lt;secondary-title&gt;Mediterranean journal of hematology and infectious diseases&lt;/secondary-title&gt;&lt;/titles&gt;&lt;periodical&gt;&lt;full-title&gt;Mediterranean journal of hematology and infectious diseases&lt;/full-title&gt;&lt;/periodical&gt;&lt;volume&gt;10&lt;/volume&gt;&lt;number&gt;1&lt;/number&gt;&lt;dates&gt;&lt;year&gt;2018&lt;/year&gt;&lt;/dates&gt;&lt;urls&gt;&lt;/urls&gt;&lt;/record&gt;&lt;/Cite&gt;&lt;/EndNote&gt;</w:instrText>
      </w:r>
      <w:r>
        <w:rPr>
          <w:rFonts w:cs="Times New Roman"/>
        </w:rPr>
        <w:fldChar w:fldCharType="separate"/>
      </w:r>
      <w:r>
        <w:rPr>
          <w:rFonts w:cs="Times New Roman"/>
          <w:noProof/>
        </w:rPr>
        <w:t>(</w:t>
      </w:r>
      <w:hyperlink w:anchor="_ENREF_55" w:tooltip="Yassin, 2018 #31" w:history="1">
        <w:r>
          <w:rPr>
            <w:rFonts w:cs="Times New Roman"/>
            <w:noProof/>
          </w:rPr>
          <w:t>Yassin, Soliman et al. 2018</w:t>
        </w:r>
      </w:hyperlink>
      <w:r>
        <w:rPr>
          <w:rFonts w:cs="Times New Roman"/>
          <w:noProof/>
        </w:rPr>
        <w:t>)</w:t>
      </w:r>
      <w:r>
        <w:rPr>
          <w:rFonts w:cs="Times New Roman"/>
        </w:rPr>
        <w:fldChar w:fldCharType="end"/>
      </w:r>
      <w:r>
        <w:rPr>
          <w:rFonts w:cs="Times New Roman"/>
        </w:rPr>
        <w:t xml:space="preserve">. </w:t>
      </w:r>
    </w:p>
    <w:p w:rsidR="00C95FD7" w:rsidRDefault="00C95FD7" w:rsidP="00C95FD7">
      <w:pPr>
        <w:spacing w:line="480" w:lineRule="auto"/>
        <w:rPr>
          <w:rFonts w:cs="Times New Roman"/>
        </w:rPr>
      </w:pPr>
      <w:r>
        <w:rPr>
          <w:rFonts w:cs="Times New Roman"/>
        </w:rPr>
        <w:t xml:space="preserve">The normal levels of AST, ALT and ALP help the body maintaining its enzymes and consequently the vital systems are run normally. While in the case of beta thalassemia patients due to multiple factors these levels aren’t normal and the patient suffers. These enzymes help in reducing the levels of free radicals, these free radicals if left unattended in the body. They may cause harm for vital organs such as liver and heart </w:t>
      </w:r>
      <w:r>
        <w:rPr>
          <w:rFonts w:cs="Times New Roman"/>
        </w:rPr>
        <w:fldChar w:fldCharType="begin"/>
      </w:r>
      <w:r>
        <w:rPr>
          <w:rFonts w:cs="Times New Roman"/>
        </w:rPr>
        <w:instrText xml:space="preserve"> ADDIN EN.CITE &lt;EndNote&gt;&lt;Cite&gt;&lt;Author&gt;Guzelcicek&lt;/Author&gt;&lt;Year&gt;2019&lt;/Year&gt;&lt;RecNum&gt;32&lt;/RecNum&gt;&lt;DisplayText&gt;(Guzelcicek, Cakirca et al. 2019)&lt;/DisplayText&gt;&lt;record&gt;&lt;rec-number&gt;32&lt;/rec-number&gt;&lt;foreign-keys&gt;&lt;key app="EN" db-id="w5d5teax5wtseretf5qxsswaawx9zard5xae" timestamp="1629700426"&gt;32&lt;/key&gt;&lt;/foreign-keys&gt;&lt;ref-type name="Journal Article"&gt;17&lt;/ref-type&gt;&lt;contributors&gt;&lt;authors&gt;&lt;author&gt;Guzelcicek, Ahmet&lt;/author&gt;&lt;author&gt;Cakirca, Gokhan&lt;/author&gt;&lt;author&gt;Erel, Ozcan&lt;/author&gt;&lt;author&gt;Solmaz, Abdullah&lt;/author&gt;&lt;/authors&gt;&lt;/contributors&gt;&lt;titles&gt;&lt;title&gt;Assessment of thiol/disulfide balance as an oxidative stress marker in children with β-thalassemia major&lt;/title&gt;&lt;secondary-title&gt;Pakistan journal of medical sciences&lt;/secondary-title&gt;&lt;/titles&gt;&lt;periodical&gt;&lt;full-title&gt;Pakistan journal of medical sciences&lt;/full-title&gt;&lt;/periodical&gt;&lt;pages&gt;161&lt;/pages&gt;&lt;volume&gt;35&lt;/volume&gt;&lt;number&gt;1&lt;/number&gt;&lt;dates&gt;&lt;year&gt;2019&lt;/year&gt;&lt;/dates&gt;&lt;urls&gt;&lt;/urls&gt;&lt;/record&gt;&lt;/Cite&gt;&lt;/EndNote&gt;</w:instrText>
      </w:r>
      <w:r>
        <w:rPr>
          <w:rFonts w:cs="Times New Roman"/>
        </w:rPr>
        <w:fldChar w:fldCharType="separate"/>
      </w:r>
      <w:r>
        <w:rPr>
          <w:rFonts w:cs="Times New Roman"/>
          <w:noProof/>
        </w:rPr>
        <w:t>(</w:t>
      </w:r>
      <w:hyperlink w:anchor="_ENREF_26" w:tooltip="Guzelcicek, 2019 #32" w:history="1">
        <w:r>
          <w:rPr>
            <w:rFonts w:cs="Times New Roman"/>
            <w:noProof/>
          </w:rPr>
          <w:t>Guzelcicek, Cakirca et al. 2019</w:t>
        </w:r>
      </w:hyperlink>
      <w:r>
        <w:rPr>
          <w:rFonts w:cs="Times New Roman"/>
          <w:noProof/>
        </w:rPr>
        <w:t>)</w:t>
      </w:r>
      <w:r>
        <w:rPr>
          <w:rFonts w:cs="Times New Roman"/>
        </w:rPr>
        <w:fldChar w:fldCharType="end"/>
      </w:r>
      <w:r>
        <w:rPr>
          <w:rFonts w:cs="Times New Roman"/>
        </w:rPr>
        <w:t xml:space="preserve">. </w:t>
      </w:r>
    </w:p>
    <w:p w:rsidR="00C95FD7" w:rsidRDefault="00C95FD7">
      <w:pPr>
        <w:spacing w:line="259" w:lineRule="auto"/>
        <w:jc w:val="left"/>
        <w:rPr>
          <w:rFonts w:cs="Times New Roman"/>
        </w:rPr>
      </w:pPr>
      <w:r>
        <w:rPr>
          <w:rFonts w:cs="Times New Roman"/>
        </w:rPr>
        <w:br w:type="page"/>
      </w:r>
    </w:p>
    <w:p w:rsidR="00C95FD7" w:rsidRPr="00F74F33" w:rsidRDefault="00C95FD7" w:rsidP="00C95FD7">
      <w:pPr>
        <w:pStyle w:val="Heading1"/>
      </w:pPr>
      <w:r w:rsidRPr="001041A6">
        <w:t>MATERIALS AND METHODS</w:t>
      </w:r>
    </w:p>
    <w:p w:rsidR="00C95FD7" w:rsidRPr="006D22BD" w:rsidRDefault="00C95FD7" w:rsidP="00C95FD7">
      <w:pPr>
        <w:pStyle w:val="Heading2"/>
        <w:spacing w:line="480" w:lineRule="auto"/>
        <w:rPr>
          <w:rFonts w:cs="Times New Roman"/>
          <w:b/>
        </w:rPr>
      </w:pPr>
      <w:r w:rsidRPr="006D22BD">
        <w:rPr>
          <w:rFonts w:cs="Times New Roman"/>
        </w:rPr>
        <w:t>3.1 Samples and Data Collection</w:t>
      </w:r>
    </w:p>
    <w:p w:rsidR="00C95FD7" w:rsidRPr="006D22BD" w:rsidRDefault="00C95FD7" w:rsidP="00C95FD7">
      <w:pPr>
        <w:spacing w:line="480" w:lineRule="auto"/>
        <w:rPr>
          <w:rFonts w:cs="Times New Roman"/>
          <w:szCs w:val="24"/>
        </w:rPr>
      </w:pPr>
      <w:r w:rsidRPr="006D22BD">
        <w:rPr>
          <w:rFonts w:cs="Times New Roman"/>
          <w:szCs w:val="24"/>
        </w:rPr>
        <w:t xml:space="preserve">This study was conducted using fresh blood samples of beta thalassemia major patients from Fatimid Foundation, Lahore. Ethical clearance was obtained from Ethical Board Fatimid Foundation. </w:t>
      </w:r>
      <w:r>
        <w:rPr>
          <w:rFonts w:cs="Times New Roman"/>
          <w:szCs w:val="24"/>
        </w:rPr>
        <w:t>The survey and sample collection was conducted after obtaining v</w:t>
      </w:r>
      <w:r w:rsidRPr="006D22BD">
        <w:rPr>
          <w:rFonts w:cs="Times New Roman"/>
          <w:szCs w:val="24"/>
        </w:rPr>
        <w:t>erbal consent was from the participants of study. The patients selected for this study were all transfusion dependent and were diagnosed with beta thalassemia ea</w:t>
      </w:r>
      <w:r>
        <w:rPr>
          <w:rFonts w:cs="Times New Roman"/>
          <w:szCs w:val="24"/>
        </w:rPr>
        <w:t>rly in their life. A total of 91</w:t>
      </w:r>
      <w:r w:rsidRPr="006D22BD">
        <w:rPr>
          <w:rFonts w:cs="Times New Roman"/>
          <w:szCs w:val="24"/>
        </w:rPr>
        <w:t xml:space="preserve"> blood samples were obtained in EDTA (</w:t>
      </w:r>
      <w:r w:rsidRPr="006D22BD">
        <w:rPr>
          <w:rFonts w:cs="Times New Roman"/>
          <w:color w:val="202124"/>
          <w:szCs w:val="24"/>
          <w:shd w:val="clear" w:color="auto" w:fill="FFFFFF"/>
        </w:rPr>
        <w:t>Ethylenediaminetetraacetic Acid</w:t>
      </w:r>
      <w:r w:rsidRPr="006D22BD">
        <w:rPr>
          <w:rFonts w:cs="Times New Roman"/>
          <w:szCs w:val="24"/>
        </w:rPr>
        <w:t>) tubes. 3 ml blood was taken in EDTA tube via intravenous injection. These blood samples were later used to extract DNA and to perform biochemistry tests i.e. ALT</w:t>
      </w:r>
      <w:r>
        <w:rPr>
          <w:rFonts w:cs="Times New Roman"/>
          <w:szCs w:val="24"/>
        </w:rPr>
        <w:t>, ALP</w:t>
      </w:r>
      <w:r w:rsidRPr="006D22BD">
        <w:rPr>
          <w:rFonts w:cs="Times New Roman"/>
          <w:szCs w:val="24"/>
        </w:rPr>
        <w:t xml:space="preserve"> and AST. </w:t>
      </w:r>
    </w:p>
    <w:p w:rsidR="00C95FD7" w:rsidRPr="00F74F33" w:rsidRDefault="00C95FD7" w:rsidP="00C95FD7">
      <w:pPr>
        <w:pStyle w:val="Heading2"/>
        <w:spacing w:line="480" w:lineRule="auto"/>
        <w:rPr>
          <w:rFonts w:cs="Times New Roman"/>
        </w:rPr>
      </w:pPr>
      <w:r w:rsidRPr="006D22BD">
        <w:rPr>
          <w:rFonts w:cs="Times New Roman"/>
        </w:rPr>
        <w:t>3.2 DNA Extraction</w:t>
      </w:r>
    </w:p>
    <w:p w:rsidR="00C95FD7" w:rsidRPr="00F74F33" w:rsidRDefault="00C95FD7" w:rsidP="00C95FD7">
      <w:pPr>
        <w:spacing w:line="480" w:lineRule="auto"/>
        <w:rPr>
          <w:rFonts w:cs="Times New Roman"/>
          <w:szCs w:val="24"/>
        </w:rPr>
      </w:pPr>
      <w:r w:rsidRPr="006D22BD">
        <w:rPr>
          <w:rFonts w:cs="Times New Roman"/>
          <w:szCs w:val="24"/>
        </w:rPr>
        <w:t xml:space="preserve">A total of 200 µl blood was taken in an Eppendorf and it was mixed using vortex for at least 1-2 minutes. Then 1000 µl lysis buffer (TE) was added and it was again mixed with vortex and centrifuged for 5 minutes at 3000 rpm. After centrifugation the supernatant was discarded and 1000 µl lysis buffer was added again. This process of washing was repeated 3-4 times until the clear pellet was left in the Eppendorf. After washing 20 µls Proteinase K, 60 µl of 10% SDS and 100 µl and the Eppendorf were left in shaking incubator at 37 °C. </w:t>
      </w:r>
      <w:r w:rsidRPr="006D22BD">
        <w:rPr>
          <w:rFonts w:eastAsia="Times New Roman" w:cs="Times New Roman"/>
          <w:color w:val="222222"/>
          <w:szCs w:val="24"/>
        </w:rPr>
        <w:t>On the next day, 24:1 of chloroform and isoamyl alcohol were added in equal volume Eppendorf and centrifuge it for 15 min at 3000 rpm. Three layers were formed after centrifugation and the upper layer was transferred into a new Eppendorf where equal amount of isopropanol was added and the Eppendorf was centrifuged for 10 minutes at 3000 rpm. The supernatant was discarded and 70% chilled ethanol was added and centrifuge for 5 minutes at 3000 rpm. After discarding the supernatant, the Eppendorf was left to air dry for 10 minutes. In the final step, 30 µl of TE buffer was added and the DNA was stored at -20 degree Celsius.</w:t>
      </w:r>
      <w:r>
        <w:rPr>
          <w:rFonts w:eastAsia="Times New Roman" w:cs="Times New Roman"/>
          <w:color w:val="222222"/>
          <w:szCs w:val="24"/>
        </w:rPr>
        <w:t xml:space="preserve"> Later on the presence of DNA was verified by performing gel electrophoresis. </w:t>
      </w:r>
    </w:p>
    <w:p w:rsidR="00C95FD7" w:rsidRDefault="00C95FD7" w:rsidP="00C95FD7">
      <w:pPr>
        <w:pStyle w:val="Heading2"/>
        <w:rPr>
          <w:rFonts w:eastAsia="Times New Roman"/>
        </w:rPr>
      </w:pPr>
      <w:r>
        <w:rPr>
          <w:rFonts w:eastAsia="Times New Roman"/>
        </w:rPr>
        <w:t>3.3 Gel Electrophoresis</w:t>
      </w:r>
    </w:p>
    <w:p w:rsidR="00C95FD7" w:rsidRPr="00830009" w:rsidRDefault="00C95FD7" w:rsidP="00C95FD7"/>
    <w:p w:rsidR="00C95FD7" w:rsidRDefault="00C95FD7" w:rsidP="00C95FD7">
      <w:pPr>
        <w:spacing w:line="480" w:lineRule="auto"/>
      </w:pPr>
      <w:r>
        <w:t xml:space="preserve">1% agarose gel was prepared to verify the presence of DNA in the extracted samples. The DNA samples after mixing with dye were loaded in the gel and run for 45 minutes at constant voltage and then visualized in gel doc system. </w:t>
      </w:r>
    </w:p>
    <w:p w:rsidR="00C95FD7" w:rsidRDefault="00C95FD7" w:rsidP="00C95FD7">
      <w:pPr>
        <w:spacing w:line="480" w:lineRule="auto"/>
        <w:rPr>
          <w:b/>
        </w:rPr>
      </w:pPr>
      <w:r>
        <w:rPr>
          <w:b/>
        </w:rPr>
        <w:t xml:space="preserve">Ingredients of Gel Electrophoresis </w:t>
      </w:r>
    </w:p>
    <w:p w:rsidR="00C95FD7" w:rsidRPr="002C1CCE" w:rsidRDefault="00C95FD7" w:rsidP="00C95FD7">
      <w:pPr>
        <w:pStyle w:val="ListParagraph"/>
        <w:numPr>
          <w:ilvl w:val="0"/>
          <w:numId w:val="1"/>
        </w:numPr>
        <w:spacing w:line="480" w:lineRule="auto"/>
        <w:rPr>
          <w:b/>
        </w:rPr>
      </w:pPr>
      <w:r>
        <w:t xml:space="preserve">TAE Buffer with 50x Concentration </w:t>
      </w:r>
    </w:p>
    <w:p w:rsidR="00C95FD7" w:rsidRPr="002C1CCE" w:rsidRDefault="00C95FD7" w:rsidP="00C95FD7">
      <w:pPr>
        <w:pStyle w:val="ListParagraph"/>
        <w:numPr>
          <w:ilvl w:val="0"/>
          <w:numId w:val="1"/>
        </w:numPr>
        <w:spacing w:line="480" w:lineRule="auto"/>
        <w:rPr>
          <w:b/>
        </w:rPr>
      </w:pPr>
      <w:r>
        <w:t xml:space="preserve">1% Agarose gel </w:t>
      </w:r>
    </w:p>
    <w:p w:rsidR="00C95FD7" w:rsidRDefault="00C95FD7" w:rsidP="00C95FD7">
      <w:pPr>
        <w:pStyle w:val="Heading3"/>
        <w:spacing w:line="480" w:lineRule="auto"/>
      </w:pPr>
      <w:r>
        <w:t xml:space="preserve">3.3.1 Preparation of TAE Buffer with 50X Concentration </w:t>
      </w:r>
    </w:p>
    <w:p w:rsidR="00C95FD7" w:rsidRPr="00F74F33" w:rsidRDefault="00C95FD7" w:rsidP="00C95FD7">
      <w:pPr>
        <w:spacing w:line="480" w:lineRule="auto"/>
      </w:pPr>
      <w:r w:rsidRPr="00F74F33">
        <w:t xml:space="preserve">Table 3.1: Ingredients of TAE Buffer with 50X Concentration </w:t>
      </w:r>
    </w:p>
    <w:tbl>
      <w:tblPr>
        <w:tblStyle w:val="PlainTable2"/>
        <w:tblW w:w="0" w:type="auto"/>
        <w:tblLook w:val="04A0" w:firstRow="1" w:lastRow="0" w:firstColumn="1" w:lastColumn="0" w:noHBand="0" w:noVBand="1"/>
      </w:tblPr>
      <w:tblGrid>
        <w:gridCol w:w="516"/>
        <w:gridCol w:w="4446"/>
        <w:gridCol w:w="4398"/>
      </w:tblGrid>
      <w:tr w:rsidR="00C95FD7" w:rsidTr="00325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Sr.</w:t>
            </w:r>
          </w:p>
        </w:tc>
        <w:tc>
          <w:tcPr>
            <w:tcW w:w="445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Ingredient Name</w:t>
            </w:r>
          </w:p>
        </w:tc>
        <w:tc>
          <w:tcPr>
            <w:tcW w:w="440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Concentration gm/liter</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1</w:t>
            </w:r>
          </w:p>
        </w:tc>
        <w:tc>
          <w:tcPr>
            <w:tcW w:w="445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Tris Base</w:t>
            </w:r>
          </w:p>
        </w:tc>
        <w:tc>
          <w:tcPr>
            <w:tcW w:w="440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242 gm</w:t>
            </w:r>
          </w:p>
        </w:tc>
      </w:tr>
      <w:tr w:rsidR="00C95FD7" w:rsidTr="00325C04">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2</w:t>
            </w:r>
          </w:p>
        </w:tc>
        <w:tc>
          <w:tcPr>
            <w:tcW w:w="445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Glacial Acetic Acid</w:t>
            </w:r>
          </w:p>
        </w:tc>
        <w:tc>
          <w:tcPr>
            <w:tcW w:w="440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57.1 ml</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3</w:t>
            </w:r>
          </w:p>
        </w:tc>
        <w:tc>
          <w:tcPr>
            <w:tcW w:w="445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0.5M EDTA</w:t>
            </w:r>
          </w:p>
        </w:tc>
        <w:tc>
          <w:tcPr>
            <w:tcW w:w="440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100 ml</w:t>
            </w:r>
          </w:p>
        </w:tc>
      </w:tr>
    </w:tbl>
    <w:p w:rsidR="00C95FD7" w:rsidRDefault="00C95FD7" w:rsidP="00C95FD7">
      <w:pPr>
        <w:spacing w:line="480" w:lineRule="auto"/>
      </w:pPr>
    </w:p>
    <w:p w:rsidR="00C95FD7" w:rsidRDefault="00C95FD7" w:rsidP="00C95FD7">
      <w:pPr>
        <w:spacing w:line="480" w:lineRule="auto"/>
      </w:pPr>
      <w:r>
        <w:t xml:space="preserve">All the above mentioned components were dissolved in 800ml of distilled water mixed to make a homogenous solution and then the volume of solution was made to 1 liter by adding distilled water in it. Then the pH was maintained to 8.0. TAE 50X was prepared as stock solution. </w:t>
      </w:r>
    </w:p>
    <w:p w:rsidR="00C95FD7" w:rsidRDefault="00C95FD7" w:rsidP="00C95FD7">
      <w:pPr>
        <w:pStyle w:val="Heading3"/>
        <w:spacing w:line="480" w:lineRule="auto"/>
      </w:pPr>
      <w:r>
        <w:t xml:space="preserve">3.3.2 Preparation of Working Solution </w:t>
      </w:r>
    </w:p>
    <w:p w:rsidR="00C95FD7" w:rsidRPr="00F74F33" w:rsidRDefault="00C95FD7" w:rsidP="00C95FD7">
      <w:pPr>
        <w:spacing w:line="480" w:lineRule="auto"/>
      </w:pPr>
      <w:r w:rsidRPr="00F74F33">
        <w:t xml:space="preserve">Table 3.2: Ingredients and Composition of 1X TAE Buffer </w:t>
      </w:r>
    </w:p>
    <w:tbl>
      <w:tblPr>
        <w:tblStyle w:val="PlainTable2"/>
        <w:tblW w:w="0" w:type="auto"/>
        <w:tblLook w:val="04A0" w:firstRow="1" w:lastRow="0" w:firstColumn="1" w:lastColumn="0" w:noHBand="0" w:noVBand="1"/>
      </w:tblPr>
      <w:tblGrid>
        <w:gridCol w:w="625"/>
        <w:gridCol w:w="4320"/>
        <w:gridCol w:w="4405"/>
      </w:tblGrid>
      <w:tr w:rsidR="00C95FD7" w:rsidTr="00325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95FD7" w:rsidRDefault="00C95FD7" w:rsidP="00325C04">
            <w:pPr>
              <w:spacing w:line="480" w:lineRule="auto"/>
              <w:jc w:val="center"/>
            </w:pPr>
            <w:r>
              <w:t>Sr.</w:t>
            </w:r>
          </w:p>
        </w:tc>
        <w:tc>
          <w:tcPr>
            <w:tcW w:w="4320"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Ingredient Name</w:t>
            </w:r>
          </w:p>
        </w:tc>
        <w:tc>
          <w:tcPr>
            <w:tcW w:w="440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Concentration in ml</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95FD7" w:rsidRDefault="00C95FD7" w:rsidP="00325C04">
            <w:pPr>
              <w:spacing w:line="480" w:lineRule="auto"/>
              <w:jc w:val="center"/>
            </w:pPr>
            <w:r>
              <w:t>1</w:t>
            </w:r>
          </w:p>
        </w:tc>
        <w:tc>
          <w:tcPr>
            <w:tcW w:w="4320"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Distilled Water</w:t>
            </w:r>
          </w:p>
        </w:tc>
        <w:tc>
          <w:tcPr>
            <w:tcW w:w="440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980</w:t>
            </w:r>
          </w:p>
        </w:tc>
      </w:tr>
      <w:tr w:rsidR="00C95FD7" w:rsidTr="00325C04">
        <w:tc>
          <w:tcPr>
            <w:cnfStyle w:val="001000000000" w:firstRow="0" w:lastRow="0" w:firstColumn="1" w:lastColumn="0" w:oddVBand="0" w:evenVBand="0" w:oddHBand="0" w:evenHBand="0" w:firstRowFirstColumn="0" w:firstRowLastColumn="0" w:lastRowFirstColumn="0" w:lastRowLastColumn="0"/>
            <w:tcW w:w="625" w:type="dxa"/>
          </w:tcPr>
          <w:p w:rsidR="00C95FD7" w:rsidRDefault="00C95FD7" w:rsidP="00325C04">
            <w:pPr>
              <w:spacing w:line="480" w:lineRule="auto"/>
              <w:jc w:val="center"/>
            </w:pPr>
            <w:r>
              <w:t>2</w:t>
            </w:r>
          </w:p>
        </w:tc>
        <w:tc>
          <w:tcPr>
            <w:tcW w:w="4320"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Stock Solution of 50X Buffer</w:t>
            </w:r>
          </w:p>
        </w:tc>
        <w:tc>
          <w:tcPr>
            <w:tcW w:w="440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20</w:t>
            </w:r>
          </w:p>
        </w:tc>
      </w:tr>
    </w:tbl>
    <w:p w:rsidR="00C95FD7" w:rsidRDefault="00C95FD7" w:rsidP="00C95FD7">
      <w:pPr>
        <w:spacing w:line="480" w:lineRule="auto"/>
      </w:pPr>
    </w:p>
    <w:p w:rsidR="00C95FD7" w:rsidRDefault="00C95FD7" w:rsidP="00C95FD7">
      <w:pPr>
        <w:spacing w:line="480" w:lineRule="auto"/>
      </w:pPr>
      <w:r>
        <w:t xml:space="preserve">All the mentioned ingredients were mixed to make a homogenous solution and volume was made till 1000 ml by adding distilled water. This working solution was used in the lab. </w:t>
      </w:r>
    </w:p>
    <w:p w:rsidR="00C95FD7" w:rsidRPr="00AF7120" w:rsidRDefault="00C95FD7" w:rsidP="00C95FD7">
      <w:pPr>
        <w:pStyle w:val="Heading3"/>
        <w:spacing w:line="480" w:lineRule="auto"/>
      </w:pPr>
      <w:r>
        <w:t xml:space="preserve">3.3.3 Preparation of 1% Agarose Gel </w:t>
      </w:r>
    </w:p>
    <w:p w:rsidR="00C95FD7" w:rsidRPr="00F74F33" w:rsidRDefault="00C95FD7" w:rsidP="00C95FD7">
      <w:pPr>
        <w:spacing w:line="480" w:lineRule="auto"/>
      </w:pPr>
      <w:r w:rsidRPr="00F74F33">
        <w:t xml:space="preserve">Table 3.3: Ingredients and Composition of 1% Agarose gel </w:t>
      </w:r>
    </w:p>
    <w:tbl>
      <w:tblPr>
        <w:tblStyle w:val="PlainTable2"/>
        <w:tblW w:w="0" w:type="auto"/>
        <w:tblLook w:val="04A0" w:firstRow="1" w:lastRow="0" w:firstColumn="1" w:lastColumn="0" w:noHBand="0" w:noVBand="1"/>
      </w:tblPr>
      <w:tblGrid>
        <w:gridCol w:w="535"/>
        <w:gridCol w:w="4320"/>
        <w:gridCol w:w="4495"/>
      </w:tblGrid>
      <w:tr w:rsidR="00C95FD7" w:rsidTr="00325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C95FD7" w:rsidRDefault="00C95FD7" w:rsidP="00325C04">
            <w:pPr>
              <w:spacing w:line="480" w:lineRule="auto"/>
              <w:jc w:val="center"/>
            </w:pPr>
            <w:r>
              <w:t>Sr.</w:t>
            </w:r>
          </w:p>
        </w:tc>
        <w:tc>
          <w:tcPr>
            <w:tcW w:w="4320"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Ingredient Name</w:t>
            </w:r>
          </w:p>
        </w:tc>
        <w:tc>
          <w:tcPr>
            <w:tcW w:w="449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Quantity of Components</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C95FD7" w:rsidRDefault="00C95FD7" w:rsidP="00325C04">
            <w:pPr>
              <w:spacing w:line="480" w:lineRule="auto"/>
              <w:jc w:val="center"/>
            </w:pPr>
            <w:r>
              <w:t>1</w:t>
            </w:r>
          </w:p>
        </w:tc>
        <w:tc>
          <w:tcPr>
            <w:tcW w:w="4320"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Agarose (Powder)</w:t>
            </w:r>
          </w:p>
        </w:tc>
        <w:tc>
          <w:tcPr>
            <w:tcW w:w="449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1 gm</w:t>
            </w:r>
          </w:p>
        </w:tc>
      </w:tr>
      <w:tr w:rsidR="00C95FD7" w:rsidTr="00325C04">
        <w:tc>
          <w:tcPr>
            <w:cnfStyle w:val="001000000000" w:firstRow="0" w:lastRow="0" w:firstColumn="1" w:lastColumn="0" w:oddVBand="0" w:evenVBand="0" w:oddHBand="0" w:evenHBand="0" w:firstRowFirstColumn="0" w:firstRowLastColumn="0" w:lastRowFirstColumn="0" w:lastRowLastColumn="0"/>
            <w:tcW w:w="535" w:type="dxa"/>
          </w:tcPr>
          <w:p w:rsidR="00C95FD7" w:rsidRDefault="00C95FD7" w:rsidP="00325C04">
            <w:pPr>
              <w:spacing w:line="480" w:lineRule="auto"/>
              <w:jc w:val="center"/>
            </w:pPr>
            <w:r>
              <w:t>2</w:t>
            </w:r>
          </w:p>
        </w:tc>
        <w:tc>
          <w:tcPr>
            <w:tcW w:w="4320"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1X TAE Buffer</w:t>
            </w:r>
          </w:p>
        </w:tc>
        <w:tc>
          <w:tcPr>
            <w:tcW w:w="449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100 ml</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C95FD7" w:rsidRDefault="00C95FD7" w:rsidP="00325C04">
            <w:pPr>
              <w:spacing w:line="480" w:lineRule="auto"/>
              <w:jc w:val="center"/>
            </w:pPr>
            <w:r>
              <w:t>3</w:t>
            </w:r>
          </w:p>
        </w:tc>
        <w:tc>
          <w:tcPr>
            <w:tcW w:w="4320"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Ethidium Bromide Solution</w:t>
            </w:r>
          </w:p>
        </w:tc>
        <w:tc>
          <w:tcPr>
            <w:tcW w:w="449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 xml:space="preserve">2 </w:t>
            </w:r>
            <w:r>
              <w:rPr>
                <w:rFonts w:cs="Times New Roman"/>
              </w:rPr>
              <w:t>µ</w:t>
            </w:r>
            <w:r>
              <w:t>l</w:t>
            </w:r>
          </w:p>
        </w:tc>
      </w:tr>
    </w:tbl>
    <w:p w:rsidR="00C95FD7" w:rsidRDefault="00C95FD7" w:rsidP="00C95FD7">
      <w:pPr>
        <w:spacing w:line="480" w:lineRule="auto"/>
      </w:pPr>
    </w:p>
    <w:p w:rsidR="00C95FD7" w:rsidRDefault="00C95FD7" w:rsidP="00C95FD7">
      <w:pPr>
        <w:spacing w:line="480" w:lineRule="auto"/>
      </w:pPr>
      <w:r>
        <w:t xml:space="preserve">1 gram of agarose powder was taken in a 100 ml conical flask, transfer the 100 ml of 1X TAE Buffer into it and mixed it properly, covered the conical flask with aluminum foil in order to avoid contamination. Put the flask into oven for 1.5 minutes, with intervals of 30 second each until the agarose is dissolved. Then cool down the solution at room temperature. After cooling till 40% add 2 </w:t>
      </w:r>
      <w:r>
        <w:rPr>
          <w:rFonts w:cs="Times New Roman"/>
        </w:rPr>
        <w:t>µ</w:t>
      </w:r>
      <w:r>
        <w:t xml:space="preserve">l of ethidium bromide in it and mixed thoroughly. Ethidium bromide is used to illuminate DNA. Pour the solution in the cast tray. In order to create wells in the tray, combs were inserted in the solution. Then left the casting tray to cool down and solidify into the gel form. </w:t>
      </w:r>
    </w:p>
    <w:p w:rsidR="00C95FD7" w:rsidRPr="0006220B" w:rsidRDefault="00C95FD7" w:rsidP="00C95FD7">
      <w:pPr>
        <w:pStyle w:val="Heading3"/>
      </w:pPr>
      <w:r>
        <w:t xml:space="preserve">3.3.4 Gel </w:t>
      </w:r>
      <w:r w:rsidRPr="00C95FD7">
        <w:t>Electrophoresis</w:t>
      </w:r>
      <w:r>
        <w:t xml:space="preserve"> Protocol </w:t>
      </w:r>
    </w:p>
    <w:p w:rsidR="00C95FD7" w:rsidRDefault="00C95FD7" w:rsidP="00C95FD7">
      <w:pPr>
        <w:spacing w:line="480" w:lineRule="auto"/>
      </w:pPr>
      <w:r>
        <w:t xml:space="preserve">The combs were removed carefully for loading the samples. Now, the gel was transferred into the electrophoresis chamber which already contains TAE buffer. 3 </w:t>
      </w:r>
      <w:r>
        <w:rPr>
          <w:rFonts w:cs="Times New Roman"/>
        </w:rPr>
        <w:t>µ</w:t>
      </w:r>
      <w:r>
        <w:t xml:space="preserve">l of the sample of DNA was mixed into 2 </w:t>
      </w:r>
      <w:r>
        <w:rPr>
          <w:rFonts w:cs="Times New Roman"/>
        </w:rPr>
        <w:t>µ</w:t>
      </w:r>
      <w:r>
        <w:t xml:space="preserve">l of thermos scientific loading dye making the final volume 5 </w:t>
      </w:r>
      <w:r>
        <w:rPr>
          <w:rFonts w:cs="Times New Roman"/>
        </w:rPr>
        <w:t>µ</w:t>
      </w:r>
      <w:r>
        <w:t xml:space="preserve">l, was loaded into the wells of gel. Thermo scientific DNA Ladder of 1000 bp was added in the first well and all other wells were loaded with extracted DNA. After that electrophoresis chamber was covered with the lid. The gel was run for 45 minutes at 80 volts. The gel was then carefully taken to gel doc system to visualize the extracted DNA.  </w:t>
      </w:r>
    </w:p>
    <w:p w:rsidR="00C95FD7" w:rsidRPr="006D22BD" w:rsidRDefault="00C95FD7" w:rsidP="00C95FD7">
      <w:pPr>
        <w:pStyle w:val="Heading2"/>
        <w:spacing w:line="480" w:lineRule="auto"/>
        <w:rPr>
          <w:rFonts w:cs="Times New Roman"/>
        </w:rPr>
      </w:pPr>
      <w:r w:rsidRPr="006D22BD">
        <w:rPr>
          <w:rFonts w:cs="Times New Roman"/>
        </w:rPr>
        <w:t>3.4 Primer Design and Synthesis</w:t>
      </w:r>
    </w:p>
    <w:p w:rsidR="00C95FD7" w:rsidRPr="006D22BD" w:rsidRDefault="00C95FD7" w:rsidP="00C95FD7">
      <w:pPr>
        <w:spacing w:line="480" w:lineRule="auto"/>
        <w:rPr>
          <w:rFonts w:cs="Times New Roman"/>
          <w:szCs w:val="24"/>
        </w:rPr>
      </w:pPr>
      <w:r w:rsidRPr="006D22BD">
        <w:rPr>
          <w:rFonts w:cs="Times New Roman"/>
          <w:szCs w:val="24"/>
        </w:rPr>
        <w:t xml:space="preserve">To design the primer, sequence of complete gene </w:t>
      </w:r>
      <w:r w:rsidRPr="006D22BD">
        <w:rPr>
          <w:rFonts w:cs="Times New Roman"/>
          <w:i/>
          <w:iCs/>
          <w:szCs w:val="24"/>
        </w:rPr>
        <w:t xml:space="preserve">HBB </w:t>
      </w:r>
      <w:r w:rsidRPr="006D22BD">
        <w:rPr>
          <w:rFonts w:cs="Times New Roman"/>
          <w:szCs w:val="24"/>
        </w:rPr>
        <w:t>was taken from Ensembl Genome (</w:t>
      </w:r>
      <w:hyperlink r:id="rId8" w:history="1">
        <w:r w:rsidRPr="006D22BD">
          <w:rPr>
            <w:rStyle w:val="Hyperlink"/>
            <w:rFonts w:cs="Times New Roman"/>
            <w:szCs w:val="24"/>
          </w:rPr>
          <w:t>http://asia.ensembl.org/index.html</w:t>
        </w:r>
      </w:hyperlink>
      <w:r w:rsidRPr="006D22BD">
        <w:rPr>
          <w:rFonts w:cs="Times New Roman"/>
          <w:szCs w:val="24"/>
        </w:rPr>
        <w:t>) and its 3</w:t>
      </w:r>
      <w:r w:rsidRPr="006D22BD">
        <w:rPr>
          <w:rFonts w:cs="Times New Roman"/>
          <w:szCs w:val="24"/>
          <w:vertAlign w:val="superscript"/>
        </w:rPr>
        <w:t>rd</w:t>
      </w:r>
      <w:r w:rsidRPr="006D22BD">
        <w:rPr>
          <w:rFonts w:cs="Times New Roman"/>
          <w:szCs w:val="24"/>
        </w:rPr>
        <w:t xml:space="preserve"> exon was selected. </w:t>
      </w:r>
      <w:r w:rsidRPr="006D22BD">
        <w:rPr>
          <w:rFonts w:cs="Times New Roman"/>
          <w:i/>
          <w:iCs/>
          <w:szCs w:val="24"/>
        </w:rPr>
        <w:t xml:space="preserve">In silico </w:t>
      </w:r>
      <w:r w:rsidRPr="006D22BD">
        <w:rPr>
          <w:rFonts w:cs="Times New Roman"/>
          <w:szCs w:val="24"/>
        </w:rPr>
        <w:t>Primer was designed through primer3 plus (</w:t>
      </w:r>
      <w:hyperlink r:id="rId9" w:history="1">
        <w:r w:rsidRPr="006D22BD">
          <w:rPr>
            <w:rStyle w:val="Hyperlink"/>
            <w:rFonts w:cs="Times New Roman"/>
            <w:szCs w:val="24"/>
          </w:rPr>
          <w:t>https://www.bioinformatics.nl/cgi-bin/primer3plus/primer3plus.cgi</w:t>
        </w:r>
      </w:hyperlink>
      <w:r w:rsidRPr="006D22BD">
        <w:rPr>
          <w:rFonts w:cs="Times New Roman"/>
          <w:szCs w:val="24"/>
        </w:rPr>
        <w:t xml:space="preserve">) and then it was verified via UCSC </w:t>
      </w:r>
      <w:r w:rsidRPr="006D22BD">
        <w:rPr>
          <w:rFonts w:cs="Times New Roman"/>
          <w:i/>
          <w:iCs/>
          <w:szCs w:val="24"/>
        </w:rPr>
        <w:t xml:space="preserve">in silico </w:t>
      </w:r>
      <w:r w:rsidRPr="006D22BD">
        <w:rPr>
          <w:rFonts w:cs="Times New Roman"/>
          <w:szCs w:val="24"/>
        </w:rPr>
        <w:t>PCR (</w:t>
      </w:r>
      <w:hyperlink r:id="rId10" w:history="1">
        <w:r w:rsidRPr="006D22BD">
          <w:rPr>
            <w:rStyle w:val="Hyperlink"/>
            <w:rFonts w:cs="Times New Roman"/>
            <w:szCs w:val="24"/>
          </w:rPr>
          <w:t>https://genome.ucsc.edu/cgi-bin/hgPcr</w:t>
        </w:r>
      </w:hyperlink>
      <w:r w:rsidRPr="006D22BD">
        <w:rPr>
          <w:rFonts w:cs="Times New Roman"/>
          <w:szCs w:val="24"/>
        </w:rPr>
        <w:t xml:space="preserve">). </w:t>
      </w:r>
    </w:p>
    <w:p w:rsidR="00C95FD7" w:rsidRPr="00F74F33" w:rsidRDefault="00C95FD7" w:rsidP="00C95FD7">
      <w:pPr>
        <w:spacing w:line="480" w:lineRule="auto"/>
        <w:rPr>
          <w:rFonts w:cs="Times New Roman"/>
          <w:szCs w:val="24"/>
        </w:rPr>
      </w:pPr>
      <w:r w:rsidRPr="00F74F33">
        <w:rPr>
          <w:rFonts w:cs="Times New Roman"/>
          <w:szCs w:val="24"/>
        </w:rPr>
        <w:t>Table 3.4: Details of primer used in the study</w:t>
      </w:r>
    </w:p>
    <w:tbl>
      <w:tblPr>
        <w:tblStyle w:val="PlainTable2"/>
        <w:tblW w:w="9498" w:type="dxa"/>
        <w:tblLayout w:type="fixed"/>
        <w:tblLook w:val="04A0" w:firstRow="1" w:lastRow="0" w:firstColumn="1" w:lastColumn="0" w:noHBand="0" w:noVBand="1"/>
      </w:tblPr>
      <w:tblGrid>
        <w:gridCol w:w="2829"/>
        <w:gridCol w:w="2926"/>
        <w:gridCol w:w="2743"/>
        <w:gridCol w:w="1000"/>
      </w:tblGrid>
      <w:tr w:rsidR="00C95FD7" w:rsidRPr="006D22BD" w:rsidTr="00325C04">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829" w:type="dxa"/>
          </w:tcPr>
          <w:p w:rsidR="00C95FD7" w:rsidRPr="006D22BD" w:rsidRDefault="00C95FD7" w:rsidP="00325C04">
            <w:pPr>
              <w:spacing w:line="480" w:lineRule="auto"/>
              <w:jc w:val="center"/>
              <w:rPr>
                <w:rFonts w:cs="Times New Roman"/>
                <w:szCs w:val="24"/>
              </w:rPr>
            </w:pPr>
            <w:r w:rsidRPr="006D22BD">
              <w:rPr>
                <w:rFonts w:cs="Times New Roman"/>
                <w:szCs w:val="24"/>
              </w:rPr>
              <w:t>HBB Gene Exon 3</w:t>
            </w:r>
          </w:p>
        </w:tc>
        <w:tc>
          <w:tcPr>
            <w:tcW w:w="2926" w:type="dxa"/>
          </w:tcPr>
          <w:p w:rsidR="00C95FD7" w:rsidRPr="006D22BD"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6D22BD">
              <w:rPr>
                <w:rFonts w:cs="Times New Roman"/>
                <w:szCs w:val="24"/>
              </w:rPr>
              <w:t>Forward Primer</w:t>
            </w:r>
          </w:p>
        </w:tc>
        <w:tc>
          <w:tcPr>
            <w:tcW w:w="2743" w:type="dxa"/>
          </w:tcPr>
          <w:p w:rsidR="00C95FD7" w:rsidRPr="006D22BD"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6D22BD">
              <w:rPr>
                <w:rFonts w:cs="Times New Roman"/>
                <w:szCs w:val="24"/>
              </w:rPr>
              <w:t>Reverse Primer</w:t>
            </w:r>
          </w:p>
        </w:tc>
        <w:tc>
          <w:tcPr>
            <w:tcW w:w="1000" w:type="dxa"/>
          </w:tcPr>
          <w:p w:rsidR="00C95FD7" w:rsidRPr="006D22BD"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6D22BD">
              <w:rPr>
                <w:rFonts w:cs="Times New Roman"/>
                <w:szCs w:val="24"/>
              </w:rPr>
              <w:t>Length</w:t>
            </w:r>
          </w:p>
        </w:tc>
      </w:tr>
      <w:tr w:rsidR="00C95FD7" w:rsidRPr="006D22BD" w:rsidTr="00325C04">
        <w:trPr>
          <w:cnfStyle w:val="000000100000" w:firstRow="0" w:lastRow="0" w:firstColumn="0" w:lastColumn="0" w:oddVBand="0" w:evenVBand="0" w:oddHBand="1" w:evenHBand="0" w:firstRowFirstColumn="0" w:firstRowLastColumn="0" w:lastRowFirstColumn="0" w:lastRowLastColumn="0"/>
          <w:trHeight w:val="1468"/>
        </w:trPr>
        <w:tc>
          <w:tcPr>
            <w:cnfStyle w:val="001000000000" w:firstRow="0" w:lastRow="0" w:firstColumn="1" w:lastColumn="0" w:oddVBand="0" w:evenVBand="0" w:oddHBand="0" w:evenHBand="0" w:firstRowFirstColumn="0" w:firstRowLastColumn="0" w:lastRowFirstColumn="0" w:lastRowLastColumn="0"/>
            <w:tcW w:w="2829" w:type="dxa"/>
          </w:tcPr>
          <w:p w:rsidR="00C95FD7" w:rsidRPr="00596569" w:rsidRDefault="00C95FD7" w:rsidP="00325C04">
            <w:pPr>
              <w:spacing w:line="480" w:lineRule="auto"/>
              <w:jc w:val="center"/>
              <w:rPr>
                <w:rFonts w:cs="Times New Roman"/>
                <w:color w:val="000000"/>
              </w:rPr>
            </w:pPr>
            <w:r w:rsidRPr="006D22BD">
              <w:rPr>
                <w:rFonts w:cs="Times New Roman"/>
                <w:color w:val="000000"/>
              </w:rPr>
              <w:t>(CGGCTGTCA-TGGGCAG)</w:t>
            </w:r>
          </w:p>
        </w:tc>
        <w:tc>
          <w:tcPr>
            <w:tcW w:w="2926" w:type="dxa"/>
          </w:tcPr>
          <w:p w:rsidR="00C95FD7" w:rsidRPr="001A5F6A"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ACTCCTAAGCCAGTGCCAGA</w:t>
            </w:r>
          </w:p>
        </w:tc>
        <w:tc>
          <w:tcPr>
            <w:tcW w:w="2743" w:type="dxa"/>
          </w:tcPr>
          <w:p w:rsidR="00C95FD7" w:rsidRPr="001A5F6A"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GTCTCCACATGCCCAGTTTC</w:t>
            </w:r>
          </w:p>
        </w:tc>
        <w:tc>
          <w:tcPr>
            <w:tcW w:w="1000" w:type="dxa"/>
          </w:tcPr>
          <w:p w:rsidR="00C95FD7" w:rsidRPr="006D22BD"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D22BD">
              <w:rPr>
                <w:rFonts w:cs="Times New Roman"/>
                <w:szCs w:val="24"/>
              </w:rPr>
              <w:t>20BP</w:t>
            </w:r>
          </w:p>
        </w:tc>
      </w:tr>
    </w:tbl>
    <w:p w:rsidR="00C95FD7" w:rsidRPr="006D22BD" w:rsidRDefault="00C95FD7" w:rsidP="00C95FD7">
      <w:pPr>
        <w:pStyle w:val="Heading2"/>
        <w:spacing w:line="480" w:lineRule="auto"/>
        <w:rPr>
          <w:rFonts w:cs="Times New Roman"/>
        </w:rPr>
      </w:pPr>
      <w:r w:rsidRPr="006D22BD">
        <w:rPr>
          <w:rFonts w:cs="Times New Roman"/>
        </w:rPr>
        <w:t xml:space="preserve">3.5 PCR </w:t>
      </w:r>
      <w:r>
        <w:rPr>
          <w:rFonts w:cs="Times New Roman"/>
        </w:rPr>
        <w:t xml:space="preserve">Amplification </w:t>
      </w:r>
    </w:p>
    <w:p w:rsidR="00C95FD7" w:rsidRDefault="00C95FD7" w:rsidP="00C95FD7">
      <w:pPr>
        <w:spacing w:line="480" w:lineRule="auto"/>
        <w:rPr>
          <w:rFonts w:cs="Times New Roman"/>
          <w:i/>
          <w:szCs w:val="24"/>
        </w:rPr>
      </w:pPr>
      <w:r>
        <w:rPr>
          <w:rFonts w:cs="Times New Roman"/>
          <w:szCs w:val="24"/>
        </w:rPr>
        <w:t xml:space="preserve">PCR is a thermos cycler technique of laboratory used to make several copies of a gene, we used it to amplify our gene with primer </w:t>
      </w:r>
      <w:r>
        <w:rPr>
          <w:rFonts w:cs="Times New Roman"/>
          <w:i/>
          <w:szCs w:val="24"/>
        </w:rPr>
        <w:t xml:space="preserve">HBB. </w:t>
      </w:r>
    </w:p>
    <w:p w:rsidR="00C95FD7" w:rsidRDefault="00C95FD7" w:rsidP="00C95FD7">
      <w:pPr>
        <w:pStyle w:val="Heading3"/>
        <w:spacing w:line="480" w:lineRule="auto"/>
      </w:pPr>
      <w:r>
        <w:t xml:space="preserve">3.5.1 Profile for PCR Process </w:t>
      </w:r>
    </w:p>
    <w:p w:rsidR="00C95FD7" w:rsidRPr="00F74F33" w:rsidRDefault="00C95FD7" w:rsidP="00C95FD7">
      <w:pPr>
        <w:spacing w:line="480" w:lineRule="auto"/>
        <w:rPr>
          <w:i/>
        </w:rPr>
      </w:pPr>
      <w:r w:rsidRPr="00F74F33">
        <w:rPr>
          <w:i/>
        </w:rPr>
        <w:t xml:space="preserve">Table 3.5: Ingredients and Concentration for PCR reaction </w:t>
      </w:r>
    </w:p>
    <w:tbl>
      <w:tblPr>
        <w:tblStyle w:val="PlainTable2"/>
        <w:tblW w:w="0" w:type="auto"/>
        <w:tblLook w:val="04A0" w:firstRow="1" w:lastRow="0" w:firstColumn="1" w:lastColumn="0" w:noHBand="0" w:noVBand="1"/>
      </w:tblPr>
      <w:tblGrid>
        <w:gridCol w:w="516"/>
        <w:gridCol w:w="4537"/>
        <w:gridCol w:w="4307"/>
      </w:tblGrid>
      <w:tr w:rsidR="00C95FD7" w:rsidTr="00325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Sr.</w:t>
            </w:r>
          </w:p>
        </w:tc>
        <w:tc>
          <w:tcPr>
            <w:tcW w:w="454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Ingredient Name</w:t>
            </w:r>
          </w:p>
        </w:tc>
        <w:tc>
          <w:tcPr>
            <w:tcW w:w="4315"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Amount of Ingredient in</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1</w:t>
            </w:r>
          </w:p>
        </w:tc>
        <w:tc>
          <w:tcPr>
            <w:tcW w:w="454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Double Distilled Water</w:t>
            </w:r>
          </w:p>
        </w:tc>
        <w:tc>
          <w:tcPr>
            <w:tcW w:w="431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8</w:t>
            </w:r>
          </w:p>
        </w:tc>
      </w:tr>
      <w:tr w:rsidR="00C95FD7" w:rsidTr="00325C04">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2</w:t>
            </w:r>
          </w:p>
        </w:tc>
        <w:tc>
          <w:tcPr>
            <w:tcW w:w="454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Master Mix</w:t>
            </w:r>
          </w:p>
        </w:tc>
        <w:tc>
          <w:tcPr>
            <w:tcW w:w="431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12.5</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3</w:t>
            </w:r>
          </w:p>
        </w:tc>
        <w:tc>
          <w:tcPr>
            <w:tcW w:w="454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Primer (reverse)</w:t>
            </w:r>
          </w:p>
        </w:tc>
        <w:tc>
          <w:tcPr>
            <w:tcW w:w="431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1</w:t>
            </w:r>
          </w:p>
        </w:tc>
      </w:tr>
      <w:tr w:rsidR="00C95FD7" w:rsidTr="00325C04">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4</w:t>
            </w:r>
          </w:p>
        </w:tc>
        <w:tc>
          <w:tcPr>
            <w:tcW w:w="454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Primer (forward)</w:t>
            </w:r>
          </w:p>
        </w:tc>
        <w:tc>
          <w:tcPr>
            <w:tcW w:w="431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1</w:t>
            </w:r>
          </w:p>
        </w:tc>
      </w:tr>
      <w:tr w:rsidR="00C95FD7" w:rsidTr="00325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5</w:t>
            </w:r>
          </w:p>
        </w:tc>
        <w:tc>
          <w:tcPr>
            <w:tcW w:w="454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DNA Template</w:t>
            </w:r>
          </w:p>
        </w:tc>
        <w:tc>
          <w:tcPr>
            <w:tcW w:w="4315"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2</w:t>
            </w:r>
          </w:p>
        </w:tc>
      </w:tr>
      <w:tr w:rsidR="00C95FD7" w:rsidTr="00325C04">
        <w:tc>
          <w:tcPr>
            <w:cnfStyle w:val="001000000000" w:firstRow="0" w:lastRow="0" w:firstColumn="1" w:lastColumn="0" w:oddVBand="0" w:evenVBand="0" w:oddHBand="0" w:evenHBand="0" w:firstRowFirstColumn="0" w:firstRowLastColumn="0" w:lastRowFirstColumn="0" w:lastRowLastColumn="0"/>
            <w:tcW w:w="490" w:type="dxa"/>
          </w:tcPr>
          <w:p w:rsidR="00C95FD7" w:rsidRDefault="00C95FD7" w:rsidP="00325C04">
            <w:pPr>
              <w:spacing w:line="480" w:lineRule="auto"/>
              <w:jc w:val="center"/>
            </w:pPr>
            <w:r>
              <w:t>6</w:t>
            </w:r>
          </w:p>
        </w:tc>
        <w:tc>
          <w:tcPr>
            <w:tcW w:w="454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Total Volume</w:t>
            </w:r>
          </w:p>
        </w:tc>
        <w:tc>
          <w:tcPr>
            <w:tcW w:w="4315"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25</w:t>
            </w:r>
          </w:p>
        </w:tc>
      </w:tr>
    </w:tbl>
    <w:p w:rsidR="00C95FD7" w:rsidRPr="001A5F6A" w:rsidRDefault="00C95FD7" w:rsidP="00C95FD7">
      <w:pPr>
        <w:spacing w:line="480" w:lineRule="auto"/>
      </w:pPr>
    </w:p>
    <w:p w:rsidR="00C95FD7" w:rsidRPr="006D22BD" w:rsidRDefault="00C95FD7" w:rsidP="00C95FD7">
      <w:pPr>
        <w:spacing w:line="480" w:lineRule="auto"/>
        <w:rPr>
          <w:rFonts w:cs="Times New Roman"/>
          <w:color w:val="000000"/>
          <w:szCs w:val="24"/>
          <w:shd w:val="clear" w:color="auto" w:fill="FFFFFF"/>
        </w:rPr>
      </w:pPr>
      <w:r w:rsidRPr="006D22BD">
        <w:rPr>
          <w:rFonts w:cs="Times New Roman"/>
          <w:szCs w:val="24"/>
        </w:rPr>
        <w:t>For scanning 3</w:t>
      </w:r>
      <w:r w:rsidRPr="006D22BD">
        <w:rPr>
          <w:rFonts w:cs="Times New Roman"/>
          <w:szCs w:val="24"/>
          <w:vertAlign w:val="superscript"/>
        </w:rPr>
        <w:t>rd</w:t>
      </w:r>
      <w:r w:rsidRPr="006D22BD">
        <w:rPr>
          <w:rFonts w:cs="Times New Roman"/>
          <w:szCs w:val="24"/>
        </w:rPr>
        <w:t xml:space="preserve"> Exon of </w:t>
      </w:r>
      <w:r w:rsidRPr="006D22BD">
        <w:rPr>
          <w:rFonts w:cs="Times New Roman"/>
          <w:i/>
          <w:iCs/>
          <w:szCs w:val="24"/>
        </w:rPr>
        <w:t xml:space="preserve">HBB </w:t>
      </w:r>
      <w:r w:rsidRPr="006D22BD">
        <w:rPr>
          <w:rFonts w:cs="Times New Roman"/>
          <w:szCs w:val="24"/>
        </w:rPr>
        <w:t xml:space="preserve">gene by conventional PCR with primer, each reaction included a total volume of 25 µls. </w:t>
      </w:r>
      <w:r w:rsidRPr="006D22BD">
        <w:rPr>
          <w:rFonts w:cs="Times New Roman"/>
          <w:color w:val="000000"/>
          <w:szCs w:val="24"/>
          <w:shd w:val="clear" w:color="auto" w:fill="FFFFFF"/>
        </w:rPr>
        <w:t>The reaction volume was composed of 2 µl of the DNA template, 12.5 µl of master mix, 1 µl of each forward and reverse primer and 8.5 µls of double distilled water was added to make the final solution of 25 µls. After a 10 min hold at 95 °C, 26 cycles of PCR were performed as follows: denaturation for 15s a</w:t>
      </w:r>
      <w:r>
        <w:rPr>
          <w:rFonts w:cs="Times New Roman"/>
          <w:color w:val="000000"/>
          <w:szCs w:val="24"/>
          <w:shd w:val="clear" w:color="auto" w:fill="FFFFFF"/>
        </w:rPr>
        <w:t>t 95 °C, annealing for 15s at 57</w:t>
      </w:r>
      <w:r w:rsidRPr="006D22BD">
        <w:rPr>
          <w:rFonts w:cs="Times New Roman"/>
          <w:color w:val="000000"/>
          <w:szCs w:val="24"/>
          <w:shd w:val="clear" w:color="auto" w:fill="FFFFFF"/>
        </w:rPr>
        <w:t xml:space="preserve"> °C and the final elongation 15s at 72 °C. </w:t>
      </w:r>
    </w:p>
    <w:p w:rsidR="00C95FD7" w:rsidRPr="006D22BD" w:rsidRDefault="00C95FD7" w:rsidP="00C95FD7">
      <w:pPr>
        <w:pStyle w:val="Heading2"/>
        <w:spacing w:line="480" w:lineRule="auto"/>
        <w:rPr>
          <w:rFonts w:cs="Times New Roman"/>
        </w:rPr>
      </w:pPr>
      <w:r w:rsidRPr="006D22BD">
        <w:rPr>
          <w:rFonts w:cs="Times New Roman"/>
        </w:rPr>
        <w:t>3.6 Sequencing of 3</w:t>
      </w:r>
      <w:r w:rsidRPr="006D22BD">
        <w:rPr>
          <w:rFonts w:cs="Times New Roman"/>
          <w:vertAlign w:val="superscript"/>
        </w:rPr>
        <w:t>rd</w:t>
      </w:r>
      <w:r w:rsidRPr="006D22BD">
        <w:rPr>
          <w:rFonts w:cs="Times New Roman"/>
        </w:rPr>
        <w:t xml:space="preserve"> Exon of </w:t>
      </w:r>
      <w:r w:rsidRPr="006D22BD">
        <w:rPr>
          <w:rFonts w:cs="Times New Roman"/>
          <w:iCs/>
        </w:rPr>
        <w:t xml:space="preserve">HBB </w:t>
      </w:r>
      <w:r w:rsidRPr="006D22BD">
        <w:rPr>
          <w:rFonts w:cs="Times New Roman"/>
        </w:rPr>
        <w:t>gene</w:t>
      </w:r>
    </w:p>
    <w:p w:rsidR="00C95FD7" w:rsidRPr="006D22BD" w:rsidRDefault="00C95FD7" w:rsidP="00C95FD7">
      <w:pPr>
        <w:spacing w:line="480" w:lineRule="auto"/>
        <w:rPr>
          <w:rFonts w:cs="Times New Roman"/>
        </w:rPr>
      </w:pPr>
      <w:r>
        <w:rPr>
          <w:rFonts w:cs="Times New Roman"/>
        </w:rPr>
        <w:t xml:space="preserve">Sequencing is a molecular technique to identify the sequence of unknown DNA sample. The samples were labelled properly and after labelling the samples were covered with paraffin properly in order to avoid contamination or leakage and sent for sequencing. </w:t>
      </w:r>
    </w:p>
    <w:p w:rsidR="00C95FD7" w:rsidRPr="00444489" w:rsidRDefault="00C95FD7" w:rsidP="00C95FD7">
      <w:pPr>
        <w:pStyle w:val="Heading2"/>
        <w:spacing w:line="480" w:lineRule="auto"/>
        <w:rPr>
          <w:rFonts w:cs="Times New Roman"/>
        </w:rPr>
      </w:pPr>
      <w:r w:rsidRPr="006D22BD">
        <w:rPr>
          <w:rFonts w:cs="Times New Roman"/>
          <w:noProof/>
          <w:szCs w:val="24"/>
        </w:rPr>
        <mc:AlternateContent>
          <mc:Choice Requires="wps">
            <w:drawing>
              <wp:anchor distT="0" distB="0" distL="114300" distR="114300" simplePos="0" relativeHeight="251659264" behindDoc="0" locked="0" layoutInCell="1" allowOverlap="1" wp14:anchorId="064EA569" wp14:editId="122C5D07">
                <wp:simplePos x="0" y="0"/>
                <wp:positionH relativeFrom="column">
                  <wp:posOffset>933819</wp:posOffset>
                </wp:positionH>
                <wp:positionV relativeFrom="paragraph">
                  <wp:posOffset>285750</wp:posOffset>
                </wp:positionV>
                <wp:extent cx="4076700" cy="3810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4076700" cy="38100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A910F4" w:rsidRDefault="00C95FD7" w:rsidP="00C95FD7">
                            <w:pPr>
                              <w:jc w:val="center"/>
                              <w:rPr>
                                <w:rFonts w:cs="Times New Roman"/>
                              </w:rPr>
                            </w:pPr>
                            <w:r>
                              <w:rPr>
                                <w:rFonts w:cs="Times New Roman"/>
                              </w:rPr>
                              <w:t>Nucleotide Sequence (obtain from our DNA)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EA569" id="Rounded Rectangle 3" o:spid="_x0000_s1026" style="position:absolute;left:0;text-align:left;margin-left:73.55pt;margin-top:22.5pt;width:321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" fillcolor="white [3201]" strokecolor="#ffc000 [3207]" strokeweight="1pt">
                <v:stroke joinstyle="miter"/>
                <v:textbox>
                  <w:txbxContent>
                    <w:p w:rsidR="00C95FD7" w:rsidRPr="00A910F4" w:rsidRDefault="00C95FD7" w:rsidP="00C95FD7">
                      <w:pPr>
                        <w:jc w:val="center"/>
                        <w:rPr>
                          <w:rFonts w:cs="Times New Roman"/>
                        </w:rPr>
                      </w:pPr>
                      <w:r>
                        <w:rPr>
                          <w:rFonts w:cs="Times New Roman"/>
                        </w:rPr>
                        <w:t>Nucleotide Sequence (obtain from our DNA)</w:t>
                      </w:r>
                    </w:p>
                  </w:txbxContent>
                </v:textbox>
              </v:roundrect>
            </w:pict>
          </mc:Fallback>
        </mc:AlternateContent>
      </w:r>
      <w:r>
        <w:rPr>
          <w:rFonts w:cs="Times New Roman"/>
        </w:rPr>
        <w:t>3.7</w:t>
      </w:r>
      <w:r w:rsidRPr="006D22BD">
        <w:rPr>
          <w:rFonts w:cs="Times New Roman"/>
        </w:rPr>
        <w:t xml:space="preserve"> Use of Bioinformatics</w: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0288" behindDoc="0" locked="0" layoutInCell="1" allowOverlap="1" wp14:anchorId="4AF98BA4" wp14:editId="626EF1F6">
                <wp:simplePos x="0" y="0"/>
                <wp:positionH relativeFrom="column">
                  <wp:posOffset>2710637</wp:posOffset>
                </wp:positionH>
                <wp:positionV relativeFrom="paragraph">
                  <wp:posOffset>262255</wp:posOffset>
                </wp:positionV>
                <wp:extent cx="219075" cy="323850"/>
                <wp:effectExtent l="19050" t="0" r="28575" b="38100"/>
                <wp:wrapNone/>
                <wp:docPr id="4" name="Down Arrow 4"/>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8B0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213.45pt;margin-top:20.65pt;width:1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" adj="14294" fillcolor="#555 [2160]" strokecolor="black [3200]" strokeweight=".5pt">
                <v:fill color2="#313131 [2608]" rotate="t" colors="0 #9b9b9b;.5 #8e8e8e;1 #797979" focus="100%" type="gradient">
                  <o:fill v:ext="view" type="gradientUnscaled"/>
                </v:fill>
              </v:shape>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2336" behindDoc="0" locked="0" layoutInCell="1" allowOverlap="1" wp14:anchorId="55454CF9" wp14:editId="5EA6C7CB">
                <wp:simplePos x="0" y="0"/>
                <wp:positionH relativeFrom="column">
                  <wp:posOffset>2667000</wp:posOffset>
                </wp:positionH>
                <wp:positionV relativeFrom="paragraph">
                  <wp:posOffset>415290</wp:posOffset>
                </wp:positionV>
                <wp:extent cx="219075" cy="323850"/>
                <wp:effectExtent l="19050" t="0" r="28575" b="38100"/>
                <wp:wrapNone/>
                <wp:docPr id="7" name="Down Arrow 7"/>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238F5" id="Down Arrow 7" o:spid="_x0000_s1026" type="#_x0000_t67" style="position:absolute;margin-left:210pt;margin-top:32.7pt;width:17.2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" adj="14294" fillcolor="#555 [2160]" strokecolor="black [3200]" strokeweight=".5pt">
                <v:fill color2="#313131 [2608]" rotate="t" colors="0 #9b9b9b;.5 #8e8e8e;1 #797979" focus="100%" type="gradient">
                  <o:fill v:ext="view" type="gradientUnscaled"/>
                </v:fill>
              </v:shape>
            </w:pict>
          </mc:Fallback>
        </mc:AlternateContent>
      </w:r>
      <w:r w:rsidRPr="006D22BD">
        <w:rPr>
          <w:rFonts w:cs="Times New Roman"/>
          <w:b/>
          <w:noProof/>
          <w:sz w:val="28"/>
          <w:szCs w:val="24"/>
        </w:rPr>
        <mc:AlternateContent>
          <mc:Choice Requires="wps">
            <w:drawing>
              <wp:anchor distT="0" distB="0" distL="114300" distR="114300" simplePos="0" relativeHeight="251661312" behindDoc="0" locked="0" layoutInCell="1" allowOverlap="1" wp14:anchorId="3F4BA0B2" wp14:editId="5360A05C">
                <wp:simplePos x="0" y="0"/>
                <wp:positionH relativeFrom="margin">
                  <wp:align>center</wp:align>
                </wp:positionH>
                <wp:positionV relativeFrom="paragraph">
                  <wp:posOffset>73025</wp:posOffset>
                </wp:positionV>
                <wp:extent cx="2971800" cy="3429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2971800" cy="34290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 xml:space="preserve">ExPasy Translate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BA0B2" id="Rounded Rectangle 5" o:spid="_x0000_s1027" style="position:absolute;left:0;text-align:left;margin-left:0;margin-top:5.75pt;width:234pt;height:2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 xml:space="preserve">ExPasy Translate </w:t>
                      </w:r>
                    </w:p>
                  </w:txbxContent>
                </v:textbox>
                <w10:wrap anchorx="margin"/>
              </v:roundrect>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3360" behindDoc="0" locked="0" layoutInCell="1" allowOverlap="1" wp14:anchorId="3CF4BF24" wp14:editId="14559A21">
                <wp:simplePos x="0" y="0"/>
                <wp:positionH relativeFrom="margin">
                  <wp:posOffset>1362075</wp:posOffset>
                </wp:positionH>
                <wp:positionV relativeFrom="paragraph">
                  <wp:posOffset>276225</wp:posOffset>
                </wp:positionV>
                <wp:extent cx="3195145" cy="352425"/>
                <wp:effectExtent l="0" t="0" r="24765" b="28575"/>
                <wp:wrapNone/>
                <wp:docPr id="9" name="Rounded Rectangle 9"/>
                <wp:cNvGraphicFramePr/>
                <a:graphic xmlns:a="http://schemas.openxmlformats.org/drawingml/2006/main">
                  <a:graphicData uri="http://schemas.microsoft.com/office/word/2010/wordprocessingShape">
                    <wps:wsp>
                      <wps:cNvSpPr/>
                      <wps:spPr>
                        <a:xfrm>
                          <a:off x="0" y="0"/>
                          <a:ext cx="3195145" cy="35242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Secondary structure by Psipred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4BF24" id="Rounded Rectangle 9" o:spid="_x0000_s1028" style="position:absolute;left:0;text-align:left;margin-left:107.25pt;margin-top:21.75pt;width:251.6pt;height:2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Secondary structure by Psipred</w:t>
                      </w:r>
                    </w:p>
                  </w:txbxContent>
                </v:textbox>
                <w10:wrap anchorx="margin"/>
              </v:roundrect>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5408" behindDoc="0" locked="0" layoutInCell="1" allowOverlap="1" wp14:anchorId="3306937E" wp14:editId="1E5528C2">
                <wp:simplePos x="0" y="0"/>
                <wp:positionH relativeFrom="column">
                  <wp:posOffset>1477645</wp:posOffset>
                </wp:positionH>
                <wp:positionV relativeFrom="paragraph">
                  <wp:posOffset>497205</wp:posOffset>
                </wp:positionV>
                <wp:extent cx="2785242" cy="323850"/>
                <wp:effectExtent l="0" t="0" r="15240" b="19050"/>
                <wp:wrapNone/>
                <wp:docPr id="11" name="Rounded Rectangle 11"/>
                <wp:cNvGraphicFramePr/>
                <a:graphic xmlns:a="http://schemas.openxmlformats.org/drawingml/2006/main">
                  <a:graphicData uri="http://schemas.microsoft.com/office/word/2010/wordprocessingShape">
                    <wps:wsp>
                      <wps:cNvSpPr/>
                      <wps:spPr>
                        <a:xfrm>
                          <a:off x="0" y="0"/>
                          <a:ext cx="2785242" cy="32385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3D Structure prediction by trRosetta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6937E" id="Rounded Rectangle 11" o:spid="_x0000_s1029" style="position:absolute;left:0;text-align:left;margin-left:116.35pt;margin-top:39.15pt;width:219.3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3D Structure prediction by trRosetta</w:t>
                      </w:r>
                    </w:p>
                  </w:txbxContent>
                </v:textbox>
              </v:roundrect>
            </w:pict>
          </mc:Fallback>
        </mc:AlternateContent>
      </w:r>
      <w:r w:rsidRPr="006D22BD">
        <w:rPr>
          <w:rFonts w:cs="Times New Roman"/>
          <w:b/>
          <w:noProof/>
          <w:sz w:val="28"/>
          <w:szCs w:val="24"/>
        </w:rPr>
        <mc:AlternateContent>
          <mc:Choice Requires="wps">
            <w:drawing>
              <wp:anchor distT="0" distB="0" distL="114300" distR="114300" simplePos="0" relativeHeight="251664384" behindDoc="0" locked="0" layoutInCell="1" allowOverlap="1" wp14:anchorId="4409681A" wp14:editId="37EB8E2E">
                <wp:simplePos x="0" y="0"/>
                <wp:positionH relativeFrom="column">
                  <wp:posOffset>2695575</wp:posOffset>
                </wp:positionH>
                <wp:positionV relativeFrom="paragraph">
                  <wp:posOffset>141605</wp:posOffset>
                </wp:positionV>
                <wp:extent cx="219075" cy="323850"/>
                <wp:effectExtent l="19050" t="0" r="28575" b="38100"/>
                <wp:wrapNone/>
                <wp:docPr id="10" name="Down Arrow 10"/>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B4F08" id="Down Arrow 10" o:spid="_x0000_s1026" type="#_x0000_t67" style="position:absolute;margin-left:212.25pt;margin-top:11.15pt;width:17.2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" adj="14294" fillcolor="#555 [2160]" strokecolor="black [3200]" strokeweight=".5pt">
                <v:fill color2="#313131 [2608]" rotate="t" colors="0 #9b9b9b;.5 #8e8e8e;1 #797979" focus="100%" type="gradient">
                  <o:fill v:ext="view" type="gradientUnscaled"/>
                </v:fill>
              </v:shape>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6432" behindDoc="0" locked="0" layoutInCell="1" allowOverlap="1" wp14:anchorId="62BA414B" wp14:editId="1E67B822">
                <wp:simplePos x="0" y="0"/>
                <wp:positionH relativeFrom="column">
                  <wp:posOffset>2705100</wp:posOffset>
                </wp:positionH>
                <wp:positionV relativeFrom="paragraph">
                  <wp:posOffset>310515</wp:posOffset>
                </wp:positionV>
                <wp:extent cx="219075" cy="323850"/>
                <wp:effectExtent l="19050" t="0" r="28575" b="38100"/>
                <wp:wrapNone/>
                <wp:docPr id="14" name="Down Arrow 14"/>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5EB60" id="Down Arrow 14" o:spid="_x0000_s1026" type="#_x0000_t67" style="position:absolute;margin-left:213pt;margin-top:24.45pt;width:17.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" adj="14294" fillcolor="#555 [2160]" strokecolor="black [3200]" strokeweight=".5pt">
                <v:fill color2="#313131 [2608]" rotate="t" colors="0 #9b9b9b;.5 #8e8e8e;1 #797979" focus="100%" type="gradient">
                  <o:fill v:ext="view" type="gradientUnscaled"/>
                </v:fill>
              </v:shape>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8480" behindDoc="0" locked="0" layoutInCell="1" allowOverlap="1" wp14:anchorId="0C0FBAAF" wp14:editId="5279863E">
                <wp:simplePos x="0" y="0"/>
                <wp:positionH relativeFrom="column">
                  <wp:posOffset>2705100</wp:posOffset>
                </wp:positionH>
                <wp:positionV relativeFrom="paragraph">
                  <wp:posOffset>461645</wp:posOffset>
                </wp:positionV>
                <wp:extent cx="219075" cy="323850"/>
                <wp:effectExtent l="19050" t="0" r="28575" b="38100"/>
                <wp:wrapNone/>
                <wp:docPr id="16" name="Down Arrow 16"/>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8180" id="Down Arrow 16" o:spid="_x0000_s1026" type="#_x0000_t67" style="position:absolute;margin-left:213pt;margin-top:36.35pt;width:17.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" adj="14294" fillcolor="#555 [2160]" strokecolor="black [3200]" strokeweight=".5pt">
                <v:fill color2="#313131 [2608]" rotate="t" colors="0 #9b9b9b;.5 #8e8e8e;1 #797979" focus="100%" type="gradient">
                  <o:fill v:ext="view" type="gradientUnscaled"/>
                </v:fill>
              </v:shape>
            </w:pict>
          </mc:Fallback>
        </mc:AlternateContent>
      </w:r>
      <w:r w:rsidRPr="006D22BD">
        <w:rPr>
          <w:rFonts w:cs="Times New Roman"/>
          <w:b/>
          <w:noProof/>
          <w:sz w:val="28"/>
          <w:szCs w:val="24"/>
        </w:rPr>
        <mc:AlternateContent>
          <mc:Choice Requires="wps">
            <w:drawing>
              <wp:anchor distT="0" distB="0" distL="114300" distR="114300" simplePos="0" relativeHeight="251667456" behindDoc="0" locked="0" layoutInCell="1" allowOverlap="1" wp14:anchorId="1B1FDAFB" wp14:editId="30209C96">
                <wp:simplePos x="0" y="0"/>
                <wp:positionH relativeFrom="margin">
                  <wp:posOffset>1771650</wp:posOffset>
                </wp:positionH>
                <wp:positionV relativeFrom="paragraph">
                  <wp:posOffset>134620</wp:posOffset>
                </wp:positionV>
                <wp:extent cx="2381250" cy="32385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2381250" cy="32385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 xml:space="preserve">PyMOL: To visualize 3D Protein </w:t>
                            </w:r>
                          </w:p>
                          <w:p w:rsidR="00C95FD7" w:rsidRPr="00816651" w:rsidRDefault="00C95FD7" w:rsidP="00C95FD7">
                            <w:pPr>
                              <w:jc w:val="cente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FDAFB" id="Rounded Rectangle 15" o:spid="_x0000_s1030" style="position:absolute;left:0;text-align:left;margin-left:139.5pt;margin-top:10.6pt;width:187.5pt;height:2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 xml:space="preserve">PyMOL: To visualize 3D Protein </w:t>
                      </w:r>
                    </w:p>
                    <w:p w:rsidR="00C95FD7" w:rsidRPr="00816651" w:rsidRDefault="00C95FD7" w:rsidP="00C95FD7">
                      <w:pPr>
                        <w:jc w:val="center"/>
                        <w:rPr>
                          <w:rFonts w:cs="Times New Roman"/>
                        </w:rPr>
                      </w:pPr>
                    </w:p>
                  </w:txbxContent>
                </v:textbox>
                <w10:wrap anchorx="margin"/>
              </v:roundrect>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69504" behindDoc="0" locked="0" layoutInCell="1" allowOverlap="1" wp14:anchorId="6E23F251" wp14:editId="741406BB">
                <wp:simplePos x="0" y="0"/>
                <wp:positionH relativeFrom="column">
                  <wp:posOffset>1628775</wp:posOffset>
                </wp:positionH>
                <wp:positionV relativeFrom="paragraph">
                  <wp:posOffset>319405</wp:posOffset>
                </wp:positionV>
                <wp:extent cx="2390775" cy="352425"/>
                <wp:effectExtent l="0" t="0" r="28575" b="28575"/>
                <wp:wrapNone/>
                <wp:docPr id="17" name="Rounded Rectangle 17"/>
                <wp:cNvGraphicFramePr/>
                <a:graphic xmlns:a="http://schemas.openxmlformats.org/drawingml/2006/main">
                  <a:graphicData uri="http://schemas.microsoft.com/office/word/2010/wordprocessingShape">
                    <wps:wsp>
                      <wps:cNvSpPr/>
                      <wps:spPr>
                        <a:xfrm>
                          <a:off x="0" y="0"/>
                          <a:ext cx="2390775" cy="35242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Comparison of wild with Mutatnt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23F251" id="Rounded Rectangle 17" o:spid="_x0000_s1031" style="position:absolute;left:0;text-align:left;margin-left:128.25pt;margin-top:25.15pt;width:188.2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Comparison of wild with Mutatnt</w:t>
                      </w:r>
                    </w:p>
                  </w:txbxContent>
                </v:textbox>
              </v:roundrect>
            </w:pict>
          </mc:Fallback>
        </mc:AlternateContent>
      </w:r>
    </w:p>
    <w:p w:rsidR="00C95FD7" w:rsidRPr="006D22BD" w:rsidRDefault="00C95FD7" w:rsidP="00C95FD7">
      <w:pPr>
        <w:spacing w:line="480" w:lineRule="auto"/>
        <w:rPr>
          <w:rFonts w:cs="Times New Roman"/>
          <w:b/>
          <w:sz w:val="28"/>
          <w:szCs w:val="24"/>
        </w:rPr>
      </w:pPr>
      <w:r w:rsidRPr="006D22BD">
        <w:rPr>
          <w:rFonts w:cs="Times New Roman"/>
          <w:b/>
          <w:noProof/>
          <w:sz w:val="28"/>
          <w:szCs w:val="24"/>
        </w:rPr>
        <mc:AlternateContent>
          <mc:Choice Requires="wps">
            <w:drawing>
              <wp:anchor distT="0" distB="0" distL="114300" distR="114300" simplePos="0" relativeHeight="251671552" behindDoc="0" locked="0" layoutInCell="1" allowOverlap="1" wp14:anchorId="3F533722" wp14:editId="7676EF49">
                <wp:simplePos x="0" y="0"/>
                <wp:positionH relativeFrom="column">
                  <wp:posOffset>1562100</wp:posOffset>
                </wp:positionH>
                <wp:positionV relativeFrom="paragraph">
                  <wp:posOffset>487045</wp:posOffset>
                </wp:positionV>
                <wp:extent cx="2571750" cy="35242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2571750" cy="35242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95FD7" w:rsidRPr="00816651" w:rsidRDefault="00C95FD7" w:rsidP="00C95FD7">
                            <w:pPr>
                              <w:jc w:val="center"/>
                              <w:rPr>
                                <w:rFonts w:cs="Times New Roman"/>
                              </w:rPr>
                            </w:pPr>
                            <w:r>
                              <w:rPr>
                                <w:rFonts w:cs="Times New Roman"/>
                              </w:rPr>
                              <w:t xml:space="preserve">RESULT </w:t>
                            </w:r>
                          </w:p>
                          <w:p w:rsidR="00C95FD7" w:rsidRPr="00816651" w:rsidRDefault="00C95FD7" w:rsidP="00C95FD7">
                            <w:pPr>
                              <w:jc w:val="center"/>
                              <w:rPr>
                                <w:rFonts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33722" id="Rounded Rectangle 19" o:spid="_x0000_s1032" style="position:absolute;left:0;text-align:left;margin-left:123pt;margin-top:38.35pt;width:202.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" fillcolor="white [3201]" strokecolor="#ffc000 [3207]" strokeweight="1pt">
                <v:stroke joinstyle="miter"/>
                <v:textbox>
                  <w:txbxContent>
                    <w:p w:rsidR="00C95FD7" w:rsidRPr="00816651" w:rsidRDefault="00C95FD7" w:rsidP="00C95FD7">
                      <w:pPr>
                        <w:jc w:val="center"/>
                        <w:rPr>
                          <w:rFonts w:cs="Times New Roman"/>
                        </w:rPr>
                      </w:pPr>
                      <w:r>
                        <w:rPr>
                          <w:rFonts w:cs="Times New Roman"/>
                        </w:rPr>
                        <w:t xml:space="preserve">RESULT </w:t>
                      </w:r>
                    </w:p>
                    <w:p w:rsidR="00C95FD7" w:rsidRPr="00816651" w:rsidRDefault="00C95FD7" w:rsidP="00C95FD7">
                      <w:pPr>
                        <w:jc w:val="center"/>
                        <w:rPr>
                          <w:rFonts w:cs="Times New Roman"/>
                        </w:rPr>
                      </w:pPr>
                    </w:p>
                  </w:txbxContent>
                </v:textbox>
              </v:roundrect>
            </w:pict>
          </mc:Fallback>
        </mc:AlternateContent>
      </w:r>
      <w:r w:rsidRPr="006D22BD">
        <w:rPr>
          <w:rFonts w:cs="Times New Roman"/>
          <w:b/>
          <w:noProof/>
          <w:sz w:val="28"/>
          <w:szCs w:val="24"/>
        </w:rPr>
        <mc:AlternateContent>
          <mc:Choice Requires="wps">
            <w:drawing>
              <wp:anchor distT="0" distB="0" distL="114300" distR="114300" simplePos="0" relativeHeight="251670528" behindDoc="0" locked="0" layoutInCell="1" allowOverlap="1" wp14:anchorId="4BC6BEDA" wp14:editId="22948A70">
                <wp:simplePos x="0" y="0"/>
                <wp:positionH relativeFrom="column">
                  <wp:posOffset>2714625</wp:posOffset>
                </wp:positionH>
                <wp:positionV relativeFrom="paragraph">
                  <wp:posOffset>165735</wp:posOffset>
                </wp:positionV>
                <wp:extent cx="219075" cy="323850"/>
                <wp:effectExtent l="19050" t="0" r="28575" b="38100"/>
                <wp:wrapNone/>
                <wp:docPr id="18" name="Down Arrow 18"/>
                <wp:cNvGraphicFramePr/>
                <a:graphic xmlns:a="http://schemas.openxmlformats.org/drawingml/2006/main">
                  <a:graphicData uri="http://schemas.microsoft.com/office/word/2010/wordprocessingShape">
                    <wps:wsp>
                      <wps:cNvSpPr/>
                      <wps:spPr>
                        <a:xfrm>
                          <a:off x="0" y="0"/>
                          <a:ext cx="219075" cy="32385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76B03" id="Down Arrow 18" o:spid="_x0000_s1026" type="#_x0000_t67" style="position:absolute;margin-left:213.75pt;margin-top:13.05pt;width:17.2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" adj="14294" fillcolor="#555 [2160]" strokecolor="black [3200]" strokeweight=".5pt">
                <v:fill color2="#313131 [2608]" rotate="t" colors="0 #9b9b9b;.5 #8e8e8e;1 #797979" focus="100%" type="gradient">
                  <o:fill v:ext="view" type="gradientUnscaled"/>
                </v:fill>
              </v:shape>
            </w:pict>
          </mc:Fallback>
        </mc:AlternateContent>
      </w:r>
    </w:p>
    <w:p w:rsidR="00C95FD7" w:rsidRPr="006D22BD" w:rsidRDefault="00C95FD7" w:rsidP="00C95FD7">
      <w:pPr>
        <w:spacing w:line="480" w:lineRule="auto"/>
        <w:rPr>
          <w:rFonts w:cs="Times New Roman"/>
          <w:b/>
          <w:sz w:val="28"/>
          <w:szCs w:val="24"/>
        </w:rPr>
      </w:pPr>
    </w:p>
    <w:p w:rsidR="00C95FD7" w:rsidRDefault="00C95FD7" w:rsidP="00C95FD7">
      <w:r>
        <w:t xml:space="preserve">Figure 3.1: Figure shows the tools used in the bioinformatics analysis. </w:t>
      </w:r>
    </w:p>
    <w:p w:rsidR="00C95FD7" w:rsidRDefault="00C95FD7" w:rsidP="00C95FD7">
      <w:pPr>
        <w:pStyle w:val="Heading2"/>
        <w:spacing w:line="480" w:lineRule="auto"/>
      </w:pPr>
      <w:r>
        <w:t>3.7.1 Analysis of Sequence via BioEdit and BLAST</w:t>
      </w:r>
    </w:p>
    <w:p w:rsidR="00C95FD7" w:rsidRDefault="00C95FD7" w:rsidP="00C95FD7">
      <w:pPr>
        <w:spacing w:line="480" w:lineRule="auto"/>
      </w:pPr>
      <w:r>
        <w:t xml:space="preserve">The sequence obtained was visualized and edited by using the tool BioEdit and its similarity was checked by BLAST in NCBI. </w:t>
      </w:r>
    </w:p>
    <w:p w:rsidR="00C95FD7" w:rsidRDefault="00C95FD7" w:rsidP="00C95FD7">
      <w:pPr>
        <w:pStyle w:val="Heading2"/>
        <w:spacing w:line="480" w:lineRule="auto"/>
      </w:pPr>
      <w:r>
        <w:t>3.7.2 Physiochemical Properties of Protein</w:t>
      </w:r>
    </w:p>
    <w:p w:rsidR="00C95FD7" w:rsidRDefault="00C95FD7" w:rsidP="00C95FD7">
      <w:pPr>
        <w:spacing w:line="480" w:lineRule="auto"/>
      </w:pPr>
      <w:r>
        <w:t xml:space="preserve">Physiochemical properties like isoelectric point, charge, molecular weight and number of residues were calculated by using online tool ExPasy Protparam. </w:t>
      </w:r>
    </w:p>
    <w:p w:rsidR="00C95FD7" w:rsidRDefault="00C95FD7" w:rsidP="00C95FD7">
      <w:pPr>
        <w:pStyle w:val="Heading2"/>
        <w:spacing w:line="480" w:lineRule="auto"/>
      </w:pPr>
      <w:r>
        <w:t xml:space="preserve">3.7.3 Analysis of Secondary Structure of Protein </w:t>
      </w:r>
    </w:p>
    <w:p w:rsidR="00C95FD7" w:rsidRDefault="00C95FD7" w:rsidP="00C95FD7">
      <w:pPr>
        <w:spacing w:line="480" w:lineRule="auto"/>
      </w:pPr>
      <w:r>
        <w:t xml:space="preserve">PSIPRED, online server predicted the secondary structure, showed the presence of </w:t>
      </w:r>
      <w:r>
        <w:rPr>
          <w:rFonts w:cs="Times New Roman"/>
        </w:rPr>
        <w:t>α</w:t>
      </w:r>
      <w:r>
        <w:t xml:space="preserve">-helix, </w:t>
      </w:r>
      <w:r>
        <w:rPr>
          <w:rFonts w:cs="Times New Roman"/>
        </w:rPr>
        <w:t>β</w:t>
      </w:r>
      <w:r>
        <w:t xml:space="preserve">-sheets and coils of protein. </w:t>
      </w:r>
    </w:p>
    <w:p w:rsidR="00C95FD7" w:rsidRDefault="00C95FD7" w:rsidP="00C95FD7">
      <w:pPr>
        <w:pStyle w:val="Heading2"/>
        <w:spacing w:line="480" w:lineRule="auto"/>
      </w:pPr>
      <w:r>
        <w:t xml:space="preserve">3.7.4 3D Structure Prediction of Protein </w:t>
      </w:r>
    </w:p>
    <w:p w:rsidR="00C95FD7" w:rsidRDefault="00C95FD7" w:rsidP="00C95FD7">
      <w:pPr>
        <w:spacing w:line="480" w:lineRule="auto"/>
      </w:pPr>
      <w:r>
        <w:t xml:space="preserve">3 dimensional structure of protein was created by online server trRosetta with prominent residues, while it was visualized by using PyMol. </w:t>
      </w:r>
    </w:p>
    <w:p w:rsidR="00C95FD7" w:rsidRDefault="00C95FD7" w:rsidP="00C95FD7">
      <w:pPr>
        <w:pStyle w:val="Heading2"/>
        <w:spacing w:line="480" w:lineRule="auto"/>
      </w:pPr>
      <w:r>
        <w:t>3.7.5 Molecular Docking</w:t>
      </w:r>
    </w:p>
    <w:p w:rsidR="00C95FD7" w:rsidRPr="0051745A" w:rsidRDefault="00C95FD7" w:rsidP="00C95FD7">
      <w:pPr>
        <w:spacing w:line="480" w:lineRule="auto"/>
      </w:pPr>
      <w:r>
        <w:t xml:space="preserve">Docking analysis of protein and ligands (Vitamin D3 and Folic Acid) was carried out by AutoDockvina software. The structures of ligands were obtained by PubChem. PDBQT files were produced by AutoDockvina software and results were visualized by PyMol. </w:t>
      </w:r>
    </w:p>
    <w:p w:rsidR="00C95FD7" w:rsidRPr="006D22BD" w:rsidRDefault="00C95FD7" w:rsidP="00C95FD7">
      <w:pPr>
        <w:pStyle w:val="Heading2"/>
        <w:spacing w:line="480" w:lineRule="auto"/>
        <w:rPr>
          <w:rFonts w:cs="Times New Roman"/>
        </w:rPr>
      </w:pPr>
      <w:r>
        <w:rPr>
          <w:rFonts w:cs="Times New Roman"/>
        </w:rPr>
        <w:t xml:space="preserve">3.8 </w:t>
      </w:r>
      <w:r w:rsidRPr="006D22BD">
        <w:rPr>
          <w:rFonts w:cs="Times New Roman"/>
        </w:rPr>
        <w:t>Biochemistry Tests</w:t>
      </w:r>
    </w:p>
    <w:p w:rsidR="00C95FD7" w:rsidRDefault="00C95FD7" w:rsidP="00C95FD7">
      <w:pPr>
        <w:spacing w:line="480" w:lineRule="auto"/>
        <w:rPr>
          <w:rFonts w:cs="Times New Roman"/>
        </w:rPr>
      </w:pPr>
      <w:r>
        <w:rPr>
          <w:rFonts w:cs="Times New Roman"/>
        </w:rPr>
        <w:t xml:space="preserve">All the biochemistry tests were performed under the supervision of lab technologist at Fatimid foundation, using the biochemistry analyzer. </w:t>
      </w:r>
    </w:p>
    <w:p w:rsidR="00C95FD7" w:rsidRPr="006D22BD" w:rsidRDefault="00C95FD7" w:rsidP="00C95FD7">
      <w:pPr>
        <w:pStyle w:val="Heading2"/>
        <w:spacing w:line="480" w:lineRule="auto"/>
        <w:rPr>
          <w:rFonts w:cs="Times New Roman"/>
        </w:rPr>
      </w:pPr>
      <w:r w:rsidRPr="006D22BD">
        <w:rPr>
          <w:rFonts w:cs="Times New Roman"/>
        </w:rPr>
        <w:t>3.9 Statistical Analysis</w:t>
      </w:r>
    </w:p>
    <w:p w:rsidR="00C95FD7" w:rsidRPr="001A380E" w:rsidRDefault="00C95FD7" w:rsidP="00C95FD7">
      <w:pPr>
        <w:spacing w:line="480" w:lineRule="auto"/>
        <w:rPr>
          <w:rFonts w:cs="Times New Roman"/>
          <w:color w:val="000000"/>
          <w:szCs w:val="24"/>
          <w:shd w:val="clear" w:color="auto" w:fill="FFFFFF"/>
        </w:rPr>
      </w:pPr>
      <w:r w:rsidRPr="006D22BD">
        <w:rPr>
          <w:rFonts w:cs="Times New Roman"/>
          <w:color w:val="000000"/>
          <w:szCs w:val="24"/>
          <w:shd w:val="clear" w:color="auto" w:fill="FFFFFF"/>
        </w:rPr>
        <w:t>Data were analyzed using the statistical package for social science (SPSS). Computer software package SPSS 22.0 was used in the analysis. For quantitative variables, mean, standard deviation, minimum, and maximum (as measures of variability) were presented. Frequency and percentages were presented for qualitative variable. </w:t>
      </w:r>
    </w:p>
    <w:p w:rsidR="00C95FD7" w:rsidRDefault="00C95FD7" w:rsidP="00C95FD7">
      <w:pPr>
        <w:spacing w:line="480" w:lineRule="auto"/>
        <w:rPr>
          <w:rFonts w:cs="Times New Roman"/>
        </w:rPr>
      </w:pPr>
    </w:p>
    <w:p w:rsidR="00C95FD7" w:rsidRDefault="00C95FD7">
      <w:pPr>
        <w:spacing w:line="259" w:lineRule="auto"/>
        <w:jc w:val="left"/>
      </w:pPr>
      <w:r>
        <w:br w:type="page"/>
      </w:r>
    </w:p>
    <w:p w:rsidR="00C95FD7" w:rsidRPr="006D22BD" w:rsidRDefault="00C95FD7" w:rsidP="00C95FD7">
      <w:pPr>
        <w:pStyle w:val="Heading1"/>
      </w:pPr>
      <w:r w:rsidRPr="006D22BD">
        <w:t>RESULTS</w:t>
      </w:r>
    </w:p>
    <w:p w:rsidR="00C95FD7" w:rsidRPr="00F74F33" w:rsidRDefault="00C95FD7" w:rsidP="00C95FD7">
      <w:pPr>
        <w:pStyle w:val="Heading1"/>
      </w:pPr>
      <w:r w:rsidRPr="00F74F33">
        <w:t>4.1 Sample Collection</w:t>
      </w:r>
    </w:p>
    <w:p w:rsidR="00C95FD7" w:rsidRPr="006D22BD" w:rsidRDefault="00C95FD7" w:rsidP="00C95FD7">
      <w:pPr>
        <w:spacing w:line="480" w:lineRule="auto"/>
        <w:rPr>
          <w:rFonts w:cs="Times New Roman"/>
          <w:noProof/>
          <w:szCs w:val="24"/>
        </w:rPr>
      </w:pPr>
      <w:r w:rsidRPr="006D22BD">
        <w:rPr>
          <w:rFonts w:cs="Times New Roman"/>
          <w:noProof/>
          <w:szCs w:val="24"/>
        </w:rPr>
        <w:drawing>
          <wp:anchor distT="0" distB="0" distL="114300" distR="114300" simplePos="0" relativeHeight="251673600" behindDoc="0" locked="0" layoutInCell="1" allowOverlap="1" wp14:anchorId="74318A1F" wp14:editId="2B8CC944">
            <wp:simplePos x="0" y="0"/>
            <wp:positionH relativeFrom="column">
              <wp:posOffset>194945</wp:posOffset>
            </wp:positionH>
            <wp:positionV relativeFrom="paragraph">
              <wp:posOffset>866110</wp:posOffset>
            </wp:positionV>
            <wp:extent cx="5764530" cy="29337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10713_120159_com.google.android.apps.maps.jpg"/>
                    <pic:cNvPicPr/>
                  </pic:nvPicPr>
                  <pic:blipFill rotWithShape="1">
                    <a:blip r:embed="rId11" cstate="print">
                      <a:extLst>
                        <a:ext uri="{28A0092B-C50C-407E-A947-70E740481C1C}">
                          <a14:useLocalDpi xmlns:a14="http://schemas.microsoft.com/office/drawing/2010/main" val="0"/>
                        </a:ext>
                      </a:extLst>
                    </a:blip>
                    <a:srcRect t="10826" r="16987"/>
                    <a:stretch/>
                  </pic:blipFill>
                  <pic:spPr bwMode="auto">
                    <a:xfrm>
                      <a:off x="0" y="0"/>
                      <a:ext cx="576453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szCs w:val="24"/>
        </w:rPr>
        <w:t>A total of 91</w:t>
      </w:r>
      <w:r w:rsidRPr="006D22BD">
        <w:rPr>
          <w:rFonts w:cs="Times New Roman"/>
          <w:noProof/>
          <w:szCs w:val="24"/>
        </w:rPr>
        <w:t xml:space="preserve"> Samples are collected from Fatimid Foundation, Lahore. These samples included blood samples and biochemical reports of the subjects of beta thalassemia major. </w:t>
      </w:r>
    </w:p>
    <w:p w:rsidR="00C95FD7" w:rsidRPr="006D22BD" w:rsidRDefault="00C95FD7" w:rsidP="00C95FD7">
      <w:pPr>
        <w:spacing w:line="480" w:lineRule="auto"/>
        <w:rPr>
          <w:rFonts w:cs="Times New Roman"/>
          <w:noProof/>
          <w:szCs w:val="24"/>
        </w:rPr>
      </w:pPr>
    </w:p>
    <w:p w:rsidR="00C95FD7" w:rsidRDefault="00C95FD7" w:rsidP="00C95FD7">
      <w:pPr>
        <w:spacing w:line="480" w:lineRule="auto"/>
        <w:jc w:val="center"/>
        <w:rPr>
          <w:rFonts w:cs="Times New Roman"/>
          <w:noProof/>
          <w:szCs w:val="24"/>
        </w:rPr>
      </w:pPr>
      <w:r w:rsidRPr="00F74F33">
        <w:rPr>
          <w:rFonts w:cs="Times New Roman"/>
          <w:iCs/>
          <w:noProof/>
          <w:szCs w:val="24"/>
        </w:rPr>
        <w:t xml:space="preserve">Figure </w:t>
      </w:r>
      <w:r w:rsidRPr="00F74F33">
        <w:rPr>
          <w:rFonts w:cs="Times New Roman"/>
          <w:noProof/>
          <w:szCs w:val="24"/>
        </w:rPr>
        <w:t>4</w:t>
      </w:r>
      <w:r w:rsidRPr="006D22BD">
        <w:rPr>
          <w:rFonts w:cs="Times New Roman"/>
          <w:noProof/>
          <w:szCs w:val="24"/>
        </w:rPr>
        <w:t>.1: Geographial Location of Fatimid Foundation, Lahore.</w:t>
      </w:r>
    </w:p>
    <w:p w:rsidR="00C95FD7" w:rsidRDefault="00C95FD7" w:rsidP="00C95FD7">
      <w:pPr>
        <w:spacing w:line="480" w:lineRule="auto"/>
        <w:jc w:val="center"/>
        <w:rPr>
          <w:rFonts w:cs="Times New Roman"/>
          <w:noProof/>
          <w:szCs w:val="24"/>
        </w:rPr>
      </w:pPr>
    </w:p>
    <w:p w:rsidR="00C95FD7" w:rsidRDefault="00C95FD7" w:rsidP="00C95FD7">
      <w:pPr>
        <w:spacing w:line="480" w:lineRule="auto"/>
        <w:jc w:val="center"/>
        <w:rPr>
          <w:rFonts w:cs="Times New Roman"/>
          <w:noProof/>
          <w:szCs w:val="24"/>
        </w:rPr>
      </w:pPr>
    </w:p>
    <w:p w:rsidR="00C95FD7" w:rsidRDefault="00C95FD7" w:rsidP="00C95FD7">
      <w:pPr>
        <w:spacing w:line="480" w:lineRule="auto"/>
        <w:jc w:val="center"/>
        <w:rPr>
          <w:rFonts w:cs="Times New Roman"/>
          <w:noProof/>
          <w:szCs w:val="24"/>
        </w:rPr>
      </w:pPr>
    </w:p>
    <w:p w:rsidR="00C95FD7" w:rsidRDefault="00C95FD7" w:rsidP="00C95FD7">
      <w:pPr>
        <w:spacing w:line="480" w:lineRule="auto"/>
        <w:jc w:val="center"/>
        <w:rPr>
          <w:rFonts w:cs="Times New Roman"/>
          <w:noProof/>
          <w:szCs w:val="24"/>
        </w:rPr>
      </w:pPr>
    </w:p>
    <w:p w:rsidR="00C95FD7" w:rsidRPr="006D22BD" w:rsidRDefault="00C95FD7" w:rsidP="00C95FD7">
      <w:pPr>
        <w:spacing w:line="480" w:lineRule="auto"/>
        <w:jc w:val="center"/>
        <w:rPr>
          <w:rFonts w:cs="Times New Roman"/>
          <w:noProof/>
          <w:szCs w:val="24"/>
        </w:rPr>
      </w:pPr>
    </w:p>
    <w:p w:rsidR="00C95FD7" w:rsidRPr="006D22BD" w:rsidRDefault="00C95FD7" w:rsidP="00C95FD7">
      <w:pPr>
        <w:pStyle w:val="Heading2"/>
        <w:spacing w:line="480" w:lineRule="auto"/>
        <w:rPr>
          <w:rFonts w:cs="Times New Roman"/>
          <w:noProof/>
        </w:rPr>
      </w:pPr>
      <w:r w:rsidRPr="006D22BD">
        <w:rPr>
          <w:rFonts w:cs="Times New Roman"/>
          <w:noProof/>
        </w:rPr>
        <w:t>4.2 Statistical Analysis of Biochemical Profiles of Patients</w:t>
      </w:r>
    </w:p>
    <w:p w:rsidR="00C95FD7" w:rsidRPr="00596569" w:rsidRDefault="00C95FD7" w:rsidP="00C95FD7">
      <w:pPr>
        <w:spacing w:line="480" w:lineRule="auto"/>
        <w:rPr>
          <w:rFonts w:cs="Times New Roman"/>
          <w:noProof/>
          <w:szCs w:val="24"/>
        </w:rPr>
      </w:pPr>
      <w:r w:rsidRPr="006D22BD">
        <w:rPr>
          <w:rFonts w:cs="Times New Roman"/>
          <w:noProof/>
          <w:szCs w:val="24"/>
        </w:rPr>
        <w:t>The reports of ALT, AST, ALP and CBC were collected and are analyzd with statistical tools to check their correlation</w:t>
      </w:r>
      <w:r>
        <w:rPr>
          <w:rFonts w:cs="Times New Roman"/>
          <w:noProof/>
          <w:szCs w:val="24"/>
        </w:rPr>
        <w:t>.</w:t>
      </w:r>
    </w:p>
    <w:p w:rsidR="00C95FD7" w:rsidRDefault="00C95FD7" w:rsidP="00C95FD7">
      <w:pPr>
        <w:pStyle w:val="Heading3"/>
      </w:pPr>
      <w:r>
        <w:t>Table 4.1</w:t>
      </w:r>
      <w:r w:rsidRPr="006D22BD">
        <w:t>: Descriptive Statistics of Hb, MCV and MCH levels</w:t>
      </w:r>
    </w:p>
    <w:p w:rsidR="00C95FD7" w:rsidRPr="00A12EE5" w:rsidRDefault="00C95FD7" w:rsidP="00C95FD7">
      <w:r>
        <w:t>Descriptive statistics was run for the collected samples of 91 patients for Hb, MCV and MCH.</w:t>
      </w:r>
    </w:p>
    <w:tbl>
      <w:tblPr>
        <w:tblStyle w:val="TableGridLight"/>
        <w:tblpPr w:leftFromText="180" w:rightFromText="180" w:vertAnchor="text" w:horzAnchor="margin" w:tblpXSpec="center" w:tblpY="128"/>
        <w:tblW w:w="11313" w:type="dxa"/>
        <w:tblLayout w:type="fixed"/>
        <w:tblLook w:val="0000" w:firstRow="0" w:lastRow="0" w:firstColumn="0" w:lastColumn="0" w:noHBand="0" w:noVBand="0"/>
      </w:tblPr>
      <w:tblGrid>
        <w:gridCol w:w="1687"/>
        <w:gridCol w:w="1017"/>
        <w:gridCol w:w="1017"/>
        <w:gridCol w:w="1062"/>
        <w:gridCol w:w="1091"/>
        <w:gridCol w:w="1016"/>
        <w:gridCol w:w="1016"/>
        <w:gridCol w:w="1064"/>
        <w:gridCol w:w="1428"/>
        <w:gridCol w:w="915"/>
      </w:tblGrid>
      <w:tr w:rsidR="00C95FD7" w:rsidRPr="006D22BD" w:rsidTr="00325C04">
        <w:trPr>
          <w:trHeight w:val="459"/>
        </w:trPr>
        <w:tc>
          <w:tcPr>
            <w:tcW w:w="1687" w:type="dxa"/>
            <w:vMerge w:val="restart"/>
          </w:tcPr>
          <w:p w:rsidR="00C95FD7" w:rsidRPr="006D22BD" w:rsidRDefault="00C95FD7" w:rsidP="00325C04">
            <w:pPr>
              <w:autoSpaceDE w:val="0"/>
              <w:autoSpaceDN w:val="0"/>
              <w:adjustRightInd w:val="0"/>
              <w:spacing w:line="480" w:lineRule="auto"/>
              <w:rPr>
                <w:rFonts w:cs="Times New Roman"/>
                <w:szCs w:val="24"/>
              </w:rPr>
            </w:pPr>
            <w:r>
              <w:rPr>
                <w:rFonts w:cs="Times New Roman"/>
                <w:szCs w:val="24"/>
              </w:rPr>
              <w:t xml:space="preserve">Tests Performed </w:t>
            </w:r>
          </w:p>
        </w:tc>
        <w:tc>
          <w:tcPr>
            <w:tcW w:w="1017"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N</w:t>
            </w:r>
          </w:p>
        </w:tc>
        <w:tc>
          <w:tcPr>
            <w:tcW w:w="1017"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Range</w:t>
            </w:r>
          </w:p>
        </w:tc>
        <w:tc>
          <w:tcPr>
            <w:tcW w:w="1062"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Minimum</w:t>
            </w:r>
          </w:p>
        </w:tc>
        <w:tc>
          <w:tcPr>
            <w:tcW w:w="1091"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Maximum</w:t>
            </w:r>
          </w:p>
        </w:tc>
        <w:tc>
          <w:tcPr>
            <w:tcW w:w="1016"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Sum</w:t>
            </w:r>
          </w:p>
        </w:tc>
        <w:tc>
          <w:tcPr>
            <w:tcW w:w="2080" w:type="dxa"/>
            <w:gridSpan w:val="2"/>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Mean</w:t>
            </w:r>
          </w:p>
        </w:tc>
        <w:tc>
          <w:tcPr>
            <w:tcW w:w="1428"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Std. Deviation</w:t>
            </w:r>
          </w:p>
        </w:tc>
        <w:tc>
          <w:tcPr>
            <w:tcW w:w="915"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Variance</w:t>
            </w:r>
          </w:p>
        </w:tc>
      </w:tr>
      <w:tr w:rsidR="00C95FD7" w:rsidRPr="006D22BD" w:rsidTr="00325C04">
        <w:trPr>
          <w:trHeight w:val="494"/>
        </w:trPr>
        <w:tc>
          <w:tcPr>
            <w:tcW w:w="1687" w:type="dxa"/>
            <w:vMerge/>
          </w:tcPr>
          <w:p w:rsidR="00C95FD7" w:rsidRPr="006D22BD" w:rsidRDefault="00C95FD7" w:rsidP="00325C04">
            <w:pPr>
              <w:autoSpaceDE w:val="0"/>
              <w:autoSpaceDN w:val="0"/>
              <w:adjustRightInd w:val="0"/>
              <w:spacing w:line="480" w:lineRule="auto"/>
              <w:rPr>
                <w:rFonts w:cs="Times New Roman"/>
                <w:color w:val="000000"/>
                <w:szCs w:val="24"/>
              </w:rPr>
            </w:pPr>
          </w:p>
        </w:tc>
        <w:tc>
          <w:tcPr>
            <w:tcW w:w="1017"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17"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62"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91"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16"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16"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1064"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Std. Error</w:t>
            </w:r>
          </w:p>
        </w:tc>
        <w:tc>
          <w:tcPr>
            <w:tcW w:w="1428"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c>
          <w:tcPr>
            <w:tcW w:w="915" w:type="dxa"/>
          </w:tcPr>
          <w:p w:rsidR="00C95FD7" w:rsidRPr="006D22BD" w:rsidRDefault="00C95FD7" w:rsidP="00325C04">
            <w:pPr>
              <w:autoSpaceDE w:val="0"/>
              <w:autoSpaceDN w:val="0"/>
              <w:adjustRightInd w:val="0"/>
              <w:spacing w:line="480" w:lineRule="auto"/>
              <w:ind w:left="60" w:right="60"/>
              <w:jc w:val="center"/>
              <w:rPr>
                <w:rFonts w:cs="Times New Roman"/>
                <w:color w:val="000000"/>
                <w:szCs w:val="24"/>
              </w:rPr>
            </w:pPr>
            <w:r w:rsidRPr="006D22BD">
              <w:rPr>
                <w:rFonts w:cs="Times New Roman"/>
                <w:color w:val="000000"/>
                <w:szCs w:val="24"/>
              </w:rPr>
              <w:t>Statistic</w:t>
            </w:r>
          </w:p>
        </w:tc>
      </w:tr>
      <w:tr w:rsidR="00C95FD7" w:rsidRPr="006D22BD" w:rsidTr="00325C04">
        <w:trPr>
          <w:trHeight w:val="222"/>
        </w:trPr>
        <w:tc>
          <w:tcPr>
            <w:tcW w:w="1687" w:type="dxa"/>
          </w:tcPr>
          <w:p w:rsidR="00C95FD7" w:rsidRPr="006D22BD" w:rsidRDefault="00C95FD7" w:rsidP="00325C04">
            <w:pPr>
              <w:autoSpaceDE w:val="0"/>
              <w:autoSpaceDN w:val="0"/>
              <w:adjustRightInd w:val="0"/>
              <w:spacing w:line="480" w:lineRule="auto"/>
              <w:ind w:left="60" w:right="60"/>
              <w:rPr>
                <w:rFonts w:cs="Times New Roman"/>
                <w:color w:val="000000"/>
                <w:szCs w:val="24"/>
              </w:rPr>
            </w:pPr>
            <w:r w:rsidRPr="006D22BD">
              <w:rPr>
                <w:rFonts w:cs="Times New Roman"/>
                <w:color w:val="000000"/>
                <w:szCs w:val="24"/>
              </w:rPr>
              <w:t>Hb</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91</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5.9</w:t>
            </w:r>
          </w:p>
        </w:tc>
        <w:tc>
          <w:tcPr>
            <w:tcW w:w="1062"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5.5</w:t>
            </w:r>
          </w:p>
        </w:tc>
        <w:tc>
          <w:tcPr>
            <w:tcW w:w="1091"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11.4</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772.9</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8.493</w:t>
            </w:r>
          </w:p>
        </w:tc>
        <w:tc>
          <w:tcPr>
            <w:tcW w:w="1064"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.1337</w:t>
            </w:r>
          </w:p>
        </w:tc>
        <w:tc>
          <w:tcPr>
            <w:tcW w:w="1428"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1.2750</w:t>
            </w:r>
          </w:p>
        </w:tc>
        <w:tc>
          <w:tcPr>
            <w:tcW w:w="915"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1.626</w:t>
            </w:r>
          </w:p>
        </w:tc>
      </w:tr>
      <w:tr w:rsidR="00C95FD7" w:rsidRPr="006D22BD" w:rsidTr="00325C04">
        <w:trPr>
          <w:trHeight w:val="459"/>
        </w:trPr>
        <w:tc>
          <w:tcPr>
            <w:tcW w:w="1687" w:type="dxa"/>
          </w:tcPr>
          <w:p w:rsidR="00C95FD7" w:rsidRPr="006D22BD" w:rsidRDefault="00C95FD7" w:rsidP="00325C04">
            <w:pPr>
              <w:autoSpaceDE w:val="0"/>
              <w:autoSpaceDN w:val="0"/>
              <w:adjustRightInd w:val="0"/>
              <w:spacing w:line="480" w:lineRule="auto"/>
              <w:ind w:left="60" w:right="60"/>
              <w:rPr>
                <w:rFonts w:cs="Times New Roman"/>
                <w:color w:val="000000"/>
                <w:szCs w:val="24"/>
              </w:rPr>
            </w:pPr>
            <w:r w:rsidRPr="006D22BD">
              <w:rPr>
                <w:rFonts w:cs="Times New Roman"/>
                <w:color w:val="000000"/>
                <w:szCs w:val="24"/>
              </w:rPr>
              <w:t>MCV</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91</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63.5</w:t>
            </w:r>
          </w:p>
        </w:tc>
        <w:tc>
          <w:tcPr>
            <w:tcW w:w="1062"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25.4</w:t>
            </w:r>
          </w:p>
        </w:tc>
        <w:tc>
          <w:tcPr>
            <w:tcW w:w="1091"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88.9</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6985.0</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76.759</w:t>
            </w:r>
          </w:p>
        </w:tc>
        <w:tc>
          <w:tcPr>
            <w:tcW w:w="1064"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.8799</w:t>
            </w:r>
          </w:p>
        </w:tc>
        <w:tc>
          <w:tcPr>
            <w:tcW w:w="1428"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8.3934</w:t>
            </w:r>
          </w:p>
        </w:tc>
        <w:tc>
          <w:tcPr>
            <w:tcW w:w="915"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70.449</w:t>
            </w:r>
          </w:p>
        </w:tc>
      </w:tr>
      <w:tr w:rsidR="00C95FD7" w:rsidRPr="006D22BD" w:rsidTr="00325C04">
        <w:trPr>
          <w:trHeight w:val="222"/>
        </w:trPr>
        <w:tc>
          <w:tcPr>
            <w:tcW w:w="1687" w:type="dxa"/>
          </w:tcPr>
          <w:p w:rsidR="00C95FD7" w:rsidRPr="006D22BD" w:rsidRDefault="00C95FD7" w:rsidP="00325C04">
            <w:pPr>
              <w:autoSpaceDE w:val="0"/>
              <w:autoSpaceDN w:val="0"/>
              <w:adjustRightInd w:val="0"/>
              <w:spacing w:line="480" w:lineRule="auto"/>
              <w:ind w:left="60" w:right="60"/>
              <w:rPr>
                <w:rFonts w:cs="Times New Roman"/>
                <w:color w:val="000000"/>
                <w:szCs w:val="24"/>
              </w:rPr>
            </w:pPr>
            <w:r w:rsidRPr="006D22BD">
              <w:rPr>
                <w:rFonts w:cs="Times New Roman"/>
                <w:color w:val="000000"/>
                <w:szCs w:val="24"/>
              </w:rPr>
              <w:t>MCH</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91</w:t>
            </w:r>
          </w:p>
        </w:tc>
        <w:tc>
          <w:tcPr>
            <w:tcW w:w="1017"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8.3</w:t>
            </w:r>
          </w:p>
        </w:tc>
        <w:tc>
          <w:tcPr>
            <w:tcW w:w="1062"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21.7</w:t>
            </w:r>
          </w:p>
        </w:tc>
        <w:tc>
          <w:tcPr>
            <w:tcW w:w="1091"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30.0</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2409.6</w:t>
            </w:r>
          </w:p>
        </w:tc>
        <w:tc>
          <w:tcPr>
            <w:tcW w:w="1016"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26.479</w:t>
            </w:r>
          </w:p>
        </w:tc>
        <w:tc>
          <w:tcPr>
            <w:tcW w:w="1064"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.1627</w:t>
            </w:r>
          </w:p>
        </w:tc>
        <w:tc>
          <w:tcPr>
            <w:tcW w:w="1428"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1.5522</w:t>
            </w:r>
          </w:p>
        </w:tc>
        <w:tc>
          <w:tcPr>
            <w:tcW w:w="915" w:type="dxa"/>
          </w:tcPr>
          <w:p w:rsidR="00C95FD7" w:rsidRPr="006D22BD" w:rsidRDefault="00C95FD7" w:rsidP="00325C04">
            <w:pPr>
              <w:autoSpaceDE w:val="0"/>
              <w:autoSpaceDN w:val="0"/>
              <w:adjustRightInd w:val="0"/>
              <w:spacing w:line="480" w:lineRule="auto"/>
              <w:ind w:left="60" w:right="60"/>
              <w:jc w:val="right"/>
              <w:rPr>
                <w:rFonts w:cs="Times New Roman"/>
                <w:color w:val="000000"/>
                <w:szCs w:val="24"/>
              </w:rPr>
            </w:pPr>
            <w:r w:rsidRPr="006D22BD">
              <w:rPr>
                <w:rFonts w:cs="Times New Roman"/>
                <w:color w:val="000000"/>
                <w:szCs w:val="24"/>
              </w:rPr>
              <w:t>2.409</w:t>
            </w:r>
          </w:p>
        </w:tc>
      </w:tr>
    </w:tbl>
    <w:p w:rsidR="00C95FD7" w:rsidRDefault="00C95FD7" w:rsidP="00C95FD7">
      <w:pPr>
        <w:spacing w:line="480" w:lineRule="auto"/>
        <w:rPr>
          <w:rFonts w:cs="Times New Roman"/>
          <w:noProof/>
          <w:szCs w:val="24"/>
        </w:rPr>
      </w:pPr>
    </w:p>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Pr="00F74F33" w:rsidRDefault="00C95FD7" w:rsidP="00E4580A">
      <w:pPr>
        <w:pStyle w:val="Heading2"/>
        <w:rPr>
          <w:noProof/>
        </w:rPr>
      </w:pPr>
      <w:r>
        <w:rPr>
          <w:noProof/>
        </w:rPr>
        <w:t>4.2 Correlation of ALT, AST and ALP with Hb</w:t>
      </w:r>
    </w:p>
    <w:p w:rsidR="00C95FD7" w:rsidRPr="00F74F33" w:rsidRDefault="00C95FD7" w:rsidP="00C95FD7">
      <w:pPr>
        <w:pStyle w:val="Heading3"/>
      </w:pPr>
      <w:r w:rsidRPr="00F74F33">
        <w:t>4.2.1 Correlation of ALT with Hb</w:t>
      </w:r>
    </w:p>
    <w:p w:rsidR="00C95FD7" w:rsidRPr="00F16A07" w:rsidRDefault="00C95FD7" w:rsidP="00C95FD7"/>
    <w:p w:rsidR="00C95FD7" w:rsidRDefault="00C95FD7" w:rsidP="00C95FD7">
      <w:pPr>
        <w:spacing w:line="480" w:lineRule="auto"/>
        <w:jc w:val="center"/>
        <w:rPr>
          <w:rFonts w:cs="Times New Roman"/>
          <w:szCs w:val="24"/>
        </w:rPr>
      </w:pPr>
      <w:r w:rsidRPr="006D22BD">
        <w:rPr>
          <w:rFonts w:cs="Times New Roman"/>
          <w:noProof/>
          <w:szCs w:val="24"/>
        </w:rPr>
        <w:drawing>
          <wp:inline distT="0" distB="0" distL="0" distR="0" wp14:anchorId="5311EEDF" wp14:editId="7205D18D">
            <wp:extent cx="529590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9180" cy="3635411"/>
                    </a:xfrm>
                    <a:prstGeom prst="rect">
                      <a:avLst/>
                    </a:prstGeom>
                  </pic:spPr>
                </pic:pic>
              </a:graphicData>
            </a:graphic>
          </wp:inline>
        </w:drawing>
      </w:r>
    </w:p>
    <w:p w:rsidR="00C95FD7" w:rsidRPr="00F16A07" w:rsidRDefault="00C95FD7" w:rsidP="00C95FD7">
      <w:pPr>
        <w:spacing w:line="480" w:lineRule="auto"/>
        <w:jc w:val="center"/>
        <w:rPr>
          <w:rFonts w:cs="Times New Roman"/>
          <w:b/>
          <w:szCs w:val="24"/>
        </w:rPr>
      </w:pPr>
      <w:r w:rsidRPr="00F16A07">
        <w:rPr>
          <w:rFonts w:cs="Times New Roman"/>
          <w:b/>
          <w:noProof/>
          <w:szCs w:val="24"/>
        </w:rPr>
        <w:drawing>
          <wp:anchor distT="0" distB="0" distL="114300" distR="114300" simplePos="0" relativeHeight="251674624" behindDoc="0" locked="0" layoutInCell="1" allowOverlap="1" wp14:anchorId="644507AE" wp14:editId="474488FC">
            <wp:simplePos x="0" y="0"/>
            <wp:positionH relativeFrom="margin">
              <wp:posOffset>1235710</wp:posOffset>
            </wp:positionH>
            <wp:positionV relativeFrom="paragraph">
              <wp:posOffset>382270</wp:posOffset>
            </wp:positionV>
            <wp:extent cx="3724275" cy="1786255"/>
            <wp:effectExtent l="0" t="0" r="9525"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6279"/>
                    <a:stretch/>
                  </pic:blipFill>
                  <pic:spPr bwMode="auto">
                    <a:xfrm>
                      <a:off x="0" y="0"/>
                      <a:ext cx="3724275" cy="1786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16A07">
        <w:rPr>
          <w:rFonts w:cs="Times New Roman"/>
          <w:b/>
          <w:szCs w:val="24"/>
        </w:rPr>
        <w:t>Alanine Aminotransferase (Units/Liter) and HB (gram/deciliter)</w:t>
      </w:r>
    </w:p>
    <w:p w:rsidR="00C95FD7" w:rsidRPr="006D22BD" w:rsidRDefault="00C95FD7" w:rsidP="00C95FD7">
      <w:pPr>
        <w:spacing w:line="480" w:lineRule="auto"/>
        <w:jc w:val="center"/>
        <w:rPr>
          <w:rFonts w:cs="Times New Roman"/>
          <w:szCs w:val="24"/>
        </w:rPr>
      </w:pPr>
    </w:p>
    <w:p w:rsidR="00C95FD7" w:rsidRPr="006D22BD" w:rsidRDefault="00C95FD7" w:rsidP="00C95FD7">
      <w:pPr>
        <w:spacing w:line="480" w:lineRule="auto"/>
        <w:rPr>
          <w:rFonts w:cs="Times New Roman"/>
          <w:szCs w:val="24"/>
        </w:rPr>
      </w:pPr>
    </w:p>
    <w:p w:rsidR="00C95FD7" w:rsidRPr="006D22BD" w:rsidRDefault="00C95FD7" w:rsidP="00C95FD7">
      <w:pPr>
        <w:spacing w:line="480" w:lineRule="auto"/>
        <w:jc w:val="center"/>
        <w:rPr>
          <w:rFonts w:cs="Times New Roman"/>
          <w:szCs w:val="24"/>
        </w:rPr>
      </w:pPr>
    </w:p>
    <w:p w:rsidR="00C95FD7" w:rsidRDefault="00C95FD7" w:rsidP="00C95FD7">
      <w:pPr>
        <w:spacing w:line="480" w:lineRule="auto"/>
        <w:rPr>
          <w:rFonts w:cs="Times New Roman"/>
          <w:szCs w:val="24"/>
        </w:rPr>
      </w:pPr>
    </w:p>
    <w:p w:rsidR="00C95FD7" w:rsidRPr="00F16A07" w:rsidRDefault="00C95FD7" w:rsidP="00C95FD7">
      <w:pPr>
        <w:spacing w:line="480" w:lineRule="auto"/>
        <w:jc w:val="center"/>
        <w:rPr>
          <w:rFonts w:cs="Times New Roman"/>
          <w:bCs/>
          <w:noProof/>
          <w:szCs w:val="24"/>
        </w:rPr>
      </w:pPr>
      <w:r w:rsidRPr="00F16A07">
        <w:rPr>
          <w:rFonts w:cs="Times New Roman"/>
          <w:bCs/>
          <w:noProof/>
          <w:szCs w:val="24"/>
        </w:rPr>
        <w:t>Figure 4.2:  Correlation between ALT and Hb levels</w:t>
      </w:r>
    </w:p>
    <w:p w:rsidR="00C95FD7" w:rsidRDefault="00C95FD7" w:rsidP="00C95FD7">
      <w:pPr>
        <w:spacing w:line="240" w:lineRule="auto"/>
        <w:rPr>
          <w:rFonts w:cs="Times New Roman"/>
          <w:szCs w:val="24"/>
        </w:rPr>
      </w:pPr>
      <w:r w:rsidRPr="006D22BD">
        <w:rPr>
          <w:rFonts w:cs="Times New Roman"/>
          <w:szCs w:val="24"/>
        </w:rPr>
        <w:t>A Pearson product moment correlation was run to determine the relationship between ALT and Hb level. There is a slightly, negative correlation between ALT and Hb levels which statically non-significant (r= -0.153, p= 0.149, N=90).</w:t>
      </w:r>
    </w:p>
    <w:p w:rsidR="00C95FD7" w:rsidRPr="005E53E7" w:rsidRDefault="00C95FD7" w:rsidP="00C95FD7">
      <w:pPr>
        <w:pStyle w:val="Heading3"/>
        <w:rPr>
          <w:rFonts w:cs="Times New Roman"/>
        </w:rPr>
      </w:pPr>
      <w:r>
        <w:t xml:space="preserve">4.2.2 </w:t>
      </w:r>
      <w:r w:rsidRPr="006D22BD">
        <w:t>Correlation between AST and Hb Levels</w:t>
      </w:r>
    </w:p>
    <w:p w:rsidR="00C95FD7" w:rsidRPr="005E53E7" w:rsidRDefault="00C95FD7" w:rsidP="00C95FD7">
      <w:pPr>
        <w:spacing w:line="480" w:lineRule="auto"/>
        <w:rPr>
          <w:rFonts w:cs="Times New Roman"/>
          <w:b/>
          <w:bCs/>
          <w:szCs w:val="24"/>
        </w:rPr>
      </w:pPr>
      <w:r w:rsidRPr="006D22BD">
        <w:rPr>
          <w:rFonts w:cs="Times New Roman"/>
          <w:noProof/>
          <w:szCs w:val="24"/>
        </w:rPr>
        <w:drawing>
          <wp:anchor distT="0" distB="0" distL="114300" distR="114300" simplePos="0" relativeHeight="251676672" behindDoc="0" locked="0" layoutInCell="1" allowOverlap="1" wp14:anchorId="2B47FF2B" wp14:editId="0414E360">
            <wp:simplePos x="0" y="0"/>
            <wp:positionH relativeFrom="column">
              <wp:posOffset>-57150</wp:posOffset>
            </wp:positionH>
            <wp:positionV relativeFrom="paragraph">
              <wp:posOffset>182245</wp:posOffset>
            </wp:positionV>
            <wp:extent cx="5615940" cy="39243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7"/>
                    <a:stretch/>
                  </pic:blipFill>
                  <pic:spPr bwMode="auto">
                    <a:xfrm>
                      <a:off x="0" y="0"/>
                      <a:ext cx="561594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5FD7" w:rsidRPr="006D22BD" w:rsidRDefault="00C95FD7" w:rsidP="00C95FD7">
      <w:pPr>
        <w:spacing w:line="480" w:lineRule="auto"/>
        <w:jc w:val="center"/>
        <w:rPr>
          <w:rFonts w:cs="Times New Roman"/>
          <w:szCs w:val="24"/>
        </w:rPr>
      </w:pPr>
      <w:r w:rsidRPr="006D22BD">
        <w:rPr>
          <w:rFonts w:cs="Times New Roman"/>
          <w:noProof/>
          <w:szCs w:val="24"/>
        </w:rPr>
        <w:drawing>
          <wp:anchor distT="0" distB="0" distL="114300" distR="114300" simplePos="0" relativeHeight="251675648" behindDoc="0" locked="0" layoutInCell="1" allowOverlap="1" wp14:anchorId="306389AE" wp14:editId="75A5ADB3">
            <wp:simplePos x="0" y="0"/>
            <wp:positionH relativeFrom="column">
              <wp:posOffset>1466850</wp:posOffset>
            </wp:positionH>
            <wp:positionV relativeFrom="paragraph">
              <wp:posOffset>4225290</wp:posOffset>
            </wp:positionV>
            <wp:extent cx="2800350" cy="16376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35" r="4322" b="11429"/>
                    <a:stretch/>
                  </pic:blipFill>
                  <pic:spPr bwMode="auto">
                    <a:xfrm>
                      <a:off x="0" y="0"/>
                      <a:ext cx="2800350" cy="163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szCs w:val="24"/>
        </w:rPr>
        <w:t>Aspartate</w:t>
      </w:r>
      <w:r w:rsidRPr="00F16A07">
        <w:rPr>
          <w:rFonts w:cs="Times New Roman"/>
          <w:b/>
          <w:szCs w:val="24"/>
        </w:rPr>
        <w:t xml:space="preserve"> Aminotransferase (Units/Liter) and HB (gram/deciliter</w:t>
      </w:r>
      <w:r>
        <w:rPr>
          <w:rFonts w:cs="Times New Roman"/>
          <w:b/>
          <w:szCs w:val="24"/>
        </w:rPr>
        <w:t>)</w:t>
      </w:r>
    </w:p>
    <w:p w:rsidR="00C95FD7" w:rsidRPr="006D22BD" w:rsidRDefault="00C95FD7" w:rsidP="00C95FD7">
      <w:pPr>
        <w:spacing w:line="480" w:lineRule="auto"/>
        <w:rPr>
          <w:rFonts w:cs="Times New Roman"/>
          <w:szCs w:val="24"/>
        </w:rPr>
      </w:pPr>
    </w:p>
    <w:p w:rsidR="00C95FD7" w:rsidRPr="006D22BD" w:rsidRDefault="00C95FD7" w:rsidP="00C95FD7">
      <w:pPr>
        <w:spacing w:line="480" w:lineRule="auto"/>
        <w:rPr>
          <w:rFonts w:cs="Times New Roman"/>
          <w:szCs w:val="24"/>
        </w:rPr>
      </w:pPr>
    </w:p>
    <w:p w:rsidR="00C95FD7" w:rsidRPr="006D22BD" w:rsidRDefault="00C95FD7" w:rsidP="00C95FD7">
      <w:pPr>
        <w:spacing w:line="480" w:lineRule="auto"/>
        <w:rPr>
          <w:rFonts w:cs="Times New Roman"/>
          <w:szCs w:val="24"/>
        </w:rPr>
      </w:pPr>
    </w:p>
    <w:p w:rsidR="00C95FD7" w:rsidRDefault="00C95FD7" w:rsidP="00C95FD7">
      <w:pPr>
        <w:spacing w:line="480" w:lineRule="auto"/>
        <w:rPr>
          <w:rFonts w:cs="Times New Roman"/>
          <w:bCs/>
          <w:noProof/>
          <w:szCs w:val="24"/>
        </w:rPr>
      </w:pPr>
    </w:p>
    <w:p w:rsidR="00C95FD7" w:rsidRPr="005E53E7" w:rsidRDefault="00C95FD7" w:rsidP="00C95FD7">
      <w:pPr>
        <w:spacing w:line="480" w:lineRule="auto"/>
        <w:jc w:val="center"/>
        <w:rPr>
          <w:rFonts w:cs="Times New Roman"/>
          <w:bCs/>
          <w:noProof/>
          <w:szCs w:val="24"/>
        </w:rPr>
      </w:pPr>
      <w:r w:rsidRPr="00F16A07">
        <w:rPr>
          <w:rFonts w:cs="Times New Roman"/>
          <w:bCs/>
          <w:noProof/>
          <w:szCs w:val="24"/>
        </w:rPr>
        <w:t>Figure</w:t>
      </w:r>
      <w:r>
        <w:rPr>
          <w:rFonts w:cs="Times New Roman"/>
          <w:bCs/>
          <w:noProof/>
          <w:szCs w:val="24"/>
        </w:rPr>
        <w:t xml:space="preserve"> 4.3:  Correlation between AS</w:t>
      </w:r>
      <w:r w:rsidRPr="00F16A07">
        <w:rPr>
          <w:rFonts w:cs="Times New Roman"/>
          <w:bCs/>
          <w:noProof/>
          <w:szCs w:val="24"/>
        </w:rPr>
        <w:t>T and Hb levels</w:t>
      </w:r>
    </w:p>
    <w:p w:rsidR="00C95FD7" w:rsidRPr="006D22BD" w:rsidRDefault="00C95FD7" w:rsidP="00C95FD7">
      <w:pPr>
        <w:spacing w:line="240" w:lineRule="auto"/>
        <w:rPr>
          <w:rFonts w:cs="Times New Roman"/>
          <w:szCs w:val="24"/>
        </w:rPr>
      </w:pPr>
      <w:r w:rsidRPr="006D22BD">
        <w:rPr>
          <w:rFonts w:cs="Times New Roman"/>
          <w:szCs w:val="24"/>
        </w:rPr>
        <w:t>A Pearson product moment correlation was run to determine the relationship between AST and Hb level. There is a slightly, negative correlation between AST and Hb levels which statically non-significant (r= -0.161, p= 0.136, N=87).</w:t>
      </w:r>
    </w:p>
    <w:p w:rsidR="00C95FD7" w:rsidRDefault="00C95FD7" w:rsidP="00C95FD7">
      <w:pPr>
        <w:spacing w:line="480" w:lineRule="auto"/>
        <w:rPr>
          <w:rFonts w:cs="Times New Roman"/>
          <w:szCs w:val="24"/>
        </w:rPr>
      </w:pPr>
      <w:bookmarkStart w:id="0" w:name="_Hlk77072586"/>
    </w:p>
    <w:p w:rsidR="00C95FD7" w:rsidRPr="005E53E7" w:rsidRDefault="00C95FD7" w:rsidP="00C95FD7">
      <w:pPr>
        <w:pStyle w:val="Heading2"/>
      </w:pPr>
      <w:r w:rsidRPr="006D22BD">
        <w:rPr>
          <w:rFonts w:cs="Times New Roman"/>
          <w:noProof/>
          <w:szCs w:val="24"/>
        </w:rPr>
        <w:drawing>
          <wp:anchor distT="0" distB="0" distL="114300" distR="114300" simplePos="0" relativeHeight="251678720" behindDoc="0" locked="0" layoutInCell="1" allowOverlap="1" wp14:anchorId="7005B5E5" wp14:editId="261FF46D">
            <wp:simplePos x="0" y="0"/>
            <wp:positionH relativeFrom="column">
              <wp:posOffset>0</wp:posOffset>
            </wp:positionH>
            <wp:positionV relativeFrom="paragraph">
              <wp:posOffset>247650</wp:posOffset>
            </wp:positionV>
            <wp:extent cx="5619750" cy="4324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49"/>
                    <a:stretch/>
                  </pic:blipFill>
                  <pic:spPr bwMode="auto">
                    <a:xfrm>
                      <a:off x="0" y="0"/>
                      <a:ext cx="5619750" cy="4324350"/>
                    </a:xfrm>
                    <a:prstGeom prst="rect">
                      <a:avLst/>
                    </a:prstGeom>
                    <a:ln>
                      <a:noFill/>
                    </a:ln>
                    <a:extLst>
                      <a:ext uri="{53640926-AAD7-44D8-BBD7-CCE9431645EC}">
                        <a14:shadowObscured xmlns:a14="http://schemas.microsoft.com/office/drawing/2010/main"/>
                      </a:ext>
                    </a:extLst>
                  </pic:spPr>
                </pic:pic>
              </a:graphicData>
            </a:graphic>
          </wp:anchor>
        </w:drawing>
      </w:r>
      <w:r>
        <w:t xml:space="preserve">4.2.3 </w:t>
      </w:r>
      <w:r w:rsidRPr="006D22BD">
        <w:t>Correlation between ALP and Hb Levels</w:t>
      </w:r>
      <w:bookmarkEnd w:id="0"/>
    </w:p>
    <w:p w:rsidR="00C95FD7" w:rsidRPr="006D22BD" w:rsidRDefault="00C95FD7" w:rsidP="00C95FD7">
      <w:pPr>
        <w:spacing w:line="480" w:lineRule="auto"/>
        <w:jc w:val="center"/>
        <w:rPr>
          <w:rFonts w:cs="Times New Roman"/>
          <w:szCs w:val="24"/>
        </w:rPr>
      </w:pPr>
      <w:r w:rsidRPr="009B5A36">
        <w:rPr>
          <w:rFonts w:cs="Times New Roman"/>
          <w:b/>
          <w:noProof/>
          <w:szCs w:val="24"/>
        </w:rPr>
        <w:drawing>
          <wp:anchor distT="0" distB="0" distL="114300" distR="114300" simplePos="0" relativeHeight="251677696" behindDoc="0" locked="0" layoutInCell="1" allowOverlap="1" wp14:anchorId="32F0B22B" wp14:editId="56EFFAC7">
            <wp:simplePos x="0" y="0"/>
            <wp:positionH relativeFrom="margin">
              <wp:posOffset>1371600</wp:posOffset>
            </wp:positionH>
            <wp:positionV relativeFrom="paragraph">
              <wp:posOffset>4637405</wp:posOffset>
            </wp:positionV>
            <wp:extent cx="3409950" cy="1695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910" r="9537" b="9910"/>
                    <a:stretch/>
                  </pic:blipFill>
                  <pic:spPr bwMode="auto">
                    <a:xfrm>
                      <a:off x="0" y="0"/>
                      <a:ext cx="3409950"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5A36">
        <w:rPr>
          <w:rFonts w:cs="Times New Roman"/>
          <w:b/>
          <w:noProof/>
          <w:szCs w:val="24"/>
        </w:rPr>
        <w:t>Alkaline Phosphatase</w:t>
      </w:r>
      <w:r w:rsidRPr="00F16A07">
        <w:rPr>
          <w:rFonts w:cs="Times New Roman"/>
          <w:b/>
          <w:szCs w:val="24"/>
        </w:rPr>
        <w:t xml:space="preserve"> (Units/Liter) and HB (gram/deciliter</w:t>
      </w:r>
      <w:r w:rsidRPr="006D22BD">
        <w:rPr>
          <w:rFonts w:cs="Times New Roman"/>
          <w:szCs w:val="24"/>
        </w:rPr>
        <w:t xml:space="preserve"> </w:t>
      </w:r>
    </w:p>
    <w:p w:rsidR="00C95FD7" w:rsidRDefault="00C95FD7" w:rsidP="00C95FD7">
      <w:pPr>
        <w:spacing w:line="480" w:lineRule="auto"/>
        <w:jc w:val="center"/>
        <w:rPr>
          <w:rFonts w:cs="Times New Roman"/>
          <w:noProof/>
          <w:szCs w:val="24"/>
        </w:rPr>
      </w:pPr>
    </w:p>
    <w:p w:rsidR="00C95FD7" w:rsidRPr="006D22BD" w:rsidRDefault="00C95FD7" w:rsidP="00C95FD7">
      <w:pPr>
        <w:spacing w:line="480" w:lineRule="auto"/>
        <w:jc w:val="center"/>
        <w:rPr>
          <w:rFonts w:cs="Times New Roman"/>
          <w:szCs w:val="24"/>
        </w:rPr>
      </w:pPr>
    </w:p>
    <w:p w:rsidR="00C95FD7" w:rsidRPr="006D22BD" w:rsidRDefault="00C95FD7" w:rsidP="00C95FD7">
      <w:pPr>
        <w:spacing w:line="480" w:lineRule="auto"/>
        <w:jc w:val="center"/>
        <w:rPr>
          <w:rFonts w:cs="Times New Roman"/>
          <w:szCs w:val="24"/>
        </w:rPr>
      </w:pPr>
    </w:p>
    <w:p w:rsidR="00C95FD7" w:rsidRDefault="00C95FD7" w:rsidP="00C95FD7">
      <w:pPr>
        <w:spacing w:line="480" w:lineRule="auto"/>
        <w:rPr>
          <w:rFonts w:cs="Times New Roman"/>
          <w:szCs w:val="24"/>
        </w:rPr>
      </w:pPr>
    </w:p>
    <w:p w:rsidR="00C95FD7" w:rsidRPr="005E53E7" w:rsidRDefault="00C95FD7" w:rsidP="00C95FD7">
      <w:pPr>
        <w:spacing w:line="480" w:lineRule="auto"/>
        <w:jc w:val="center"/>
        <w:rPr>
          <w:rFonts w:cs="Times New Roman"/>
          <w:bCs/>
          <w:noProof/>
          <w:szCs w:val="24"/>
        </w:rPr>
      </w:pPr>
      <w:r w:rsidRPr="00F16A07">
        <w:rPr>
          <w:rFonts w:cs="Times New Roman"/>
          <w:bCs/>
          <w:noProof/>
          <w:szCs w:val="24"/>
        </w:rPr>
        <w:t>Figure</w:t>
      </w:r>
      <w:r>
        <w:rPr>
          <w:rFonts w:cs="Times New Roman"/>
          <w:bCs/>
          <w:noProof/>
          <w:szCs w:val="24"/>
        </w:rPr>
        <w:t xml:space="preserve"> 4.4:  Correlation between ALP</w:t>
      </w:r>
      <w:r w:rsidRPr="00F16A07">
        <w:rPr>
          <w:rFonts w:cs="Times New Roman"/>
          <w:bCs/>
          <w:noProof/>
          <w:szCs w:val="24"/>
        </w:rPr>
        <w:t xml:space="preserve"> and Hb levels</w:t>
      </w:r>
    </w:p>
    <w:p w:rsidR="00C95FD7" w:rsidRPr="006D22BD" w:rsidRDefault="00C95FD7" w:rsidP="00C95FD7">
      <w:pPr>
        <w:spacing w:line="240" w:lineRule="auto"/>
        <w:rPr>
          <w:rFonts w:cs="Times New Roman"/>
          <w:szCs w:val="24"/>
        </w:rPr>
      </w:pPr>
      <w:r w:rsidRPr="006D22BD">
        <w:rPr>
          <w:rFonts w:cs="Times New Roman"/>
          <w:szCs w:val="24"/>
        </w:rPr>
        <w:t>A Pearson product moment correlation was run to determine the relationship between ALP and Hb level. There is a weak, positive correlation between ALP and Hb levels which statically non-significant (r= 0.062, p= 0.563, N=88)</w:t>
      </w:r>
      <w:r>
        <w:rPr>
          <w:rFonts w:cs="Times New Roman"/>
          <w:szCs w:val="24"/>
        </w:rPr>
        <w:t>.</w:t>
      </w:r>
    </w:p>
    <w:p w:rsidR="00C95FD7" w:rsidRPr="006D22BD" w:rsidRDefault="00C95FD7" w:rsidP="00C95FD7">
      <w:pPr>
        <w:spacing w:line="480" w:lineRule="auto"/>
        <w:rPr>
          <w:rFonts w:cs="Times New Roman"/>
          <w:szCs w:val="24"/>
        </w:rPr>
      </w:pPr>
    </w:p>
    <w:p w:rsidR="00C95FD7" w:rsidRPr="006D22BD" w:rsidRDefault="00C95FD7" w:rsidP="00C95FD7">
      <w:pPr>
        <w:pStyle w:val="Heading2"/>
        <w:spacing w:line="480" w:lineRule="auto"/>
      </w:pPr>
      <w:r w:rsidRPr="006D22BD">
        <w:t>4.3 Molecular Analysis of Samples</w:t>
      </w:r>
    </w:p>
    <w:p w:rsidR="00C95FD7" w:rsidRDefault="00C95FD7" w:rsidP="00C95FD7">
      <w:pPr>
        <w:pStyle w:val="Heading3"/>
      </w:pPr>
      <w:r w:rsidRPr="006D22BD">
        <w:t>4.3.1 DNA Extraction from Blood Samples</w:t>
      </w:r>
    </w:p>
    <w:p w:rsidR="00C95FD7" w:rsidRPr="009B5A36" w:rsidRDefault="00C95FD7" w:rsidP="00C95FD7"/>
    <w:p w:rsidR="00C95FD7" w:rsidRPr="006D22BD" w:rsidRDefault="00C95FD7" w:rsidP="00C95FD7">
      <w:pPr>
        <w:spacing w:line="480" w:lineRule="auto"/>
        <w:rPr>
          <w:rFonts w:cs="Times New Roman"/>
          <w:szCs w:val="24"/>
        </w:rPr>
      </w:pPr>
      <w:r>
        <w:rPr>
          <w:rFonts w:cs="Times New Roman"/>
          <w:szCs w:val="24"/>
        </w:rPr>
        <w:t>DNA was extracted from ten</w:t>
      </w:r>
      <w:r w:rsidRPr="006D22BD">
        <w:rPr>
          <w:rFonts w:cs="Times New Roman"/>
          <w:szCs w:val="24"/>
        </w:rPr>
        <w:t xml:space="preserve"> s</w:t>
      </w:r>
      <w:r>
        <w:rPr>
          <w:rFonts w:cs="Times New Roman"/>
          <w:szCs w:val="24"/>
        </w:rPr>
        <w:t>amples i.e. TM-1 to TM-10</w:t>
      </w:r>
      <w:r w:rsidRPr="006D22BD">
        <w:rPr>
          <w:rFonts w:cs="Times New Roman"/>
          <w:szCs w:val="24"/>
        </w:rPr>
        <w:t xml:space="preserve"> by using manual DNA extraction method. 1Kb molecular marker was used and the DNA bands were visualized in gel documentation system. </w:t>
      </w:r>
    </w:p>
    <w:p w:rsidR="00C95FD7" w:rsidRPr="006D22BD" w:rsidRDefault="00C95FD7" w:rsidP="00C95FD7">
      <w:pPr>
        <w:spacing w:line="480" w:lineRule="auto"/>
        <w:jc w:val="center"/>
        <w:rPr>
          <w:rFonts w:cs="Times New Roman"/>
          <w:noProof/>
          <w:szCs w:val="24"/>
        </w:rPr>
      </w:pPr>
      <w:r>
        <w:rPr>
          <w:rFonts w:cs="Times New Roman"/>
          <w:noProof/>
          <w:szCs w:val="24"/>
        </w:rPr>
        <w:drawing>
          <wp:inline distT="0" distB="0" distL="0" distR="0" wp14:anchorId="4F74985B" wp14:editId="4705C2C2">
            <wp:extent cx="4171950" cy="287534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491" cy="2879855"/>
                    </a:xfrm>
                    <a:prstGeom prst="rect">
                      <a:avLst/>
                    </a:prstGeom>
                  </pic:spPr>
                </pic:pic>
              </a:graphicData>
            </a:graphic>
          </wp:inline>
        </w:drawing>
      </w:r>
    </w:p>
    <w:p w:rsidR="00C95FD7" w:rsidRDefault="00C95FD7" w:rsidP="00C95FD7">
      <w:pPr>
        <w:spacing w:line="480" w:lineRule="auto"/>
        <w:jc w:val="center"/>
        <w:rPr>
          <w:rFonts w:cs="Times New Roman"/>
          <w:szCs w:val="24"/>
        </w:rPr>
      </w:pPr>
      <w:r w:rsidRPr="009B5A36">
        <w:rPr>
          <w:rFonts w:cs="Times New Roman"/>
          <w:iCs/>
          <w:szCs w:val="24"/>
        </w:rPr>
        <w:t xml:space="preserve">Figure 5: </w:t>
      </w:r>
      <w:r w:rsidRPr="009B5A36">
        <w:rPr>
          <w:rFonts w:cs="Times New Roman"/>
          <w:szCs w:val="24"/>
        </w:rPr>
        <w:t>Extracted DNA Samples</w:t>
      </w:r>
      <w:r>
        <w:rPr>
          <w:rFonts w:cs="Times New Roman"/>
          <w:szCs w:val="24"/>
        </w:rPr>
        <w:t xml:space="preserve"> in 1% Agarose gel</w:t>
      </w:r>
    </w:p>
    <w:p w:rsidR="00C95FD7" w:rsidRDefault="00C95FD7" w:rsidP="00C95FD7">
      <w:pPr>
        <w:spacing w:line="480" w:lineRule="auto"/>
        <w:jc w:val="center"/>
        <w:rPr>
          <w:rFonts w:cs="Times New Roman"/>
          <w:szCs w:val="24"/>
        </w:rPr>
      </w:pPr>
    </w:p>
    <w:p w:rsidR="00C95FD7" w:rsidRDefault="00C95FD7" w:rsidP="00C95FD7">
      <w:pPr>
        <w:spacing w:line="480" w:lineRule="auto"/>
        <w:jc w:val="center"/>
        <w:rPr>
          <w:rFonts w:cs="Times New Roman"/>
          <w:szCs w:val="24"/>
        </w:rPr>
      </w:pPr>
    </w:p>
    <w:p w:rsidR="00C95FD7" w:rsidRDefault="00C95FD7" w:rsidP="00C95FD7">
      <w:pPr>
        <w:spacing w:line="480" w:lineRule="auto"/>
        <w:jc w:val="center"/>
        <w:rPr>
          <w:rFonts w:cs="Times New Roman"/>
          <w:szCs w:val="24"/>
        </w:rPr>
      </w:pPr>
    </w:p>
    <w:p w:rsidR="00C95FD7" w:rsidRDefault="00C95FD7" w:rsidP="00C95FD7">
      <w:pPr>
        <w:spacing w:line="480" w:lineRule="auto"/>
        <w:jc w:val="center"/>
        <w:rPr>
          <w:rFonts w:cs="Times New Roman"/>
          <w:szCs w:val="24"/>
        </w:rPr>
      </w:pPr>
    </w:p>
    <w:p w:rsidR="00C95FD7" w:rsidRPr="009B5A36" w:rsidRDefault="00C95FD7" w:rsidP="00C95FD7">
      <w:pPr>
        <w:spacing w:line="480" w:lineRule="auto"/>
        <w:jc w:val="center"/>
        <w:rPr>
          <w:rFonts w:cs="Times New Roman"/>
          <w:szCs w:val="24"/>
        </w:rPr>
      </w:pPr>
    </w:p>
    <w:p w:rsidR="00C95FD7" w:rsidRPr="009B5A36" w:rsidRDefault="00C95FD7" w:rsidP="00E4580A">
      <w:pPr>
        <w:pStyle w:val="Heading3"/>
      </w:pPr>
      <w:r w:rsidRPr="006D22BD">
        <w:t xml:space="preserve">4.3.2 </w:t>
      </w:r>
      <w:r>
        <w:t>PCR Amplification</w:t>
      </w:r>
      <w:r w:rsidRPr="006D22BD">
        <w:t xml:space="preserve"> </w:t>
      </w:r>
      <w:r>
        <w:t>and Amplification</w:t>
      </w:r>
    </w:p>
    <w:p w:rsidR="00C95FD7" w:rsidRPr="006D22BD" w:rsidRDefault="00C95FD7" w:rsidP="00C95FD7">
      <w:pPr>
        <w:spacing w:line="480" w:lineRule="auto"/>
        <w:rPr>
          <w:rFonts w:cs="Times New Roman"/>
          <w:szCs w:val="24"/>
        </w:rPr>
      </w:pPr>
      <w:r w:rsidRPr="006D22BD">
        <w:rPr>
          <w:rFonts w:cs="Times New Roman"/>
          <w:szCs w:val="24"/>
        </w:rPr>
        <w:t xml:space="preserve">The extracted DNA samples were then analyzed by using thermocycler PCR, the sample was amplified by using HBB primer. After amplification the PCR products were run on gel electrophoresis using 2% agarose and then visualized under gel documentation system. 1Kb molecular marker was used </w:t>
      </w:r>
      <w:r>
        <w:rPr>
          <w:rFonts w:cs="Times New Roman"/>
          <w:szCs w:val="24"/>
        </w:rPr>
        <w:t xml:space="preserve">and the product size is 366 bp shown in the figure below. </w:t>
      </w:r>
    </w:p>
    <w:p w:rsidR="00C95FD7" w:rsidRPr="006D22BD" w:rsidRDefault="00C95FD7" w:rsidP="00C95FD7">
      <w:pPr>
        <w:spacing w:line="480" w:lineRule="auto"/>
        <w:jc w:val="center"/>
        <w:rPr>
          <w:rFonts w:cs="Times New Roman"/>
          <w:noProof/>
          <w:szCs w:val="24"/>
        </w:rPr>
      </w:pPr>
      <w:r>
        <w:rPr>
          <w:rFonts w:cs="Times New Roman"/>
          <w:noProof/>
          <w:szCs w:val="24"/>
        </w:rPr>
        <w:drawing>
          <wp:inline distT="0" distB="0" distL="0" distR="0" wp14:anchorId="430D754D" wp14:editId="7659E93B">
            <wp:extent cx="4314825" cy="36256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850" cy="3629875"/>
                    </a:xfrm>
                    <a:prstGeom prst="rect">
                      <a:avLst/>
                    </a:prstGeom>
                  </pic:spPr>
                </pic:pic>
              </a:graphicData>
            </a:graphic>
          </wp:inline>
        </w:drawing>
      </w:r>
    </w:p>
    <w:p w:rsidR="00C95FD7" w:rsidRPr="009B5A36" w:rsidRDefault="00C95FD7" w:rsidP="00C95FD7">
      <w:pPr>
        <w:spacing w:line="480" w:lineRule="auto"/>
        <w:jc w:val="center"/>
        <w:rPr>
          <w:rFonts w:cs="Times New Roman"/>
          <w:szCs w:val="24"/>
        </w:rPr>
      </w:pPr>
      <w:r w:rsidRPr="009B5A36">
        <w:rPr>
          <w:rFonts w:cs="Times New Roman"/>
          <w:iCs/>
          <w:szCs w:val="24"/>
        </w:rPr>
        <w:t xml:space="preserve">Figure 4.6: </w:t>
      </w:r>
      <w:r>
        <w:rPr>
          <w:rFonts w:cs="Times New Roman"/>
          <w:iCs/>
          <w:szCs w:val="24"/>
        </w:rPr>
        <w:t xml:space="preserve">Bands of </w:t>
      </w:r>
      <w:r>
        <w:rPr>
          <w:rFonts w:cs="Times New Roman"/>
          <w:szCs w:val="24"/>
        </w:rPr>
        <w:t xml:space="preserve">HBB gene Amplified </w:t>
      </w:r>
      <w:r w:rsidRPr="009B5A36">
        <w:rPr>
          <w:rFonts w:cs="Times New Roman"/>
          <w:szCs w:val="24"/>
        </w:rPr>
        <w:t>Samples</w:t>
      </w:r>
      <w:r>
        <w:rPr>
          <w:rFonts w:cs="Times New Roman"/>
          <w:szCs w:val="24"/>
        </w:rPr>
        <w:t>, Product size 366bp and 1000bp Ladder</w:t>
      </w:r>
    </w:p>
    <w:p w:rsidR="00C95FD7" w:rsidRDefault="00C95FD7" w:rsidP="00C95FD7">
      <w:pPr>
        <w:pStyle w:val="Heading2"/>
      </w:pPr>
    </w:p>
    <w:p w:rsidR="00C95FD7" w:rsidRDefault="00C95FD7" w:rsidP="00C95FD7">
      <w:pPr>
        <w:pStyle w:val="Heading2"/>
        <w:jc w:val="left"/>
        <w:sectPr w:rsidR="00C95FD7">
          <w:footerReference w:type="default" r:id="rId20"/>
          <w:pgSz w:w="12240" w:h="15840"/>
          <w:pgMar w:top="1440" w:right="1440" w:bottom="1440" w:left="1440" w:header="720" w:footer="720" w:gutter="0"/>
          <w:cols w:space="720"/>
          <w:docGrid w:linePitch="360"/>
        </w:sectPr>
      </w:pPr>
    </w:p>
    <w:p w:rsidR="00C95FD7" w:rsidRPr="009B5A36" w:rsidRDefault="00C95FD7" w:rsidP="00E4580A">
      <w:pPr>
        <w:pStyle w:val="Heading2"/>
      </w:pPr>
      <w:r w:rsidRPr="009B5A36">
        <w:t xml:space="preserve">4.4 Sequencing and BLAST </w:t>
      </w:r>
    </w:p>
    <w:p w:rsidR="00C95FD7" w:rsidRDefault="00C95FD7" w:rsidP="00C95FD7">
      <w:r>
        <w:t xml:space="preserve">The sequence of TM 2 and TM 3 were used to find similarity between our query and already present </w:t>
      </w:r>
      <w:r>
        <w:rPr>
          <w:i/>
        </w:rPr>
        <w:t xml:space="preserve">HBB </w:t>
      </w:r>
      <w:r>
        <w:t xml:space="preserve">gene. </w:t>
      </w:r>
    </w:p>
    <w:p w:rsidR="00C95FD7" w:rsidRDefault="00C95FD7" w:rsidP="00C95FD7">
      <w:r>
        <w:t xml:space="preserve">Table 4.1: BLAST results with Highly Similar Sequences </w:t>
      </w:r>
    </w:p>
    <w:tbl>
      <w:tblPr>
        <w:tblStyle w:val="PlainTable2"/>
        <w:tblW w:w="14169" w:type="dxa"/>
        <w:tblInd w:w="-540" w:type="dxa"/>
        <w:tblLayout w:type="fixed"/>
        <w:tblLook w:val="04A0" w:firstRow="1" w:lastRow="0" w:firstColumn="1" w:lastColumn="0" w:noHBand="0" w:noVBand="1"/>
      </w:tblPr>
      <w:tblGrid>
        <w:gridCol w:w="1050"/>
        <w:gridCol w:w="370"/>
        <w:gridCol w:w="795"/>
        <w:gridCol w:w="295"/>
        <w:gridCol w:w="1526"/>
        <w:gridCol w:w="1398"/>
        <w:gridCol w:w="1398"/>
        <w:gridCol w:w="1574"/>
        <w:gridCol w:w="3211"/>
        <w:gridCol w:w="1339"/>
        <w:gridCol w:w="1213"/>
      </w:tblGrid>
      <w:tr w:rsidR="00C95FD7" w:rsidRPr="00670DD5" w:rsidTr="00325C04">
        <w:trPr>
          <w:cnfStyle w:val="100000000000" w:firstRow="1" w:lastRow="0" w:firstColumn="0" w:lastColumn="0" w:oddVBand="0" w:evenVBand="0" w:oddHBand="0" w:evenHBand="0" w:firstRowFirstColumn="0" w:firstRowLastColumn="0" w:lastRowFirstColumn="0" w:lastRowLastColumn="0"/>
          <w:trHeight w:val="1685"/>
        </w:trPr>
        <w:tc>
          <w:tcPr>
            <w:cnfStyle w:val="001000000000" w:firstRow="0" w:lastRow="0" w:firstColumn="1" w:lastColumn="0" w:oddVBand="0" w:evenVBand="0" w:oddHBand="0" w:evenHBand="0" w:firstRowFirstColumn="0" w:firstRowLastColumn="0" w:lastRowFirstColumn="0" w:lastRowLastColumn="0"/>
            <w:tcW w:w="1050" w:type="dxa"/>
          </w:tcPr>
          <w:p w:rsidR="00C95FD7" w:rsidRDefault="00C95FD7" w:rsidP="00325C04">
            <w:pPr>
              <w:ind w:right="30"/>
              <w:rPr>
                <w:rFonts w:cs="Times New Roman"/>
                <w:szCs w:val="24"/>
              </w:rPr>
            </w:pPr>
          </w:p>
          <w:p w:rsidR="00C95FD7" w:rsidRPr="00670DD5" w:rsidRDefault="00C95FD7" w:rsidP="00325C04">
            <w:pPr>
              <w:ind w:right="30"/>
              <w:rPr>
                <w:rFonts w:cs="Times New Roman"/>
                <w:b w:val="0"/>
                <w:szCs w:val="24"/>
              </w:rPr>
            </w:pPr>
            <w:r w:rsidRPr="00670DD5">
              <w:rPr>
                <w:rFonts w:cs="Times New Roman"/>
                <w:szCs w:val="24"/>
              </w:rPr>
              <w:t>Sample ID</w:t>
            </w:r>
          </w:p>
        </w:tc>
        <w:tc>
          <w:tcPr>
            <w:tcW w:w="1460" w:type="dxa"/>
            <w:gridSpan w:val="3"/>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Sample Name/Genus</w:t>
            </w:r>
          </w:p>
        </w:tc>
        <w:tc>
          <w:tcPr>
            <w:tcW w:w="1526"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ind w:firstLine="131"/>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Source of Isolation</w:t>
            </w:r>
          </w:p>
        </w:tc>
        <w:tc>
          <w:tcPr>
            <w:tcW w:w="1398"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Location of Isolation</w:t>
            </w:r>
          </w:p>
        </w:tc>
        <w:tc>
          <w:tcPr>
            <w:tcW w:w="1398"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No. of Nucleotide</w:t>
            </w: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(bp</w:t>
            </w:r>
            <w:r w:rsidRPr="00670DD5">
              <w:rPr>
                <w:rFonts w:cs="Times New Roman"/>
                <w:b w:val="0"/>
                <w:szCs w:val="24"/>
              </w:rPr>
              <w:t>)</w:t>
            </w:r>
          </w:p>
        </w:tc>
        <w:tc>
          <w:tcPr>
            <w:tcW w:w="1574"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GenBank Accession Number</w:t>
            </w:r>
          </w:p>
        </w:tc>
        <w:tc>
          <w:tcPr>
            <w:tcW w:w="3211"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Closely related taxa identification by using BLASTn</w:t>
            </w: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(https://blast.ncbi.nlm.nih.gov/Blast.cgi)</w:t>
            </w:r>
          </w:p>
        </w:tc>
        <w:tc>
          <w:tcPr>
            <w:tcW w:w="1339"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670DD5">
              <w:rPr>
                <w:rFonts w:cs="Times New Roman"/>
                <w:szCs w:val="24"/>
              </w:rPr>
              <w:t>Sequence identification (%) of HBB gene with closely related taxa</w:t>
            </w: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p>
        </w:tc>
        <w:tc>
          <w:tcPr>
            <w:tcW w:w="1213" w:type="dxa"/>
          </w:tcPr>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rsidR="00C95FD7" w:rsidRPr="00670DD5"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70DD5">
              <w:rPr>
                <w:rFonts w:cs="Times New Roman"/>
                <w:szCs w:val="24"/>
              </w:rPr>
              <w:t>Sequence query coverage (%)</w:t>
            </w:r>
          </w:p>
        </w:tc>
      </w:tr>
      <w:tr w:rsidR="00C95FD7" w:rsidRPr="00670DD5" w:rsidTr="00325C04">
        <w:trPr>
          <w:cnfStyle w:val="000000100000" w:firstRow="0" w:lastRow="0" w:firstColumn="0" w:lastColumn="0" w:oddVBand="0" w:evenVBand="0" w:oddHBand="1" w:evenHBand="0" w:firstRowFirstColumn="0" w:firstRowLastColumn="0" w:lastRowFirstColumn="0" w:lastRowLastColumn="0"/>
          <w:trHeight w:val="1392"/>
        </w:trPr>
        <w:tc>
          <w:tcPr>
            <w:cnfStyle w:val="001000000000" w:firstRow="0" w:lastRow="0" w:firstColumn="1" w:lastColumn="0" w:oddVBand="0" w:evenVBand="0" w:oddHBand="0" w:evenHBand="0" w:firstRowFirstColumn="0" w:firstRowLastColumn="0" w:lastRowFirstColumn="0" w:lastRowLastColumn="0"/>
            <w:tcW w:w="1420" w:type="dxa"/>
            <w:gridSpan w:val="2"/>
          </w:tcPr>
          <w:p w:rsidR="00C95FD7" w:rsidRPr="00670DD5" w:rsidRDefault="00C95FD7" w:rsidP="00325C04">
            <w:pPr>
              <w:jc w:val="center"/>
              <w:rPr>
                <w:rFonts w:cs="Times New Roman"/>
                <w:szCs w:val="24"/>
              </w:rPr>
            </w:pPr>
            <w:r w:rsidRPr="00670DD5">
              <w:rPr>
                <w:rFonts w:cs="Times New Roman"/>
                <w:szCs w:val="24"/>
              </w:rPr>
              <w:t>TM 2</w:t>
            </w:r>
          </w:p>
        </w:tc>
        <w:tc>
          <w:tcPr>
            <w:tcW w:w="795"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670DD5">
              <w:rPr>
                <w:rFonts w:cs="Times New Roman"/>
                <w:i/>
                <w:szCs w:val="24"/>
              </w:rPr>
              <w:t>Homo</w:t>
            </w:r>
          </w:p>
        </w:tc>
        <w:tc>
          <w:tcPr>
            <w:tcW w:w="1820" w:type="dxa"/>
            <w:gridSpan w:val="2"/>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70DD5">
              <w:rPr>
                <w:rFonts w:cs="Times New Roman"/>
                <w:szCs w:val="24"/>
              </w:rPr>
              <w:t>Human Blood</w:t>
            </w:r>
          </w:p>
        </w:tc>
        <w:tc>
          <w:tcPr>
            <w:tcW w:w="1398"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70DD5">
              <w:rPr>
                <w:rFonts w:cs="Times New Roman"/>
                <w:szCs w:val="24"/>
              </w:rPr>
              <w:t>Lahore</w:t>
            </w:r>
          </w:p>
        </w:tc>
        <w:tc>
          <w:tcPr>
            <w:tcW w:w="1398"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311</w:t>
            </w:r>
          </w:p>
        </w:tc>
        <w:tc>
          <w:tcPr>
            <w:tcW w:w="1574" w:type="dxa"/>
          </w:tcPr>
          <w:p w:rsidR="00C95FD7" w:rsidRPr="00670DD5" w:rsidRDefault="00C95FD7" w:rsidP="00325C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70DD5">
              <w:rPr>
                <w:rFonts w:cs="Times New Roman"/>
                <w:szCs w:val="24"/>
                <w:shd w:val="clear" w:color="auto" w:fill="FFFFFF"/>
              </w:rPr>
              <w:t>AH001475.2</w:t>
            </w:r>
          </w:p>
        </w:tc>
        <w:tc>
          <w:tcPr>
            <w:tcW w:w="3211"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714CF">
              <w:rPr>
                <w:rFonts w:cs="Times New Roman"/>
                <w:bCs/>
                <w:color w:val="212121"/>
                <w:szCs w:val="24"/>
                <w:shd w:val="clear" w:color="auto" w:fill="FFFFFF"/>
              </w:rPr>
              <w:t>Homo sapiens beta-globin gene, complete cds</w:t>
            </w:r>
          </w:p>
        </w:tc>
        <w:tc>
          <w:tcPr>
            <w:tcW w:w="1339"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70DD5">
              <w:rPr>
                <w:rFonts w:cs="Times New Roman"/>
                <w:szCs w:val="24"/>
              </w:rPr>
              <w:t>99.36</w:t>
            </w:r>
          </w:p>
        </w:tc>
        <w:tc>
          <w:tcPr>
            <w:tcW w:w="1213" w:type="dxa"/>
          </w:tcPr>
          <w:p w:rsidR="00C95FD7" w:rsidRPr="00670DD5"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70DD5">
              <w:rPr>
                <w:rFonts w:cs="Times New Roman"/>
                <w:szCs w:val="24"/>
              </w:rPr>
              <w:t>100</w:t>
            </w:r>
          </w:p>
        </w:tc>
      </w:tr>
      <w:tr w:rsidR="00C95FD7" w:rsidRPr="00670DD5" w:rsidTr="00325C04">
        <w:trPr>
          <w:trHeight w:val="186"/>
        </w:trPr>
        <w:tc>
          <w:tcPr>
            <w:cnfStyle w:val="001000000000" w:firstRow="0" w:lastRow="0" w:firstColumn="1" w:lastColumn="0" w:oddVBand="0" w:evenVBand="0" w:oddHBand="0" w:evenHBand="0" w:firstRowFirstColumn="0" w:firstRowLastColumn="0" w:lastRowFirstColumn="0" w:lastRowLastColumn="0"/>
            <w:tcW w:w="1420" w:type="dxa"/>
            <w:gridSpan w:val="2"/>
          </w:tcPr>
          <w:p w:rsidR="00C95FD7" w:rsidRPr="00670DD5" w:rsidRDefault="00C95FD7" w:rsidP="00325C04">
            <w:pPr>
              <w:jc w:val="center"/>
              <w:rPr>
                <w:rFonts w:cs="Times New Roman"/>
                <w:szCs w:val="24"/>
              </w:rPr>
            </w:pPr>
            <w:r w:rsidRPr="00670DD5">
              <w:rPr>
                <w:rFonts w:cs="Times New Roman"/>
                <w:szCs w:val="24"/>
              </w:rPr>
              <w:t>TM 3</w:t>
            </w:r>
          </w:p>
        </w:tc>
        <w:tc>
          <w:tcPr>
            <w:tcW w:w="795"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70DD5">
              <w:rPr>
                <w:rFonts w:cs="Times New Roman"/>
                <w:i/>
                <w:szCs w:val="24"/>
              </w:rPr>
              <w:t>Homo</w:t>
            </w:r>
          </w:p>
        </w:tc>
        <w:tc>
          <w:tcPr>
            <w:tcW w:w="1820" w:type="dxa"/>
            <w:gridSpan w:val="2"/>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70DD5">
              <w:rPr>
                <w:rFonts w:cs="Times New Roman"/>
                <w:szCs w:val="24"/>
              </w:rPr>
              <w:t>Human Blood</w:t>
            </w:r>
          </w:p>
        </w:tc>
        <w:tc>
          <w:tcPr>
            <w:tcW w:w="1398"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70DD5">
              <w:rPr>
                <w:rFonts w:cs="Times New Roman"/>
                <w:szCs w:val="24"/>
              </w:rPr>
              <w:t>Lahore</w:t>
            </w:r>
          </w:p>
        </w:tc>
        <w:tc>
          <w:tcPr>
            <w:tcW w:w="1398"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324</w:t>
            </w:r>
          </w:p>
        </w:tc>
        <w:tc>
          <w:tcPr>
            <w:tcW w:w="1574" w:type="dxa"/>
          </w:tcPr>
          <w:p w:rsidR="00C95FD7" w:rsidRPr="00670DD5" w:rsidRDefault="00C95FD7" w:rsidP="00325C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70DD5">
              <w:rPr>
                <w:rFonts w:cs="Times New Roman"/>
                <w:szCs w:val="24"/>
                <w:shd w:val="clear" w:color="auto" w:fill="FFFFFF"/>
              </w:rPr>
              <w:t>AH001475.2</w:t>
            </w:r>
          </w:p>
        </w:tc>
        <w:tc>
          <w:tcPr>
            <w:tcW w:w="3211"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714CF">
              <w:rPr>
                <w:rFonts w:cs="Times New Roman"/>
                <w:bCs/>
                <w:color w:val="212121"/>
                <w:szCs w:val="24"/>
                <w:shd w:val="clear" w:color="auto" w:fill="FFFFFF"/>
              </w:rPr>
              <w:t>Homo sapiens beta-globin gene, complete cds</w:t>
            </w:r>
          </w:p>
        </w:tc>
        <w:tc>
          <w:tcPr>
            <w:tcW w:w="1339"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99.39</w:t>
            </w:r>
          </w:p>
        </w:tc>
        <w:tc>
          <w:tcPr>
            <w:tcW w:w="1213" w:type="dxa"/>
          </w:tcPr>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color w:val="212121"/>
                <w:szCs w:val="24"/>
              </w:rPr>
            </w:pPr>
            <w:r>
              <w:rPr>
                <w:rFonts w:cs="Times New Roman"/>
                <w:color w:val="212121"/>
                <w:szCs w:val="24"/>
              </w:rPr>
              <w:t>100</w:t>
            </w:r>
          </w:p>
          <w:p w:rsidR="00C95FD7" w:rsidRPr="00670DD5"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rsidR="00C95FD7" w:rsidRDefault="00C95FD7" w:rsidP="00C95FD7">
      <w:pPr>
        <w:pStyle w:val="Heading2"/>
      </w:pPr>
    </w:p>
    <w:p w:rsidR="00C95FD7" w:rsidRDefault="00C95FD7" w:rsidP="00C95FD7">
      <w:pPr>
        <w:pStyle w:val="Heading2"/>
      </w:pPr>
    </w:p>
    <w:p w:rsidR="00C95FD7" w:rsidRDefault="00C95FD7" w:rsidP="00C95FD7">
      <w:pPr>
        <w:pStyle w:val="Heading2"/>
        <w:jc w:val="left"/>
        <w:sectPr w:rsidR="00C95FD7" w:rsidSect="00C26E2C">
          <w:pgSz w:w="15840" w:h="12240" w:orient="landscape"/>
          <w:pgMar w:top="1440" w:right="1440" w:bottom="1440" w:left="1440" w:header="720" w:footer="720" w:gutter="0"/>
          <w:cols w:space="720"/>
          <w:docGrid w:linePitch="360"/>
        </w:sectPr>
      </w:pPr>
    </w:p>
    <w:p w:rsidR="00C95FD7" w:rsidRDefault="00C95FD7" w:rsidP="00C95FD7">
      <w:pPr>
        <w:pStyle w:val="Heading2"/>
      </w:pPr>
      <w:r>
        <w:t xml:space="preserve">4.5 Bioinformatics Analysis </w:t>
      </w:r>
    </w:p>
    <w:p w:rsidR="00C95FD7" w:rsidRPr="009B5A36" w:rsidRDefault="00C95FD7" w:rsidP="00C95FD7"/>
    <w:p w:rsidR="00C95FD7" w:rsidRDefault="00C95FD7" w:rsidP="00C95FD7">
      <w:r>
        <w:rPr>
          <w:noProof/>
        </w:rPr>
        <w:drawing>
          <wp:anchor distT="0" distB="0" distL="114300" distR="114300" simplePos="0" relativeHeight="251679744" behindDoc="0" locked="0" layoutInCell="1" allowOverlap="1" wp14:anchorId="7255699A" wp14:editId="51C12BCF">
            <wp:simplePos x="0" y="0"/>
            <wp:positionH relativeFrom="column">
              <wp:posOffset>-238125</wp:posOffset>
            </wp:positionH>
            <wp:positionV relativeFrom="paragraph">
              <wp:posOffset>365760</wp:posOffset>
            </wp:positionV>
            <wp:extent cx="6619240" cy="61988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ge chromatogram.jpg"/>
                    <pic:cNvPicPr/>
                  </pic:nvPicPr>
                  <pic:blipFill rotWithShape="1">
                    <a:blip r:embed="rId21" cstate="print">
                      <a:extLst>
                        <a:ext uri="{28A0092B-C50C-407E-A947-70E740481C1C}">
                          <a14:useLocalDpi xmlns:a14="http://schemas.microsoft.com/office/drawing/2010/main" val="0"/>
                        </a:ext>
                      </a:extLst>
                    </a:blip>
                    <a:srcRect b="9300"/>
                    <a:stretch/>
                  </pic:blipFill>
                  <pic:spPr bwMode="auto">
                    <a:xfrm>
                      <a:off x="0" y="0"/>
                      <a:ext cx="6619240" cy="6198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chromatographs obtained by BioEdit are shown in Figure 4.7 below. </w:t>
      </w:r>
    </w:p>
    <w:p w:rsidR="00C95FD7" w:rsidRPr="002A7CA3" w:rsidRDefault="00C95FD7" w:rsidP="00C95FD7">
      <w:pPr>
        <w:jc w:val="center"/>
        <w:sectPr w:rsidR="00C95FD7" w:rsidRPr="002A7CA3" w:rsidSect="00FA103E">
          <w:pgSz w:w="12240" w:h="15840"/>
          <w:pgMar w:top="1440" w:right="1440" w:bottom="1440" w:left="1440" w:header="720" w:footer="720" w:gutter="0"/>
          <w:cols w:space="720"/>
          <w:docGrid w:linePitch="360"/>
        </w:sectPr>
      </w:pPr>
      <w:r>
        <w:t xml:space="preserve">Figure 4.7:      Chromatograph   of sample TM 2 (a) and sample TM 3 (b). </w:t>
      </w:r>
    </w:p>
    <w:p w:rsidR="00C95FD7" w:rsidRPr="002A7CA3" w:rsidRDefault="00C95FD7" w:rsidP="00C95FD7">
      <w:pPr>
        <w:pStyle w:val="Heading2"/>
      </w:pPr>
      <w:r>
        <w:t>4.6 Characteristics of Proteins</w:t>
      </w:r>
    </w:p>
    <w:p w:rsidR="00C95FD7" w:rsidRDefault="00C95FD7" w:rsidP="00C95FD7">
      <w:r>
        <w:t xml:space="preserve">Physiochemical properties of protein were obtained through ExPasy Protparam. </w:t>
      </w:r>
    </w:p>
    <w:p w:rsidR="00C95FD7" w:rsidRPr="002A7CA3" w:rsidRDefault="00C95FD7" w:rsidP="00C95FD7">
      <w:pPr>
        <w:rPr>
          <w:rFonts w:cs="Times New Roman"/>
        </w:rPr>
      </w:pPr>
      <w:r w:rsidRPr="002A7CA3">
        <w:rPr>
          <w:rFonts w:cs="Times New Roman"/>
        </w:rPr>
        <w:t>Table 4.2: Physiochemical Properties of Protein</w:t>
      </w:r>
    </w:p>
    <w:tbl>
      <w:tblPr>
        <w:tblStyle w:val="PlainTable2"/>
        <w:tblW w:w="14264" w:type="dxa"/>
        <w:tblInd w:w="-533" w:type="dxa"/>
        <w:tblLook w:val="04A0" w:firstRow="1" w:lastRow="0" w:firstColumn="1" w:lastColumn="0" w:noHBand="0" w:noVBand="1"/>
      </w:tblPr>
      <w:tblGrid>
        <w:gridCol w:w="1168"/>
        <w:gridCol w:w="1290"/>
        <w:gridCol w:w="1420"/>
        <w:gridCol w:w="1986"/>
        <w:gridCol w:w="2518"/>
        <w:gridCol w:w="1668"/>
        <w:gridCol w:w="4214"/>
      </w:tblGrid>
      <w:tr w:rsidR="00C95FD7" w:rsidRPr="00C26E2C" w:rsidTr="00325C04">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168" w:type="dxa"/>
          </w:tcPr>
          <w:p w:rsidR="00C95FD7" w:rsidRPr="00C26E2C" w:rsidRDefault="00C95FD7" w:rsidP="00325C04">
            <w:pPr>
              <w:rPr>
                <w:rFonts w:cs="Times New Roman"/>
                <w:sz w:val="22"/>
              </w:rPr>
            </w:pPr>
            <w:r w:rsidRPr="00C26E2C">
              <w:rPr>
                <w:rFonts w:cs="Times New Roman"/>
                <w:sz w:val="22"/>
              </w:rPr>
              <w:t>Sample no.</w:t>
            </w:r>
          </w:p>
        </w:tc>
        <w:tc>
          <w:tcPr>
            <w:tcW w:w="1290"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Molecular weight</w:t>
            </w:r>
          </w:p>
          <w:p w:rsidR="00C95FD7" w:rsidRPr="00C26E2C"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(Da)</w:t>
            </w:r>
          </w:p>
          <w:p w:rsidR="00C95FD7" w:rsidRPr="00C26E2C"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p>
        </w:tc>
        <w:tc>
          <w:tcPr>
            <w:tcW w:w="1420"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Theoretical pI</w:t>
            </w:r>
          </w:p>
        </w:tc>
        <w:tc>
          <w:tcPr>
            <w:tcW w:w="1986"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Formula</w:t>
            </w:r>
          </w:p>
        </w:tc>
        <w:tc>
          <w:tcPr>
            <w:tcW w:w="2518"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Extinction coefficients</w:t>
            </w:r>
          </w:p>
        </w:tc>
        <w:tc>
          <w:tcPr>
            <w:tcW w:w="1668"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Estimated half-life</w:t>
            </w:r>
          </w:p>
        </w:tc>
        <w:tc>
          <w:tcPr>
            <w:tcW w:w="4214" w:type="dxa"/>
          </w:tcPr>
          <w:p w:rsidR="00C95FD7" w:rsidRPr="00C26E2C"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Instability index</w:t>
            </w:r>
          </w:p>
        </w:tc>
      </w:tr>
      <w:tr w:rsidR="00C95FD7" w:rsidRPr="00C26E2C" w:rsidTr="00325C04">
        <w:trPr>
          <w:cnfStyle w:val="000000100000" w:firstRow="0" w:lastRow="0" w:firstColumn="0" w:lastColumn="0" w:oddVBand="0" w:evenVBand="0" w:oddHBand="1" w:evenHBand="0" w:firstRowFirstColumn="0" w:firstRowLastColumn="0" w:lastRowFirstColumn="0" w:lastRowLastColumn="0"/>
          <w:trHeight w:val="2219"/>
        </w:trPr>
        <w:tc>
          <w:tcPr>
            <w:cnfStyle w:val="001000000000" w:firstRow="0" w:lastRow="0" w:firstColumn="1" w:lastColumn="0" w:oddVBand="0" w:evenVBand="0" w:oddHBand="0" w:evenHBand="0" w:firstRowFirstColumn="0" w:firstRowLastColumn="0" w:lastRowFirstColumn="0" w:lastRowLastColumn="0"/>
            <w:tcW w:w="1168" w:type="dxa"/>
          </w:tcPr>
          <w:p w:rsidR="00C95FD7" w:rsidRPr="00C26E2C" w:rsidRDefault="00C95FD7" w:rsidP="00325C04">
            <w:pPr>
              <w:jc w:val="center"/>
              <w:rPr>
                <w:rFonts w:cs="Times New Roman"/>
                <w:sz w:val="22"/>
              </w:rPr>
            </w:pPr>
            <w:r w:rsidRPr="00C26E2C">
              <w:rPr>
                <w:rFonts w:cs="Times New Roman"/>
                <w:sz w:val="22"/>
              </w:rPr>
              <w:t>HBB</w:t>
            </w:r>
          </w:p>
          <w:p w:rsidR="00C95FD7" w:rsidRPr="00C26E2C" w:rsidRDefault="00C95FD7" w:rsidP="00325C04">
            <w:pPr>
              <w:jc w:val="center"/>
              <w:rPr>
                <w:rFonts w:cs="Times New Roman"/>
                <w:sz w:val="22"/>
              </w:rPr>
            </w:pPr>
            <w:r w:rsidRPr="00C26E2C">
              <w:rPr>
                <w:rFonts w:cs="Times New Roman"/>
                <w:sz w:val="22"/>
              </w:rPr>
              <w:t>Exon 3</w:t>
            </w:r>
          </w:p>
          <w:p w:rsidR="00C95FD7" w:rsidRPr="00C26E2C" w:rsidRDefault="00C95FD7" w:rsidP="00325C04">
            <w:pPr>
              <w:jc w:val="center"/>
              <w:rPr>
                <w:rFonts w:cs="Times New Roman"/>
                <w:sz w:val="22"/>
              </w:rPr>
            </w:pPr>
            <w:r w:rsidRPr="00C26E2C">
              <w:rPr>
                <w:rFonts w:cs="Times New Roman"/>
                <w:sz w:val="22"/>
              </w:rPr>
              <w:t>(wild)</w:t>
            </w:r>
          </w:p>
        </w:tc>
        <w:tc>
          <w:tcPr>
            <w:tcW w:w="1290" w:type="dxa"/>
          </w:tcPr>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3137.56</w:t>
            </w:r>
          </w:p>
        </w:tc>
        <w:tc>
          <w:tcPr>
            <w:tcW w:w="1420" w:type="dxa"/>
          </w:tcPr>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4.57</w:t>
            </w:r>
          </w:p>
        </w:tc>
        <w:tc>
          <w:tcPr>
            <w:tcW w:w="1986" w:type="dxa"/>
          </w:tcPr>
          <w:p w:rsidR="00C95FD7" w:rsidRPr="00C26E2C" w:rsidRDefault="00C95FD7" w:rsidP="00325C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imes New Roman"/>
                <w:color w:val="313233"/>
                <w:sz w:val="22"/>
              </w:rPr>
            </w:pPr>
            <w:r w:rsidRPr="00C26E2C">
              <w:rPr>
                <w:rFonts w:eastAsia="Times New Roman" w:cs="Times New Roman"/>
                <w:color w:val="313233"/>
                <w:sz w:val="22"/>
              </w:rPr>
              <w:t>C</w:t>
            </w:r>
            <w:r w:rsidRPr="00C26E2C">
              <w:rPr>
                <w:rFonts w:eastAsia="Times New Roman" w:cs="Times New Roman"/>
                <w:color w:val="313233"/>
                <w:sz w:val="22"/>
                <w:vertAlign w:val="subscript"/>
              </w:rPr>
              <w:t>138</w:t>
            </w:r>
            <w:r w:rsidRPr="00C26E2C">
              <w:rPr>
                <w:rFonts w:eastAsia="Times New Roman" w:cs="Times New Roman"/>
                <w:color w:val="313233"/>
                <w:sz w:val="22"/>
              </w:rPr>
              <w:t>H</w:t>
            </w:r>
            <w:r w:rsidRPr="00C26E2C">
              <w:rPr>
                <w:rFonts w:eastAsia="Times New Roman" w:cs="Times New Roman"/>
                <w:color w:val="313233"/>
                <w:sz w:val="22"/>
                <w:vertAlign w:val="subscript"/>
              </w:rPr>
              <w:t>222</w:t>
            </w:r>
            <w:r w:rsidRPr="00C26E2C">
              <w:rPr>
                <w:rFonts w:eastAsia="Times New Roman" w:cs="Times New Roman"/>
                <w:color w:val="313233"/>
                <w:sz w:val="22"/>
              </w:rPr>
              <w:t>N</w:t>
            </w:r>
            <w:r w:rsidRPr="00C26E2C">
              <w:rPr>
                <w:rFonts w:eastAsia="Times New Roman" w:cs="Times New Roman"/>
                <w:color w:val="313233"/>
                <w:sz w:val="22"/>
                <w:vertAlign w:val="subscript"/>
              </w:rPr>
              <w:t>36</w:t>
            </w:r>
            <w:r w:rsidRPr="00C26E2C">
              <w:rPr>
                <w:rFonts w:eastAsia="Times New Roman" w:cs="Times New Roman"/>
                <w:color w:val="313233"/>
                <w:sz w:val="22"/>
              </w:rPr>
              <w:t>O</w:t>
            </w:r>
            <w:r w:rsidRPr="00C26E2C">
              <w:rPr>
                <w:rFonts w:eastAsia="Times New Roman" w:cs="Times New Roman"/>
                <w:color w:val="313233"/>
                <w:sz w:val="22"/>
                <w:vertAlign w:val="subscript"/>
              </w:rPr>
              <w:t>45</w:t>
            </w:r>
            <w:r w:rsidRPr="00C26E2C">
              <w:rPr>
                <w:rFonts w:eastAsia="Times New Roman" w:cs="Times New Roman"/>
                <w:color w:val="313233"/>
                <w:sz w:val="22"/>
              </w:rPr>
              <w:t>S</w:t>
            </w:r>
            <w:r w:rsidRPr="00C26E2C">
              <w:rPr>
                <w:rFonts w:eastAsia="Times New Roman" w:cs="Times New Roman"/>
                <w:color w:val="313233"/>
                <w:sz w:val="22"/>
                <w:vertAlign w:val="subscript"/>
              </w:rPr>
              <w:t>1</w:t>
            </w:r>
          </w:p>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p>
        </w:tc>
        <w:tc>
          <w:tcPr>
            <w:tcW w:w="2518"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5500</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Abs 0.1% (=1 g/l)   1.753</w:t>
            </w:r>
          </w:p>
        </w:tc>
        <w:tc>
          <w:tcPr>
            <w:tcW w:w="1668" w:type="dxa"/>
          </w:tcPr>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30 hours (mammalian reticulocytes, in vitro).</w:t>
            </w:r>
          </w:p>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 xml:space="preserve">      &gt;20 hours (yeast, in vivo).</w:t>
            </w:r>
          </w:p>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 xml:space="preserve">     &gt;10 hours (Escherichia coli, in vivo).</w:t>
            </w:r>
          </w:p>
        </w:tc>
        <w:tc>
          <w:tcPr>
            <w:tcW w:w="4214" w:type="dxa"/>
          </w:tcPr>
          <w:p w:rsidR="00C95FD7" w:rsidRPr="00C26E2C" w:rsidRDefault="00C95FD7" w:rsidP="00325C04">
            <w:pPr>
              <w:pStyle w:val="HTMLPreformatted"/>
              <w:shd w:val="clear" w:color="auto" w:fill="FFFFFF"/>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The instability index (II) is computed to be 16.03</w:t>
            </w:r>
          </w:p>
          <w:p w:rsidR="00C95FD7" w:rsidRPr="00C26E2C" w:rsidRDefault="00C95FD7" w:rsidP="00325C04">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This classifies the protein as stable.</w:t>
            </w:r>
          </w:p>
        </w:tc>
      </w:tr>
      <w:tr w:rsidR="00C95FD7" w:rsidRPr="00C26E2C" w:rsidTr="00325C04">
        <w:trPr>
          <w:trHeight w:val="2256"/>
        </w:trPr>
        <w:tc>
          <w:tcPr>
            <w:cnfStyle w:val="001000000000" w:firstRow="0" w:lastRow="0" w:firstColumn="1" w:lastColumn="0" w:oddVBand="0" w:evenVBand="0" w:oddHBand="0" w:evenHBand="0" w:firstRowFirstColumn="0" w:firstRowLastColumn="0" w:lastRowFirstColumn="0" w:lastRowLastColumn="0"/>
            <w:tcW w:w="1168" w:type="dxa"/>
          </w:tcPr>
          <w:p w:rsidR="00C95FD7" w:rsidRPr="00C26E2C" w:rsidRDefault="00C95FD7" w:rsidP="00325C04">
            <w:pPr>
              <w:jc w:val="center"/>
              <w:rPr>
                <w:rFonts w:cs="Times New Roman"/>
                <w:sz w:val="22"/>
              </w:rPr>
            </w:pPr>
            <w:r w:rsidRPr="00C26E2C">
              <w:rPr>
                <w:rFonts w:cs="Times New Roman"/>
                <w:sz w:val="22"/>
              </w:rPr>
              <w:t>TM 2</w:t>
            </w:r>
          </w:p>
          <w:p w:rsidR="00C95FD7" w:rsidRPr="00C26E2C" w:rsidRDefault="00C95FD7" w:rsidP="00325C04">
            <w:pPr>
              <w:jc w:val="center"/>
              <w:rPr>
                <w:rFonts w:cs="Times New Roman"/>
                <w:sz w:val="22"/>
              </w:rPr>
            </w:pPr>
            <w:r w:rsidRPr="00C26E2C">
              <w:rPr>
                <w:rFonts w:cs="Times New Roman"/>
                <w:sz w:val="22"/>
              </w:rPr>
              <w:t>(Mutant)</w:t>
            </w:r>
          </w:p>
        </w:tc>
        <w:tc>
          <w:tcPr>
            <w:tcW w:w="1290" w:type="dxa"/>
          </w:tcPr>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26E2C">
              <w:rPr>
                <w:rFonts w:ascii="Times New Roman" w:hAnsi="Times New Roman" w:cs="Times New Roman"/>
                <w:sz w:val="22"/>
                <w:szCs w:val="22"/>
              </w:rPr>
              <w:t>3200.76</w:t>
            </w:r>
          </w:p>
        </w:tc>
        <w:tc>
          <w:tcPr>
            <w:tcW w:w="1420" w:type="dxa"/>
          </w:tcPr>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26E2C">
              <w:rPr>
                <w:rFonts w:ascii="Times New Roman" w:hAnsi="Times New Roman" w:cs="Times New Roman"/>
                <w:sz w:val="22"/>
                <w:szCs w:val="22"/>
              </w:rPr>
              <w:t>10.43</w:t>
            </w:r>
          </w:p>
        </w:tc>
        <w:tc>
          <w:tcPr>
            <w:tcW w:w="1986" w:type="dxa"/>
          </w:tcPr>
          <w:p w:rsidR="00C95FD7" w:rsidRPr="00C26E2C" w:rsidRDefault="00C95FD7" w:rsidP="00325C04">
            <w:pPr>
              <w:pStyle w:val="HTMLPreformatted"/>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C</w:t>
            </w:r>
            <w:r w:rsidRPr="00C26E2C">
              <w:rPr>
                <w:rFonts w:ascii="Times New Roman" w:hAnsi="Times New Roman" w:cs="Times New Roman"/>
                <w:color w:val="313233"/>
                <w:sz w:val="22"/>
                <w:szCs w:val="22"/>
                <w:vertAlign w:val="subscript"/>
              </w:rPr>
              <w:t>148</w:t>
            </w:r>
            <w:r w:rsidRPr="00C26E2C">
              <w:rPr>
                <w:rFonts w:ascii="Times New Roman" w:hAnsi="Times New Roman" w:cs="Times New Roman"/>
                <w:color w:val="313233"/>
                <w:sz w:val="22"/>
                <w:szCs w:val="22"/>
              </w:rPr>
              <w:t>H</w:t>
            </w:r>
            <w:r w:rsidRPr="00C26E2C">
              <w:rPr>
                <w:rFonts w:ascii="Times New Roman" w:hAnsi="Times New Roman" w:cs="Times New Roman"/>
                <w:color w:val="313233"/>
                <w:sz w:val="22"/>
                <w:szCs w:val="22"/>
                <w:vertAlign w:val="subscript"/>
              </w:rPr>
              <w:t>227</w:t>
            </w:r>
            <w:r w:rsidRPr="00C26E2C">
              <w:rPr>
                <w:rFonts w:ascii="Times New Roman" w:hAnsi="Times New Roman" w:cs="Times New Roman"/>
                <w:color w:val="313233"/>
                <w:sz w:val="22"/>
                <w:szCs w:val="22"/>
              </w:rPr>
              <w:t>N</w:t>
            </w:r>
            <w:r w:rsidRPr="00C26E2C">
              <w:rPr>
                <w:rFonts w:ascii="Times New Roman" w:hAnsi="Times New Roman" w:cs="Times New Roman"/>
                <w:color w:val="313233"/>
                <w:sz w:val="22"/>
                <w:szCs w:val="22"/>
                <w:vertAlign w:val="subscript"/>
              </w:rPr>
              <w:t>43</w:t>
            </w:r>
            <w:r w:rsidRPr="00C26E2C">
              <w:rPr>
                <w:rFonts w:ascii="Times New Roman" w:hAnsi="Times New Roman" w:cs="Times New Roman"/>
                <w:color w:val="313233"/>
                <w:sz w:val="22"/>
                <w:szCs w:val="22"/>
              </w:rPr>
              <w:t>O</w:t>
            </w:r>
            <w:r w:rsidRPr="00C26E2C">
              <w:rPr>
                <w:rFonts w:ascii="Times New Roman" w:hAnsi="Times New Roman" w:cs="Times New Roman"/>
                <w:color w:val="313233"/>
                <w:sz w:val="22"/>
                <w:szCs w:val="22"/>
                <w:vertAlign w:val="subscript"/>
              </w:rPr>
              <w:t>35</w:t>
            </w:r>
            <w:r w:rsidRPr="00C26E2C">
              <w:rPr>
                <w:rFonts w:ascii="Times New Roman" w:hAnsi="Times New Roman" w:cs="Times New Roman"/>
                <w:color w:val="313233"/>
                <w:sz w:val="22"/>
                <w:szCs w:val="22"/>
              </w:rPr>
              <w:t>S</w:t>
            </w:r>
            <w:r w:rsidRPr="00C26E2C">
              <w:rPr>
                <w:rFonts w:ascii="Times New Roman" w:hAnsi="Times New Roman" w:cs="Times New Roman"/>
                <w:color w:val="313233"/>
                <w:sz w:val="22"/>
                <w:szCs w:val="22"/>
                <w:vertAlign w:val="subscript"/>
              </w:rPr>
              <w:t>1</w:t>
            </w:r>
          </w:p>
        </w:tc>
        <w:tc>
          <w:tcPr>
            <w:tcW w:w="2518" w:type="dxa"/>
          </w:tcPr>
          <w:p w:rsidR="00C95FD7" w:rsidRPr="00C26E2C"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13980</w:t>
            </w:r>
          </w:p>
          <w:p w:rsidR="00C95FD7" w:rsidRPr="00C26E2C"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26E2C">
              <w:rPr>
                <w:rFonts w:cs="Times New Roman"/>
                <w:sz w:val="22"/>
              </w:rPr>
              <w:t>Abs 0.1% (=1 g/l)   4.368</w:t>
            </w:r>
          </w:p>
        </w:tc>
        <w:tc>
          <w:tcPr>
            <w:tcW w:w="1668" w:type="dxa"/>
          </w:tcPr>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30 hours (mammalian reticulocytes, in vitro).</w:t>
            </w:r>
          </w:p>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 xml:space="preserve">    &gt;20 hours (yeast, in vivo).</w:t>
            </w:r>
          </w:p>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13233"/>
                <w:sz w:val="22"/>
                <w:szCs w:val="22"/>
              </w:rPr>
            </w:pPr>
            <w:r w:rsidRPr="00C26E2C">
              <w:rPr>
                <w:rFonts w:ascii="Times New Roman" w:hAnsi="Times New Roman" w:cs="Times New Roman"/>
                <w:color w:val="313233"/>
                <w:sz w:val="22"/>
                <w:szCs w:val="22"/>
              </w:rPr>
              <w:t>&gt;10 hours (Escherichia coli, in vivo).</w:t>
            </w:r>
          </w:p>
        </w:tc>
        <w:tc>
          <w:tcPr>
            <w:tcW w:w="4214" w:type="dxa"/>
          </w:tcPr>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26E2C">
              <w:rPr>
                <w:rFonts w:ascii="Times New Roman" w:hAnsi="Times New Roman" w:cs="Times New Roman"/>
                <w:sz w:val="22"/>
                <w:szCs w:val="22"/>
              </w:rPr>
              <w:t>The instability index (II) is computed to be 53.88.</w:t>
            </w:r>
          </w:p>
          <w:p w:rsidR="00C95FD7" w:rsidRPr="00C26E2C" w:rsidRDefault="00C95FD7" w:rsidP="00325C04">
            <w:pPr>
              <w:pStyle w:val="HTMLPreformatted"/>
              <w:shd w:val="clear" w:color="auto" w:fill="FFFFFF"/>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26E2C">
              <w:rPr>
                <w:rFonts w:ascii="Times New Roman" w:hAnsi="Times New Roman" w:cs="Times New Roman"/>
                <w:sz w:val="22"/>
                <w:szCs w:val="22"/>
              </w:rPr>
              <w:t>This classifies the protein as unstable.</w:t>
            </w:r>
          </w:p>
          <w:p w:rsidR="00C95FD7" w:rsidRPr="00C26E2C" w:rsidRDefault="00C95FD7" w:rsidP="00325C04">
            <w:pPr>
              <w:pStyle w:val="HTMLPreformatted"/>
              <w:shd w:val="clear" w:color="auto" w:fill="FFFFFF"/>
              <w:ind w:left="-16" w:hanging="17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C95FD7" w:rsidRPr="00C26E2C" w:rsidTr="00325C04">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1168" w:type="dxa"/>
          </w:tcPr>
          <w:p w:rsidR="00C95FD7" w:rsidRPr="00C26E2C" w:rsidRDefault="00C95FD7" w:rsidP="00325C04">
            <w:pPr>
              <w:jc w:val="center"/>
              <w:rPr>
                <w:rFonts w:cs="Times New Roman"/>
                <w:sz w:val="22"/>
              </w:rPr>
            </w:pPr>
            <w:r w:rsidRPr="00C26E2C">
              <w:rPr>
                <w:rFonts w:cs="Times New Roman"/>
                <w:sz w:val="22"/>
              </w:rPr>
              <w:t>TM 3</w:t>
            </w:r>
          </w:p>
          <w:p w:rsidR="00C95FD7" w:rsidRPr="00C26E2C" w:rsidRDefault="00C95FD7" w:rsidP="00325C04">
            <w:pPr>
              <w:jc w:val="center"/>
              <w:rPr>
                <w:rFonts w:cs="Times New Roman"/>
                <w:sz w:val="22"/>
              </w:rPr>
            </w:pPr>
            <w:r w:rsidRPr="00C26E2C">
              <w:rPr>
                <w:rFonts w:cs="Times New Roman"/>
                <w:sz w:val="22"/>
              </w:rPr>
              <w:t>(Mutant)</w:t>
            </w:r>
          </w:p>
        </w:tc>
        <w:tc>
          <w:tcPr>
            <w:tcW w:w="1290"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3429.01</w:t>
            </w:r>
          </w:p>
        </w:tc>
        <w:tc>
          <w:tcPr>
            <w:tcW w:w="1420"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9.99</w:t>
            </w:r>
          </w:p>
        </w:tc>
        <w:tc>
          <w:tcPr>
            <w:tcW w:w="1986" w:type="dxa"/>
          </w:tcPr>
          <w:p w:rsidR="00C95FD7" w:rsidRPr="00C26E2C" w:rsidRDefault="00C95FD7" w:rsidP="00325C04">
            <w:pPr>
              <w:pStyle w:val="HTMLPreformatted"/>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13233"/>
                <w:sz w:val="22"/>
                <w:szCs w:val="22"/>
                <w:vertAlign w:val="subscript"/>
              </w:rPr>
            </w:pPr>
            <w:r w:rsidRPr="00C26E2C">
              <w:rPr>
                <w:rFonts w:ascii="Times New Roman" w:hAnsi="Times New Roman" w:cs="Times New Roman"/>
                <w:color w:val="313233"/>
                <w:sz w:val="22"/>
                <w:szCs w:val="22"/>
              </w:rPr>
              <w:t>C</w:t>
            </w:r>
            <w:r w:rsidRPr="00C26E2C">
              <w:rPr>
                <w:rFonts w:ascii="Times New Roman" w:hAnsi="Times New Roman" w:cs="Times New Roman"/>
                <w:color w:val="313233"/>
                <w:sz w:val="22"/>
                <w:szCs w:val="22"/>
                <w:vertAlign w:val="subscript"/>
              </w:rPr>
              <w:t>158</w:t>
            </w:r>
            <w:r w:rsidRPr="00C26E2C">
              <w:rPr>
                <w:rFonts w:ascii="Times New Roman" w:hAnsi="Times New Roman" w:cs="Times New Roman"/>
                <w:color w:val="313233"/>
                <w:sz w:val="22"/>
                <w:szCs w:val="22"/>
              </w:rPr>
              <w:t>H</w:t>
            </w:r>
            <w:r w:rsidRPr="00C26E2C">
              <w:rPr>
                <w:rFonts w:ascii="Times New Roman" w:hAnsi="Times New Roman" w:cs="Times New Roman"/>
                <w:color w:val="313233"/>
                <w:sz w:val="22"/>
                <w:szCs w:val="22"/>
                <w:vertAlign w:val="subscript"/>
              </w:rPr>
              <w:t>243</w:t>
            </w:r>
            <w:r w:rsidRPr="00C26E2C">
              <w:rPr>
                <w:rFonts w:ascii="Times New Roman" w:hAnsi="Times New Roman" w:cs="Times New Roman"/>
                <w:color w:val="313233"/>
                <w:sz w:val="22"/>
                <w:szCs w:val="22"/>
              </w:rPr>
              <w:t>N</w:t>
            </w:r>
            <w:r w:rsidRPr="00C26E2C">
              <w:rPr>
                <w:rFonts w:ascii="Times New Roman" w:hAnsi="Times New Roman" w:cs="Times New Roman"/>
                <w:color w:val="313233"/>
                <w:sz w:val="22"/>
                <w:szCs w:val="22"/>
                <w:vertAlign w:val="subscript"/>
              </w:rPr>
              <w:t>45</w:t>
            </w:r>
            <w:r w:rsidRPr="00C26E2C">
              <w:rPr>
                <w:rFonts w:ascii="Times New Roman" w:hAnsi="Times New Roman" w:cs="Times New Roman"/>
                <w:color w:val="313233"/>
                <w:sz w:val="22"/>
                <w:szCs w:val="22"/>
              </w:rPr>
              <w:t>O</w:t>
            </w:r>
            <w:r w:rsidRPr="00C26E2C">
              <w:rPr>
                <w:rFonts w:ascii="Times New Roman" w:hAnsi="Times New Roman" w:cs="Times New Roman"/>
                <w:color w:val="313233"/>
                <w:sz w:val="22"/>
                <w:szCs w:val="22"/>
                <w:vertAlign w:val="subscript"/>
              </w:rPr>
              <w:t>39</w:t>
            </w:r>
            <w:r w:rsidRPr="00C26E2C">
              <w:rPr>
                <w:rFonts w:ascii="Times New Roman" w:hAnsi="Times New Roman" w:cs="Times New Roman"/>
                <w:color w:val="313233"/>
                <w:sz w:val="22"/>
                <w:szCs w:val="22"/>
              </w:rPr>
              <w:t>S</w:t>
            </w:r>
            <w:r w:rsidRPr="00C26E2C">
              <w:rPr>
                <w:rFonts w:ascii="Times New Roman" w:hAnsi="Times New Roman" w:cs="Times New Roman"/>
                <w:color w:val="313233"/>
                <w:sz w:val="22"/>
                <w:szCs w:val="22"/>
                <w:vertAlign w:val="subscript"/>
              </w:rPr>
              <w:t>1</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p>
        </w:tc>
        <w:tc>
          <w:tcPr>
            <w:tcW w:w="2518"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13980</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Abs 0.1% (=1 g/l)   4.077.</w:t>
            </w:r>
          </w:p>
        </w:tc>
        <w:tc>
          <w:tcPr>
            <w:tcW w:w="1668"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30 hours (mammalian reticulocytes, in vitro).</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 xml:space="preserve">     &gt;20 hours (yeast, in vivo).</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 xml:space="preserve">     &gt;10 hours (Escherichia coli, in vivo).</w:t>
            </w:r>
          </w:p>
        </w:tc>
        <w:tc>
          <w:tcPr>
            <w:tcW w:w="4214" w:type="dxa"/>
          </w:tcPr>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The instability index (II) is computed to be 50.85</w:t>
            </w:r>
          </w:p>
          <w:p w:rsidR="00C95FD7" w:rsidRPr="00C26E2C"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26E2C">
              <w:rPr>
                <w:rFonts w:cs="Times New Roman"/>
                <w:sz w:val="22"/>
              </w:rPr>
              <w:t>This classifies the protein as unstable.</w:t>
            </w:r>
          </w:p>
        </w:tc>
      </w:tr>
    </w:tbl>
    <w:p w:rsidR="00C95FD7" w:rsidRDefault="00C95FD7" w:rsidP="00C95FD7">
      <w:pPr>
        <w:rPr>
          <w:rFonts w:cs="Times New Roman"/>
          <w:szCs w:val="24"/>
        </w:rPr>
        <w:sectPr w:rsidR="00C95FD7" w:rsidSect="00FA103E">
          <w:pgSz w:w="15840" w:h="12240" w:orient="landscape"/>
          <w:pgMar w:top="1440" w:right="1440" w:bottom="1440" w:left="1440" w:header="720" w:footer="720" w:gutter="0"/>
          <w:cols w:space="720"/>
          <w:docGrid w:linePitch="360"/>
        </w:sectPr>
      </w:pPr>
    </w:p>
    <w:p w:rsidR="00C95FD7" w:rsidRDefault="00C95FD7" w:rsidP="00C95FD7">
      <w:pPr>
        <w:pStyle w:val="Heading2"/>
      </w:pPr>
    </w:p>
    <w:p w:rsidR="00C95FD7" w:rsidRDefault="00C95FD7" w:rsidP="00C95FD7">
      <w:pPr>
        <w:pStyle w:val="Heading2"/>
      </w:pPr>
      <w:r>
        <w:t>4.7 Secondary Structure of Protein</w:t>
      </w:r>
    </w:p>
    <w:p w:rsidR="00C95FD7" w:rsidRDefault="00C95FD7" w:rsidP="00C95FD7">
      <w:r>
        <w:rPr>
          <w:noProof/>
        </w:rPr>
        <w:drawing>
          <wp:anchor distT="0" distB="0" distL="114300" distR="114300" simplePos="0" relativeHeight="251680768" behindDoc="1" locked="0" layoutInCell="1" allowOverlap="1" wp14:anchorId="7ABA8F91" wp14:editId="6222B90A">
            <wp:simplePos x="0" y="0"/>
            <wp:positionH relativeFrom="column">
              <wp:posOffset>-94615</wp:posOffset>
            </wp:positionH>
            <wp:positionV relativeFrom="paragraph">
              <wp:posOffset>510540</wp:posOffset>
            </wp:positionV>
            <wp:extent cx="6090920" cy="5233670"/>
            <wp:effectExtent l="0" t="0" r="5080" b="5080"/>
            <wp:wrapTight wrapText="bothSides">
              <wp:wrapPolygon edited="0">
                <wp:start x="0" y="0"/>
                <wp:lineTo x="0" y="21542"/>
                <wp:lineTo x="21550" y="21542"/>
                <wp:lineTo x="215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condary structure collage.png"/>
                    <pic:cNvPicPr/>
                  </pic:nvPicPr>
                  <pic:blipFill rotWithShape="1">
                    <a:blip r:embed="rId22">
                      <a:extLst>
                        <a:ext uri="{28A0092B-C50C-407E-A947-70E740481C1C}">
                          <a14:useLocalDpi xmlns:a14="http://schemas.microsoft.com/office/drawing/2010/main" val="0"/>
                        </a:ext>
                      </a:extLst>
                    </a:blip>
                    <a:srcRect t="21585"/>
                    <a:stretch/>
                  </pic:blipFill>
                  <pic:spPr bwMode="auto">
                    <a:xfrm>
                      <a:off x="0" y="0"/>
                      <a:ext cx="6090920" cy="523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secondary structures of protein were analyzed by Psipred, the pink color show helixes, grey color show coils and yellow color shows strands. </w:t>
      </w:r>
    </w:p>
    <w:p w:rsidR="00C95FD7" w:rsidRDefault="00C95FD7" w:rsidP="00C95FD7">
      <w:pPr>
        <w:jc w:val="center"/>
        <w:rPr>
          <w:noProof/>
        </w:rPr>
      </w:pPr>
      <w:r>
        <w:rPr>
          <w:noProof/>
        </w:rPr>
        <w:t>Figure 4.8: Secondary structure of proteins of thalassemia major patients.</w:t>
      </w:r>
    </w:p>
    <w:p w:rsidR="00C95FD7" w:rsidRDefault="00C95FD7" w:rsidP="00C95FD7">
      <w:pPr>
        <w:spacing w:line="240" w:lineRule="auto"/>
        <w:rPr>
          <w:noProof/>
        </w:rPr>
      </w:pPr>
      <w:r>
        <w:rPr>
          <w:noProof/>
        </w:rPr>
        <w:t xml:space="preserve">Secondary structures of sample protein were predicted by Psipred workbench shown in figure as (a) represdents TM 2, (b) represents TM 3 while (c) represents the wild protein. </w:t>
      </w:r>
    </w:p>
    <w:p w:rsidR="00C95FD7" w:rsidRDefault="00C95FD7" w:rsidP="00C95FD7"/>
    <w:p w:rsidR="00C95FD7" w:rsidRDefault="00C95FD7" w:rsidP="00C95FD7">
      <w:pPr>
        <w:rPr>
          <w:b/>
        </w:rPr>
      </w:pPr>
    </w:p>
    <w:p w:rsidR="00C95FD7" w:rsidRDefault="00C95FD7" w:rsidP="00C95FD7">
      <w:pPr>
        <w:pStyle w:val="Heading2"/>
      </w:pPr>
    </w:p>
    <w:p w:rsidR="00C95FD7" w:rsidRDefault="00C95FD7" w:rsidP="00C95FD7">
      <w:pPr>
        <w:pStyle w:val="Heading2"/>
      </w:pPr>
      <w:r>
        <w:t xml:space="preserve">4.8 Analysis of Gene Ontology </w:t>
      </w:r>
    </w:p>
    <w:p w:rsidR="00C95FD7" w:rsidRPr="00E4580A" w:rsidRDefault="00C95FD7" w:rsidP="00E4580A">
      <w:r>
        <w:t xml:space="preserve">The table 4.3 shows the molecular and biological functions of protein under study. </w:t>
      </w:r>
    </w:p>
    <w:tbl>
      <w:tblPr>
        <w:tblStyle w:val="PlainTable2"/>
        <w:tblW w:w="9812" w:type="dxa"/>
        <w:tblLayout w:type="fixed"/>
        <w:tblLook w:val="04A0" w:firstRow="1" w:lastRow="0" w:firstColumn="1" w:lastColumn="0" w:noHBand="0" w:noVBand="1"/>
      </w:tblPr>
      <w:tblGrid>
        <w:gridCol w:w="556"/>
        <w:gridCol w:w="1061"/>
        <w:gridCol w:w="1853"/>
        <w:gridCol w:w="1084"/>
        <w:gridCol w:w="1753"/>
        <w:gridCol w:w="1752"/>
        <w:gridCol w:w="1753"/>
      </w:tblGrid>
      <w:tr w:rsidR="00C95FD7" w:rsidTr="00325C04">
        <w:trPr>
          <w:cnfStyle w:val="100000000000" w:firstRow="1" w:lastRow="0" w:firstColumn="0" w:lastColumn="0" w:oddVBand="0" w:evenVBand="0" w:oddHBand="0"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556" w:type="dxa"/>
            <w:textDirection w:val="btLr"/>
          </w:tcPr>
          <w:p w:rsidR="00C95FD7" w:rsidRDefault="00C95FD7" w:rsidP="00325C04">
            <w:pPr>
              <w:ind w:left="113" w:right="113"/>
              <w:rPr>
                <w:rFonts w:cs="Times New Roman"/>
                <w:bCs w:val="0"/>
                <w:color w:val="FFFFFF" w:themeColor="background1"/>
                <w:szCs w:val="24"/>
              </w:rPr>
            </w:pPr>
            <w:r>
              <w:rPr>
                <w:rFonts w:cs="Times New Roman"/>
                <w:b w:val="0"/>
                <w:szCs w:val="24"/>
              </w:rPr>
              <w:t xml:space="preserve">Protein name </w:t>
            </w:r>
          </w:p>
          <w:p w:rsidR="00C95FD7" w:rsidRPr="006847B2" w:rsidRDefault="00C95FD7" w:rsidP="00325C04">
            <w:pPr>
              <w:ind w:left="-687" w:right="113"/>
              <w:rPr>
                <w:rFonts w:cs="Times New Roman"/>
                <w:szCs w:val="24"/>
              </w:rPr>
            </w:pPr>
          </w:p>
        </w:tc>
        <w:tc>
          <w:tcPr>
            <w:tcW w:w="2914" w:type="dxa"/>
            <w:gridSpan w:val="2"/>
          </w:tcPr>
          <w:p w:rsidR="00C95FD7" w:rsidRDefault="00C95FD7" w:rsidP="00325C0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rsidR="00C95FD7"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Cellular Function</w:t>
            </w:r>
          </w:p>
        </w:tc>
        <w:tc>
          <w:tcPr>
            <w:tcW w:w="2837" w:type="dxa"/>
            <w:gridSpan w:val="2"/>
          </w:tcPr>
          <w:p w:rsidR="00C95FD7"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p>
          <w:p w:rsidR="00C95FD7"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Biological Function</w:t>
            </w:r>
          </w:p>
        </w:tc>
        <w:tc>
          <w:tcPr>
            <w:tcW w:w="3505" w:type="dxa"/>
            <w:gridSpan w:val="2"/>
          </w:tcPr>
          <w:p w:rsidR="00C95FD7"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p>
          <w:p w:rsidR="00C95FD7" w:rsidRDefault="00C95FD7" w:rsidP="00325C04">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6847B2">
              <w:rPr>
                <w:rFonts w:cs="Times New Roman"/>
                <w:b w:val="0"/>
                <w:szCs w:val="24"/>
              </w:rPr>
              <w:t>Molecular Function</w:t>
            </w:r>
          </w:p>
        </w:tc>
      </w:tr>
      <w:tr w:rsidR="00C95FD7" w:rsidTr="00325C04">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556" w:type="dxa"/>
            <w:vMerge w:val="restart"/>
            <w:textDirection w:val="btLr"/>
          </w:tcPr>
          <w:p w:rsidR="00C95FD7" w:rsidRDefault="00C95FD7" w:rsidP="00325C04">
            <w:pPr>
              <w:ind w:left="113" w:right="113"/>
              <w:jc w:val="center"/>
              <w:rPr>
                <w:rFonts w:cs="Times New Roman"/>
                <w:b w:val="0"/>
                <w:szCs w:val="24"/>
              </w:rPr>
            </w:pPr>
            <w:r>
              <w:rPr>
                <w:rFonts w:cs="Times New Roman"/>
                <w:b w:val="0"/>
                <w:szCs w:val="24"/>
              </w:rPr>
              <w:t xml:space="preserve">Exon 1 of </w:t>
            </w:r>
            <w:r w:rsidRPr="00C705EC">
              <w:rPr>
                <w:rFonts w:cs="Times New Roman"/>
                <w:b w:val="0"/>
                <w:szCs w:val="24"/>
              </w:rPr>
              <w:t>Beta Globin</w:t>
            </w:r>
          </w:p>
        </w:tc>
        <w:tc>
          <w:tcPr>
            <w:tcW w:w="1061" w:type="dxa"/>
          </w:tcPr>
          <w:p w:rsidR="00C95FD7"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GO Term</w:t>
            </w:r>
          </w:p>
        </w:tc>
        <w:tc>
          <w:tcPr>
            <w:tcW w:w="1853" w:type="dxa"/>
          </w:tcPr>
          <w:p w:rsidR="00C95FD7"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 xml:space="preserve">Function </w:t>
            </w:r>
          </w:p>
        </w:tc>
        <w:tc>
          <w:tcPr>
            <w:tcW w:w="1084" w:type="dxa"/>
          </w:tcPr>
          <w:p w:rsidR="00C95FD7"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 xml:space="preserve">GO Term </w:t>
            </w:r>
          </w:p>
        </w:tc>
        <w:tc>
          <w:tcPr>
            <w:tcW w:w="1752" w:type="dxa"/>
          </w:tcPr>
          <w:p w:rsidR="00C95FD7"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 xml:space="preserve">Function </w:t>
            </w:r>
          </w:p>
        </w:tc>
        <w:tc>
          <w:tcPr>
            <w:tcW w:w="1752" w:type="dxa"/>
          </w:tcPr>
          <w:p w:rsidR="00C95FD7"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GO</w:t>
            </w:r>
          </w:p>
          <w:p w:rsidR="00C95FD7" w:rsidRPr="00E2330A"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 xml:space="preserve"> Te</w:t>
            </w:r>
            <w:r w:rsidRPr="00E2330A">
              <w:rPr>
                <w:rFonts w:cs="Times New Roman"/>
                <w:b/>
                <w:szCs w:val="24"/>
              </w:rPr>
              <w:t>rm</w:t>
            </w:r>
          </w:p>
        </w:tc>
        <w:tc>
          <w:tcPr>
            <w:tcW w:w="1752" w:type="dxa"/>
          </w:tcPr>
          <w:p w:rsidR="00C95FD7" w:rsidRPr="00E2330A"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b/>
                <w:szCs w:val="24"/>
              </w:rPr>
            </w:pPr>
            <w:r w:rsidRPr="00E2330A">
              <w:rPr>
                <w:rFonts w:cs="Times New Roman"/>
                <w:b/>
                <w:szCs w:val="24"/>
              </w:rPr>
              <w:t>Function</w:t>
            </w:r>
          </w:p>
        </w:tc>
      </w:tr>
      <w:tr w:rsidR="00C95FD7" w:rsidRPr="00B54D55" w:rsidTr="00325C04">
        <w:trPr>
          <w:trHeight w:val="1358"/>
        </w:trPr>
        <w:tc>
          <w:tcPr>
            <w:cnfStyle w:val="001000000000" w:firstRow="0" w:lastRow="0" w:firstColumn="1" w:lastColumn="0" w:oddVBand="0" w:evenVBand="0" w:oddHBand="0" w:evenHBand="0" w:firstRowFirstColumn="0" w:firstRowLastColumn="0" w:lastRowFirstColumn="0" w:lastRowLastColumn="0"/>
            <w:tcW w:w="556" w:type="dxa"/>
            <w:vMerge/>
          </w:tcPr>
          <w:p w:rsidR="00C95FD7" w:rsidRPr="00C705EC" w:rsidRDefault="00C95FD7" w:rsidP="00325C04">
            <w:pPr>
              <w:rPr>
                <w:rFonts w:cs="Times New Roman"/>
                <w:b w:val="0"/>
                <w:szCs w:val="24"/>
              </w:rPr>
            </w:pPr>
          </w:p>
        </w:tc>
        <w:tc>
          <w:tcPr>
            <w:tcW w:w="1061"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Go:0034673</w:t>
            </w:r>
          </w:p>
        </w:tc>
        <w:tc>
          <w:tcPr>
            <w:tcW w:w="1853"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Inhibin-betaglycan-actrii complex</w:t>
            </w:r>
          </w:p>
        </w:tc>
        <w:tc>
          <w:tcPr>
            <w:tcW w:w="1084"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Go:0048519</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rPr>
              <w:t>Down regulation of biological process</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Go:0004857</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Enzyme inhibitor activity</w:t>
            </w:r>
          </w:p>
        </w:tc>
      </w:tr>
      <w:tr w:rsidR="00C95FD7" w:rsidRPr="00B54D55" w:rsidTr="00325C04">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556" w:type="dxa"/>
            <w:vMerge/>
          </w:tcPr>
          <w:p w:rsidR="00C95FD7" w:rsidRDefault="00C95FD7" w:rsidP="00325C04">
            <w:pPr>
              <w:rPr>
                <w:rFonts w:cs="Times New Roman"/>
                <w:b w:val="0"/>
                <w:szCs w:val="24"/>
              </w:rPr>
            </w:pPr>
          </w:p>
        </w:tc>
        <w:tc>
          <w:tcPr>
            <w:tcW w:w="1061"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Go:0098577</w:t>
            </w:r>
          </w:p>
        </w:tc>
        <w:tc>
          <w:tcPr>
            <w:tcW w:w="1853"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Inactive sex chromosome</w:t>
            </w:r>
          </w:p>
        </w:tc>
        <w:tc>
          <w:tcPr>
            <w:tcW w:w="1084"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Go:0051051</w:t>
            </w:r>
          </w:p>
        </w:tc>
        <w:tc>
          <w:tcPr>
            <w:tcW w:w="1752"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rPr>
              <w:t>Negative regulation of transport</w:t>
            </w:r>
          </w:p>
        </w:tc>
        <w:tc>
          <w:tcPr>
            <w:tcW w:w="1752"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GO:0045340</w:t>
            </w:r>
          </w:p>
        </w:tc>
        <w:tc>
          <w:tcPr>
            <w:tcW w:w="1752"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mercury ion binding</w:t>
            </w:r>
          </w:p>
        </w:tc>
      </w:tr>
      <w:tr w:rsidR="00C95FD7" w:rsidRPr="00B54D55" w:rsidTr="00325C04">
        <w:trPr>
          <w:trHeight w:val="1358"/>
        </w:trPr>
        <w:tc>
          <w:tcPr>
            <w:cnfStyle w:val="001000000000" w:firstRow="0" w:lastRow="0" w:firstColumn="1" w:lastColumn="0" w:oddVBand="0" w:evenVBand="0" w:oddHBand="0" w:evenHBand="0" w:firstRowFirstColumn="0" w:firstRowLastColumn="0" w:lastRowFirstColumn="0" w:lastRowLastColumn="0"/>
            <w:tcW w:w="556" w:type="dxa"/>
            <w:vMerge/>
          </w:tcPr>
          <w:p w:rsidR="00C95FD7" w:rsidRDefault="00C95FD7" w:rsidP="00325C04">
            <w:pPr>
              <w:rPr>
                <w:rFonts w:cs="Times New Roman"/>
                <w:b w:val="0"/>
                <w:szCs w:val="24"/>
              </w:rPr>
            </w:pPr>
          </w:p>
        </w:tc>
        <w:tc>
          <w:tcPr>
            <w:tcW w:w="1061"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p>
        </w:tc>
        <w:tc>
          <w:tcPr>
            <w:tcW w:w="1853"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p>
        </w:tc>
        <w:tc>
          <w:tcPr>
            <w:tcW w:w="1084"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GO:0060457</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rPr>
              <w:t>Negative regulation of digestive system process</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GO:0090722</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receptor-receptor interaction</w:t>
            </w:r>
          </w:p>
        </w:tc>
      </w:tr>
      <w:tr w:rsidR="00C95FD7" w:rsidRPr="00B54D55" w:rsidTr="00325C04">
        <w:trPr>
          <w:cnfStyle w:val="000000100000" w:firstRow="0" w:lastRow="0" w:firstColumn="0" w:lastColumn="0" w:oddVBand="0" w:evenVBand="0" w:oddHBand="1" w:evenHBand="0" w:firstRowFirstColumn="0" w:firstRowLastColumn="0" w:lastRowFirstColumn="0" w:lastRowLastColumn="0"/>
          <w:trHeight w:val="1358"/>
        </w:trPr>
        <w:tc>
          <w:tcPr>
            <w:cnfStyle w:val="001000000000" w:firstRow="0" w:lastRow="0" w:firstColumn="1" w:lastColumn="0" w:oddVBand="0" w:evenVBand="0" w:oddHBand="0" w:evenHBand="0" w:firstRowFirstColumn="0" w:firstRowLastColumn="0" w:lastRowFirstColumn="0" w:lastRowLastColumn="0"/>
            <w:tcW w:w="556" w:type="dxa"/>
            <w:vMerge/>
          </w:tcPr>
          <w:p w:rsidR="00C95FD7" w:rsidRDefault="00C95FD7" w:rsidP="00325C04">
            <w:pPr>
              <w:rPr>
                <w:rFonts w:cs="Times New Roman"/>
                <w:b w:val="0"/>
                <w:szCs w:val="24"/>
              </w:rPr>
            </w:pPr>
          </w:p>
        </w:tc>
        <w:tc>
          <w:tcPr>
            <w:tcW w:w="1061" w:type="dxa"/>
          </w:tcPr>
          <w:p w:rsidR="00C95FD7" w:rsidRPr="006847B2"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 w:val="21"/>
                <w:szCs w:val="21"/>
              </w:rPr>
            </w:pPr>
          </w:p>
        </w:tc>
        <w:tc>
          <w:tcPr>
            <w:tcW w:w="1853" w:type="dxa"/>
          </w:tcPr>
          <w:p w:rsidR="00C95FD7" w:rsidRPr="006847B2"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 w:val="21"/>
                <w:szCs w:val="21"/>
              </w:rPr>
            </w:pPr>
          </w:p>
        </w:tc>
        <w:tc>
          <w:tcPr>
            <w:tcW w:w="1084"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shd w:val="clear" w:color="auto" w:fill="FFFFFF"/>
              </w:rPr>
              <w:t>GO:0048585</w:t>
            </w:r>
          </w:p>
        </w:tc>
        <w:tc>
          <w:tcPr>
            <w:tcW w:w="1752"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6847B2">
              <w:rPr>
                <w:rFonts w:cs="Times New Roman"/>
                <w:sz w:val="21"/>
                <w:szCs w:val="21"/>
              </w:rPr>
              <w:t>Negative regulation of response to stimulus</w:t>
            </w:r>
          </w:p>
        </w:tc>
        <w:tc>
          <w:tcPr>
            <w:tcW w:w="1752" w:type="dxa"/>
          </w:tcPr>
          <w:p w:rsidR="00C95FD7" w:rsidRPr="006847B2" w:rsidRDefault="00C95FD7" w:rsidP="00325C04">
            <w:pPr>
              <w:jc w:val="center"/>
              <w:cnfStyle w:val="000000100000" w:firstRow="0" w:lastRow="0" w:firstColumn="0" w:lastColumn="0" w:oddVBand="0" w:evenVBand="0" w:oddHBand="1" w:evenHBand="0" w:firstRowFirstColumn="0" w:firstRowLastColumn="0" w:lastRowFirstColumn="0" w:lastRowLastColumn="0"/>
              <w:rPr>
                <w:rFonts w:cs="Times New Roman"/>
                <w:b/>
                <w:sz w:val="21"/>
                <w:szCs w:val="21"/>
              </w:rPr>
            </w:pPr>
          </w:p>
        </w:tc>
        <w:tc>
          <w:tcPr>
            <w:tcW w:w="1752" w:type="dxa"/>
          </w:tcPr>
          <w:p w:rsidR="00C95FD7" w:rsidRPr="006847B2" w:rsidRDefault="00C95FD7" w:rsidP="00325C04">
            <w:pPr>
              <w:cnfStyle w:val="000000100000" w:firstRow="0" w:lastRow="0" w:firstColumn="0" w:lastColumn="0" w:oddVBand="0" w:evenVBand="0" w:oddHBand="1" w:evenHBand="0" w:firstRowFirstColumn="0" w:firstRowLastColumn="0" w:lastRowFirstColumn="0" w:lastRowLastColumn="0"/>
              <w:rPr>
                <w:rFonts w:cs="Times New Roman"/>
                <w:b/>
                <w:sz w:val="21"/>
                <w:szCs w:val="21"/>
              </w:rPr>
            </w:pPr>
          </w:p>
        </w:tc>
      </w:tr>
      <w:tr w:rsidR="00C95FD7" w:rsidRPr="00B54D55" w:rsidTr="00325C04">
        <w:trPr>
          <w:trHeight w:val="1358"/>
        </w:trPr>
        <w:tc>
          <w:tcPr>
            <w:cnfStyle w:val="001000000000" w:firstRow="0" w:lastRow="0" w:firstColumn="1" w:lastColumn="0" w:oddVBand="0" w:evenVBand="0" w:oddHBand="0" w:evenHBand="0" w:firstRowFirstColumn="0" w:firstRowLastColumn="0" w:lastRowFirstColumn="0" w:lastRowLastColumn="0"/>
            <w:tcW w:w="556" w:type="dxa"/>
          </w:tcPr>
          <w:p w:rsidR="00C95FD7" w:rsidRDefault="00C95FD7" w:rsidP="00325C04">
            <w:pPr>
              <w:rPr>
                <w:rFonts w:cs="Times New Roman"/>
                <w:b w:val="0"/>
                <w:szCs w:val="24"/>
              </w:rPr>
            </w:pPr>
          </w:p>
        </w:tc>
        <w:tc>
          <w:tcPr>
            <w:tcW w:w="1061" w:type="dxa"/>
          </w:tcPr>
          <w:p w:rsidR="00C95FD7" w:rsidRPr="006847B2" w:rsidRDefault="00C95FD7" w:rsidP="00325C04">
            <w:pPr>
              <w:cnfStyle w:val="000000000000" w:firstRow="0" w:lastRow="0" w:firstColumn="0" w:lastColumn="0" w:oddVBand="0" w:evenVBand="0" w:oddHBand="0" w:evenHBand="0" w:firstRowFirstColumn="0" w:firstRowLastColumn="0" w:lastRowFirstColumn="0" w:lastRowLastColumn="0"/>
              <w:rPr>
                <w:rFonts w:cs="Times New Roman"/>
                <w:b/>
                <w:sz w:val="21"/>
                <w:szCs w:val="21"/>
              </w:rPr>
            </w:pPr>
          </w:p>
        </w:tc>
        <w:tc>
          <w:tcPr>
            <w:tcW w:w="1853" w:type="dxa"/>
          </w:tcPr>
          <w:p w:rsidR="00C95FD7" w:rsidRPr="006847B2" w:rsidRDefault="00C95FD7" w:rsidP="00325C04">
            <w:pPr>
              <w:cnfStyle w:val="000000000000" w:firstRow="0" w:lastRow="0" w:firstColumn="0" w:lastColumn="0" w:oddVBand="0" w:evenVBand="0" w:oddHBand="0" w:evenHBand="0" w:firstRowFirstColumn="0" w:firstRowLastColumn="0" w:lastRowFirstColumn="0" w:lastRowLastColumn="0"/>
              <w:rPr>
                <w:rFonts w:cs="Times New Roman"/>
                <w:b/>
                <w:sz w:val="21"/>
                <w:szCs w:val="21"/>
              </w:rPr>
            </w:pPr>
          </w:p>
        </w:tc>
        <w:tc>
          <w:tcPr>
            <w:tcW w:w="1084" w:type="dxa"/>
          </w:tcPr>
          <w:p w:rsidR="00C95FD7" w:rsidRPr="006847B2" w:rsidRDefault="00C95FD7" w:rsidP="00325C04">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1"/>
                <w:szCs w:val="21"/>
                <w:shd w:val="clear" w:color="auto" w:fill="FFFFFF"/>
              </w:rPr>
            </w:pPr>
            <w:r w:rsidRPr="006847B2">
              <w:rPr>
                <w:rFonts w:ascii="Helvetica" w:hAnsi="Helvetica" w:cs="Helvetica"/>
                <w:color w:val="333333"/>
                <w:sz w:val="21"/>
                <w:szCs w:val="21"/>
                <w:shd w:val="clear" w:color="auto" w:fill="FFFFFF"/>
              </w:rPr>
              <w:t>G</w:t>
            </w:r>
            <w:r w:rsidRPr="006847B2">
              <w:rPr>
                <w:rFonts w:cs="Times New Roman"/>
                <w:sz w:val="21"/>
                <w:szCs w:val="21"/>
              </w:rPr>
              <w:t>O:0009892</w:t>
            </w:r>
          </w:p>
        </w:tc>
        <w:tc>
          <w:tcPr>
            <w:tcW w:w="1752" w:type="dxa"/>
          </w:tcPr>
          <w:p w:rsidR="00C95FD7" w:rsidRPr="006847B2" w:rsidRDefault="00C95FD7" w:rsidP="00325C04">
            <w:pP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6847B2">
              <w:rPr>
                <w:rFonts w:cs="Times New Roman"/>
                <w:sz w:val="21"/>
                <w:szCs w:val="21"/>
              </w:rPr>
              <w:t>Negative regulation of metabolic process</w:t>
            </w:r>
          </w:p>
        </w:tc>
        <w:tc>
          <w:tcPr>
            <w:tcW w:w="1752" w:type="dxa"/>
          </w:tcPr>
          <w:p w:rsidR="00C95FD7" w:rsidRPr="006847B2" w:rsidRDefault="00C95FD7" w:rsidP="00325C04">
            <w:pPr>
              <w:jc w:val="center"/>
              <w:cnfStyle w:val="000000000000" w:firstRow="0" w:lastRow="0" w:firstColumn="0" w:lastColumn="0" w:oddVBand="0" w:evenVBand="0" w:oddHBand="0" w:evenHBand="0" w:firstRowFirstColumn="0" w:firstRowLastColumn="0" w:lastRowFirstColumn="0" w:lastRowLastColumn="0"/>
              <w:rPr>
                <w:rFonts w:cs="Times New Roman"/>
                <w:b/>
                <w:sz w:val="21"/>
                <w:szCs w:val="21"/>
              </w:rPr>
            </w:pPr>
          </w:p>
        </w:tc>
        <w:tc>
          <w:tcPr>
            <w:tcW w:w="1752" w:type="dxa"/>
          </w:tcPr>
          <w:p w:rsidR="00C95FD7" w:rsidRPr="006847B2" w:rsidRDefault="00C95FD7" w:rsidP="00325C04">
            <w:pPr>
              <w:cnfStyle w:val="000000000000" w:firstRow="0" w:lastRow="0" w:firstColumn="0" w:lastColumn="0" w:oddVBand="0" w:evenVBand="0" w:oddHBand="0" w:evenHBand="0" w:firstRowFirstColumn="0" w:firstRowLastColumn="0" w:lastRowFirstColumn="0" w:lastRowLastColumn="0"/>
              <w:rPr>
                <w:rFonts w:cs="Times New Roman"/>
                <w:b/>
                <w:sz w:val="21"/>
                <w:szCs w:val="21"/>
              </w:rPr>
            </w:pPr>
          </w:p>
        </w:tc>
      </w:tr>
    </w:tbl>
    <w:p w:rsidR="00C95FD7" w:rsidRDefault="00C95FD7" w:rsidP="00C95FD7"/>
    <w:p w:rsidR="00C95FD7" w:rsidRDefault="00C95FD7" w:rsidP="00C95FD7"/>
    <w:p w:rsidR="00C95FD7" w:rsidRPr="00FB035B" w:rsidRDefault="00C95FD7" w:rsidP="00C95FD7"/>
    <w:p w:rsidR="00C95FD7" w:rsidRDefault="00C95FD7" w:rsidP="00C95FD7">
      <w:pPr>
        <w:pStyle w:val="Heading2"/>
      </w:pPr>
      <w:r>
        <w:t xml:space="preserve">4.9 Molecular Docking </w:t>
      </w:r>
    </w:p>
    <w:p w:rsidR="00C95FD7" w:rsidRDefault="00C95FD7" w:rsidP="00C95FD7">
      <w:pPr>
        <w:spacing w:line="480" w:lineRule="auto"/>
      </w:pPr>
      <w:r>
        <w:t xml:space="preserve">AutoDock vina was used for the process of molecular docking. The molecular docking was used to analyze the interactions of calcium and Vitamin D3 with </w:t>
      </w:r>
      <w:r>
        <w:rPr>
          <w:i/>
        </w:rPr>
        <w:t xml:space="preserve">HBB </w:t>
      </w:r>
      <w:r>
        <w:t xml:space="preserve">gene. The structures were obtained via trRosetta and the results of docking were visualized via PyMol. </w:t>
      </w:r>
    </w:p>
    <w:p w:rsidR="00C95FD7" w:rsidRDefault="00C95FD7" w:rsidP="00C95FD7">
      <w:pPr>
        <w:jc w:val="center"/>
      </w:pPr>
      <w:r>
        <w:rPr>
          <w:noProof/>
        </w:rPr>
        <w:drawing>
          <wp:inline distT="0" distB="0" distL="0" distR="0" wp14:anchorId="6921AF23" wp14:editId="4C48D13E">
            <wp:extent cx="4770323" cy="345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M 2 - 3D.jpg"/>
                    <pic:cNvPicPr/>
                  </pic:nvPicPr>
                  <pic:blipFill>
                    <a:blip r:embed="rId23">
                      <a:extLst>
                        <a:ext uri="{28A0092B-C50C-407E-A947-70E740481C1C}">
                          <a14:useLocalDpi xmlns:a14="http://schemas.microsoft.com/office/drawing/2010/main" val="0"/>
                        </a:ext>
                      </a:extLst>
                    </a:blip>
                    <a:stretch>
                      <a:fillRect/>
                    </a:stretch>
                  </pic:blipFill>
                  <pic:spPr>
                    <a:xfrm>
                      <a:off x="0" y="0"/>
                      <a:ext cx="4781908" cy="3465972"/>
                    </a:xfrm>
                    <a:prstGeom prst="rect">
                      <a:avLst/>
                    </a:prstGeom>
                  </pic:spPr>
                </pic:pic>
              </a:graphicData>
            </a:graphic>
          </wp:inline>
        </w:drawing>
      </w:r>
    </w:p>
    <w:p w:rsidR="00C95FD7" w:rsidRPr="00FB035B" w:rsidRDefault="00C95FD7" w:rsidP="00C95FD7">
      <w:pPr>
        <w:jc w:val="center"/>
      </w:pPr>
      <w:r w:rsidRPr="00FB035B">
        <w:t>Figure 4.9: 3D structure of sample TM 2. The model was built by trRosetta with restraints from De novo folding with T-score 0.631.</w:t>
      </w:r>
    </w:p>
    <w:p w:rsidR="00C95FD7" w:rsidRDefault="00C95FD7" w:rsidP="00E4580A">
      <w:pPr>
        <w:jc w:val="center"/>
      </w:pPr>
      <w:r>
        <w:rPr>
          <w:noProof/>
        </w:rPr>
        <w:drawing>
          <wp:inline distT="0" distB="0" distL="0" distR="0" wp14:anchorId="20901736" wp14:editId="52D7245E">
            <wp:extent cx="4581525" cy="355753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M 3 3D.jpg"/>
                    <pic:cNvPicPr/>
                  </pic:nvPicPr>
                  <pic:blipFill>
                    <a:blip r:embed="rId24">
                      <a:extLst>
                        <a:ext uri="{28A0092B-C50C-407E-A947-70E740481C1C}">
                          <a14:useLocalDpi xmlns:a14="http://schemas.microsoft.com/office/drawing/2010/main" val="0"/>
                        </a:ext>
                      </a:extLst>
                    </a:blip>
                    <a:stretch>
                      <a:fillRect/>
                    </a:stretch>
                  </pic:blipFill>
                  <pic:spPr>
                    <a:xfrm>
                      <a:off x="0" y="0"/>
                      <a:ext cx="4600576" cy="3572327"/>
                    </a:xfrm>
                    <a:prstGeom prst="rect">
                      <a:avLst/>
                    </a:prstGeom>
                  </pic:spPr>
                </pic:pic>
              </a:graphicData>
            </a:graphic>
          </wp:inline>
        </w:drawing>
      </w:r>
    </w:p>
    <w:p w:rsidR="00C95FD7" w:rsidRPr="00FB035B" w:rsidRDefault="00C95FD7" w:rsidP="00C95FD7">
      <w:pPr>
        <w:jc w:val="center"/>
      </w:pPr>
      <w:r w:rsidRPr="00FB035B">
        <w:t>Figure</w:t>
      </w:r>
      <w:r>
        <w:t xml:space="preserve"> 4.10</w:t>
      </w:r>
      <w:r w:rsidRPr="00FB035B">
        <w:t>: 3D structure of sample TM 3. The model was built by trRosetta with restraints from De novo folding with T-score 0.617.</w:t>
      </w:r>
    </w:p>
    <w:p w:rsidR="00C95FD7" w:rsidRDefault="00C95FD7" w:rsidP="00C95FD7">
      <w:pPr>
        <w:pStyle w:val="Heading2"/>
        <w:spacing w:line="480" w:lineRule="auto"/>
      </w:pPr>
      <w:r>
        <w:rPr>
          <w:noProof/>
        </w:rPr>
        <w:drawing>
          <wp:inline distT="0" distB="0" distL="0" distR="0" wp14:anchorId="229B1B5E" wp14:editId="3375AA3C">
            <wp:extent cx="5943600" cy="23869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LIC ACID.jpg"/>
                    <pic:cNvPicPr/>
                  </pic:nvPicPr>
                  <pic:blipFill>
                    <a:blip r:embed="rId25">
                      <a:extLst>
                        <a:ext uri="{28A0092B-C50C-407E-A947-70E740481C1C}">
                          <a14:useLocalDpi xmlns:a14="http://schemas.microsoft.com/office/drawing/2010/main" val="0"/>
                        </a:ext>
                      </a:extLst>
                    </a:blip>
                    <a:stretch>
                      <a:fillRect/>
                    </a:stretch>
                  </pic:blipFill>
                  <pic:spPr>
                    <a:xfrm>
                      <a:off x="0" y="0"/>
                      <a:ext cx="5949620" cy="2389359"/>
                    </a:xfrm>
                    <a:prstGeom prst="rect">
                      <a:avLst/>
                    </a:prstGeom>
                  </pic:spPr>
                </pic:pic>
              </a:graphicData>
            </a:graphic>
          </wp:inline>
        </w:drawing>
      </w:r>
    </w:p>
    <w:p w:rsidR="00C95FD7" w:rsidRDefault="00C95FD7" w:rsidP="00C95FD7">
      <w:pPr>
        <w:jc w:val="center"/>
      </w:pPr>
      <w:r w:rsidRPr="00FB035B">
        <w:t>Figure</w:t>
      </w:r>
      <w:r>
        <w:t xml:space="preserve"> 4.11</w:t>
      </w:r>
      <w:r w:rsidRPr="00FB035B">
        <w:t xml:space="preserve">: 3D structure </w:t>
      </w:r>
      <w:r>
        <w:t>of studied ligand i.e. Folic Acid obtained by PubChem</w:t>
      </w:r>
    </w:p>
    <w:p w:rsidR="00C95FD7" w:rsidRPr="00FB035B" w:rsidRDefault="00C95FD7" w:rsidP="00C95FD7">
      <w:pPr>
        <w:jc w:val="center"/>
      </w:pPr>
    </w:p>
    <w:p w:rsidR="00C95FD7" w:rsidRPr="00945555" w:rsidRDefault="00C95FD7" w:rsidP="00C95FD7">
      <w:r>
        <w:rPr>
          <w:noProof/>
        </w:rPr>
        <w:drawing>
          <wp:inline distT="0" distB="0" distL="0" distR="0" wp14:anchorId="44108568" wp14:editId="48DAB6CE">
            <wp:extent cx="5448300" cy="25520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TAMIN d3.jpg"/>
                    <pic:cNvPicPr/>
                  </pic:nvPicPr>
                  <pic:blipFill>
                    <a:blip r:embed="rId26">
                      <a:extLst>
                        <a:ext uri="{28A0092B-C50C-407E-A947-70E740481C1C}">
                          <a14:useLocalDpi xmlns:a14="http://schemas.microsoft.com/office/drawing/2010/main" val="0"/>
                        </a:ext>
                      </a:extLst>
                    </a:blip>
                    <a:stretch>
                      <a:fillRect/>
                    </a:stretch>
                  </pic:blipFill>
                  <pic:spPr>
                    <a:xfrm>
                      <a:off x="0" y="0"/>
                      <a:ext cx="5461711" cy="2558352"/>
                    </a:xfrm>
                    <a:prstGeom prst="rect">
                      <a:avLst/>
                    </a:prstGeom>
                  </pic:spPr>
                </pic:pic>
              </a:graphicData>
            </a:graphic>
          </wp:inline>
        </w:drawing>
      </w:r>
    </w:p>
    <w:p w:rsidR="00C95FD7" w:rsidRPr="00945555" w:rsidRDefault="00C95FD7" w:rsidP="00E4580A">
      <w:pPr>
        <w:jc w:val="center"/>
      </w:pPr>
      <w:r w:rsidRPr="00FB035B">
        <w:t>Figure</w:t>
      </w:r>
      <w:r>
        <w:t xml:space="preserve"> 4.11</w:t>
      </w:r>
      <w:r w:rsidRPr="00FB035B">
        <w:t xml:space="preserve">: 3D structure </w:t>
      </w:r>
      <w:r>
        <w:t>of studied ligand i.e. vitamin D3 obtained by PubChem</w:t>
      </w:r>
    </w:p>
    <w:p w:rsidR="00C95FD7" w:rsidRDefault="00C95FD7" w:rsidP="00C95FD7">
      <w:pPr>
        <w:pStyle w:val="Heading2"/>
        <w:spacing w:line="480" w:lineRule="auto"/>
      </w:pPr>
      <w:r>
        <w:t xml:space="preserve">4.9 Docking Analysis </w:t>
      </w:r>
    </w:p>
    <w:p w:rsidR="00C95FD7" w:rsidRDefault="00C95FD7" w:rsidP="00C95FD7">
      <w:pPr>
        <w:spacing w:line="480" w:lineRule="auto"/>
        <w:rPr>
          <w:rFonts w:cs="Times New Roman"/>
          <w:color w:val="000000"/>
          <w:szCs w:val="24"/>
          <w:shd w:val="clear" w:color="auto" w:fill="FFFFFF"/>
        </w:rPr>
      </w:pPr>
      <w:r>
        <w:t>AutoDockvina software was used to carry out the process of molecular docking. The interactions done through docking were used to analyze the reaction of folic acid and vitamin D3 with our protein under study i.e. Beta globin</w:t>
      </w:r>
      <w:r>
        <w:rPr>
          <w:i/>
        </w:rPr>
        <w:t xml:space="preserve">. </w:t>
      </w:r>
      <w:r w:rsidRPr="00BC3ACC">
        <w:rPr>
          <w:rFonts w:cs="Times New Roman"/>
          <w:color w:val="000000"/>
          <w:szCs w:val="24"/>
          <w:shd w:val="clear" w:color="auto" w:fill="FFFFFF"/>
        </w:rPr>
        <w:t>In AutoDock tool, our studied beta globin was added with polar hydrogen. Dimension of Grid box was set to locate the active site of beta globin and noted the values in conf,txt file then saved in vina folder in C drive. After that PDBQT file of our protein and both l</w:t>
      </w:r>
      <w:r>
        <w:rPr>
          <w:rFonts w:cs="Times New Roman"/>
          <w:color w:val="000000"/>
          <w:szCs w:val="24"/>
          <w:shd w:val="clear" w:color="auto" w:fill="FFFFFF"/>
        </w:rPr>
        <w:t>igand i.e. folic acid and vitamin D3</w:t>
      </w:r>
      <w:r w:rsidRPr="00BC3ACC">
        <w:rPr>
          <w:rFonts w:cs="Times New Roman"/>
          <w:color w:val="000000"/>
          <w:szCs w:val="24"/>
          <w:shd w:val="clear" w:color="auto" w:fill="FFFFFF"/>
        </w:rPr>
        <w:t xml:space="preserve"> was prepared. The binding energies of both ligand and protein were analyzed. The binding energy of beta globin (protein) energy w</w:t>
      </w:r>
      <w:r>
        <w:rPr>
          <w:rFonts w:cs="Times New Roman"/>
          <w:color w:val="000000"/>
          <w:szCs w:val="24"/>
          <w:shd w:val="clear" w:color="auto" w:fill="FFFFFF"/>
        </w:rPr>
        <w:t xml:space="preserve">ith folic acid (ligand) </w:t>
      </w:r>
      <w:r w:rsidRPr="00945555">
        <w:rPr>
          <w:rFonts w:cs="Times New Roman"/>
          <w:szCs w:val="24"/>
          <w:shd w:val="clear" w:color="auto" w:fill="FFFFFF"/>
        </w:rPr>
        <w:t xml:space="preserve">was –4.6 kcal/mol </w:t>
      </w:r>
      <w:r w:rsidRPr="007A3763">
        <w:rPr>
          <w:rFonts w:cs="Times New Roman"/>
          <w:szCs w:val="24"/>
          <w:shd w:val="clear" w:color="auto" w:fill="FFFFFF"/>
        </w:rPr>
        <w:t xml:space="preserve">(shown on table 4.4) while docking of wild beta globin and vitamin D3 have -4.4 binding energy (shown on table 4.5).  </w:t>
      </w:r>
    </w:p>
    <w:p w:rsidR="00C95FD7" w:rsidRPr="00424F35" w:rsidRDefault="00C95FD7" w:rsidP="00C95FD7">
      <w:pPr>
        <w:spacing w:line="480" w:lineRule="auto"/>
        <w:rPr>
          <w:rFonts w:cs="Times New Roman"/>
          <w:color w:val="000000"/>
          <w:szCs w:val="24"/>
          <w:shd w:val="clear" w:color="auto" w:fill="FFFFFF"/>
        </w:rPr>
      </w:pPr>
      <w:r w:rsidRPr="00BC3ACC">
        <w:rPr>
          <w:rFonts w:cs="Times New Roman"/>
          <w:color w:val="000000"/>
          <w:szCs w:val="24"/>
          <w:shd w:val="clear" w:color="auto" w:fill="FFFFFF"/>
        </w:rPr>
        <w:t>Due to this, in this study we have concluded</w:t>
      </w:r>
      <w:r>
        <w:rPr>
          <w:rFonts w:cs="Times New Roman"/>
          <w:color w:val="000000"/>
          <w:szCs w:val="24"/>
          <w:shd w:val="clear" w:color="auto" w:fill="FFFFFF"/>
        </w:rPr>
        <w:t xml:space="preserve"> that, patients of beta thalassemia major who are completely dependent clinical management have shown weak affinity for bonding with the supplements they are taking for improvement in their health. The mutated structure’s weak binding shows that these supplements aren’t of great help for thalassemia major patients. And consequently, their health keeps on going down. </w:t>
      </w:r>
    </w:p>
    <w:p w:rsidR="00C95FD7" w:rsidRDefault="00C95FD7" w:rsidP="00C95FD7">
      <w:pPr>
        <w:spacing w:line="480" w:lineRule="auto"/>
      </w:pPr>
      <w:r>
        <w:t xml:space="preserve">Table 4.4: Docking energies of Folic Acid with Beta globin </w:t>
      </w:r>
    </w:p>
    <w:tbl>
      <w:tblPr>
        <w:tblStyle w:val="PlainTable2"/>
        <w:tblW w:w="9367" w:type="dxa"/>
        <w:tblLook w:val="04A0" w:firstRow="1" w:lastRow="0" w:firstColumn="1" w:lastColumn="0" w:noHBand="0" w:noVBand="1"/>
      </w:tblPr>
      <w:tblGrid>
        <w:gridCol w:w="3122"/>
        <w:gridCol w:w="2373"/>
        <w:gridCol w:w="1892"/>
        <w:gridCol w:w="1980"/>
      </w:tblGrid>
      <w:tr w:rsidR="00C95FD7" w:rsidTr="00325C0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122" w:type="dxa"/>
          </w:tcPr>
          <w:p w:rsidR="00C95FD7" w:rsidRDefault="00C95FD7" w:rsidP="00325C04">
            <w:pPr>
              <w:spacing w:line="480" w:lineRule="auto"/>
              <w:jc w:val="center"/>
            </w:pPr>
            <w:r>
              <w:t>Name of Sample</w:t>
            </w:r>
          </w:p>
        </w:tc>
        <w:tc>
          <w:tcPr>
            <w:tcW w:w="2373"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Affinity</w:t>
            </w:r>
          </w:p>
        </w:tc>
        <w:tc>
          <w:tcPr>
            <w:tcW w:w="3872" w:type="dxa"/>
            <w:gridSpan w:val="2"/>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Distance from best mode</w:t>
            </w:r>
          </w:p>
        </w:tc>
      </w:tr>
      <w:tr w:rsidR="00C95FD7" w:rsidTr="00325C0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122" w:type="dxa"/>
            <w:vMerge w:val="restart"/>
          </w:tcPr>
          <w:p w:rsidR="00C95FD7" w:rsidRDefault="00C95FD7" w:rsidP="00325C04">
            <w:pPr>
              <w:spacing w:line="480" w:lineRule="auto"/>
            </w:pPr>
          </w:p>
          <w:p w:rsidR="00C95FD7" w:rsidRDefault="00C95FD7" w:rsidP="00325C04">
            <w:pPr>
              <w:spacing w:line="480" w:lineRule="auto"/>
              <w:jc w:val="center"/>
            </w:pPr>
            <w:r>
              <w:t>TM 2</w:t>
            </w:r>
          </w:p>
        </w:tc>
        <w:tc>
          <w:tcPr>
            <w:tcW w:w="2373"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Kcal/mol</w:t>
            </w:r>
          </w:p>
        </w:tc>
        <w:tc>
          <w:tcPr>
            <w:tcW w:w="1892"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rsidRPr="00F306EC">
              <w:t>rmsdl.b.</w:t>
            </w:r>
          </w:p>
        </w:tc>
        <w:tc>
          <w:tcPr>
            <w:tcW w:w="1980"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Rmsdu.</w:t>
            </w:r>
            <w:r w:rsidRPr="00F306EC">
              <w:t>b.</w:t>
            </w:r>
          </w:p>
        </w:tc>
      </w:tr>
      <w:tr w:rsidR="00C95FD7" w:rsidTr="00325C04">
        <w:trPr>
          <w:trHeight w:val="486"/>
        </w:trPr>
        <w:tc>
          <w:tcPr>
            <w:cnfStyle w:val="001000000000" w:firstRow="0" w:lastRow="0" w:firstColumn="1" w:lastColumn="0" w:oddVBand="0" w:evenVBand="0" w:oddHBand="0" w:evenHBand="0" w:firstRowFirstColumn="0" w:firstRowLastColumn="0" w:lastRowFirstColumn="0" w:lastRowLastColumn="0"/>
            <w:tcW w:w="3122" w:type="dxa"/>
            <w:vMerge/>
          </w:tcPr>
          <w:p w:rsidR="00C95FD7" w:rsidRDefault="00C95FD7" w:rsidP="00325C04">
            <w:pPr>
              <w:spacing w:line="480" w:lineRule="auto"/>
              <w:jc w:val="center"/>
            </w:pPr>
          </w:p>
        </w:tc>
        <w:tc>
          <w:tcPr>
            <w:tcW w:w="2373"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-4.6</w:t>
            </w:r>
          </w:p>
        </w:tc>
        <w:tc>
          <w:tcPr>
            <w:tcW w:w="1892"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0.000</w:t>
            </w:r>
          </w:p>
        </w:tc>
        <w:tc>
          <w:tcPr>
            <w:tcW w:w="1980" w:type="dxa"/>
          </w:tcPr>
          <w:p w:rsidR="00C95FD7" w:rsidRDefault="00C95FD7" w:rsidP="00325C04">
            <w:pPr>
              <w:spacing w:line="480" w:lineRule="auto"/>
              <w:jc w:val="center"/>
              <w:cnfStyle w:val="000000000000" w:firstRow="0" w:lastRow="0" w:firstColumn="0" w:lastColumn="0" w:oddVBand="0" w:evenVBand="0" w:oddHBand="0" w:evenHBand="0" w:firstRowFirstColumn="0" w:firstRowLastColumn="0" w:lastRowFirstColumn="0" w:lastRowLastColumn="0"/>
            </w:pPr>
            <w:r>
              <w:t>0.000</w:t>
            </w:r>
          </w:p>
        </w:tc>
      </w:tr>
    </w:tbl>
    <w:p w:rsidR="00C95FD7" w:rsidRDefault="00C95FD7" w:rsidP="00C95FD7">
      <w:pPr>
        <w:spacing w:line="480" w:lineRule="auto"/>
      </w:pPr>
    </w:p>
    <w:p w:rsidR="00C95FD7" w:rsidRDefault="00E4580A" w:rsidP="00C95FD7">
      <w:pPr>
        <w:spacing w:line="480" w:lineRule="auto"/>
      </w:pPr>
      <w:r>
        <w:t>Table 4.5</w:t>
      </w:r>
      <w:r w:rsidR="00C95FD7">
        <w:t xml:space="preserve">: Docking energies of Vitamin D3 with Beta globin </w:t>
      </w:r>
    </w:p>
    <w:tbl>
      <w:tblPr>
        <w:tblStyle w:val="PlainTable2"/>
        <w:tblW w:w="9367" w:type="dxa"/>
        <w:tblLook w:val="04A0" w:firstRow="1" w:lastRow="0" w:firstColumn="1" w:lastColumn="0" w:noHBand="0" w:noVBand="1"/>
      </w:tblPr>
      <w:tblGrid>
        <w:gridCol w:w="3122"/>
        <w:gridCol w:w="2373"/>
        <w:gridCol w:w="1892"/>
        <w:gridCol w:w="1980"/>
      </w:tblGrid>
      <w:tr w:rsidR="00C95FD7" w:rsidTr="00325C0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122" w:type="dxa"/>
          </w:tcPr>
          <w:p w:rsidR="00C95FD7" w:rsidRDefault="00C95FD7" w:rsidP="00325C04">
            <w:pPr>
              <w:spacing w:line="480" w:lineRule="auto"/>
              <w:jc w:val="center"/>
            </w:pPr>
            <w:r>
              <w:t>Name of Sample</w:t>
            </w:r>
          </w:p>
        </w:tc>
        <w:tc>
          <w:tcPr>
            <w:tcW w:w="2373" w:type="dxa"/>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Affinity</w:t>
            </w:r>
          </w:p>
        </w:tc>
        <w:tc>
          <w:tcPr>
            <w:tcW w:w="3872" w:type="dxa"/>
            <w:gridSpan w:val="2"/>
          </w:tcPr>
          <w:p w:rsidR="00C95FD7" w:rsidRDefault="00C95FD7" w:rsidP="00325C04">
            <w:pPr>
              <w:spacing w:line="480" w:lineRule="auto"/>
              <w:jc w:val="center"/>
              <w:cnfStyle w:val="100000000000" w:firstRow="1" w:lastRow="0" w:firstColumn="0" w:lastColumn="0" w:oddVBand="0" w:evenVBand="0" w:oddHBand="0" w:evenHBand="0" w:firstRowFirstColumn="0" w:firstRowLastColumn="0" w:lastRowFirstColumn="0" w:lastRowLastColumn="0"/>
            </w:pPr>
            <w:r>
              <w:t>Distance from best mode</w:t>
            </w:r>
          </w:p>
        </w:tc>
      </w:tr>
      <w:tr w:rsidR="00C95FD7" w:rsidTr="00325C0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122" w:type="dxa"/>
            <w:vMerge w:val="restart"/>
          </w:tcPr>
          <w:p w:rsidR="00C95FD7" w:rsidRDefault="00C95FD7" w:rsidP="00325C04">
            <w:pPr>
              <w:jc w:val="center"/>
            </w:pPr>
          </w:p>
          <w:p w:rsidR="00C95FD7" w:rsidRDefault="00C95FD7" w:rsidP="00325C04">
            <w:pPr>
              <w:jc w:val="center"/>
            </w:pPr>
            <w:r>
              <w:t xml:space="preserve">TM 2 </w:t>
            </w:r>
          </w:p>
        </w:tc>
        <w:tc>
          <w:tcPr>
            <w:tcW w:w="2373"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Kcal/mol</w:t>
            </w:r>
          </w:p>
        </w:tc>
        <w:tc>
          <w:tcPr>
            <w:tcW w:w="1892"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rsidRPr="00F306EC">
              <w:t>rmsdl.b.</w:t>
            </w:r>
          </w:p>
        </w:tc>
        <w:tc>
          <w:tcPr>
            <w:tcW w:w="1980" w:type="dxa"/>
          </w:tcPr>
          <w:p w:rsidR="00C95FD7" w:rsidRDefault="00C95FD7" w:rsidP="00325C04">
            <w:pPr>
              <w:spacing w:line="480" w:lineRule="auto"/>
              <w:jc w:val="center"/>
              <w:cnfStyle w:val="000000100000" w:firstRow="0" w:lastRow="0" w:firstColumn="0" w:lastColumn="0" w:oddVBand="0" w:evenVBand="0" w:oddHBand="1" w:evenHBand="0" w:firstRowFirstColumn="0" w:firstRowLastColumn="0" w:lastRowFirstColumn="0" w:lastRowLastColumn="0"/>
            </w:pPr>
            <w:r>
              <w:t>Rmsdu.</w:t>
            </w:r>
            <w:r w:rsidRPr="00F306EC">
              <w:t>b.</w:t>
            </w:r>
          </w:p>
        </w:tc>
      </w:tr>
      <w:tr w:rsidR="00C95FD7" w:rsidTr="00325C04">
        <w:trPr>
          <w:trHeight w:val="486"/>
        </w:trPr>
        <w:tc>
          <w:tcPr>
            <w:cnfStyle w:val="001000000000" w:firstRow="0" w:lastRow="0" w:firstColumn="1" w:lastColumn="0" w:oddVBand="0" w:evenVBand="0" w:oddHBand="0" w:evenHBand="0" w:firstRowFirstColumn="0" w:firstRowLastColumn="0" w:lastRowFirstColumn="0" w:lastRowLastColumn="0"/>
            <w:tcW w:w="3122" w:type="dxa"/>
            <w:vMerge/>
          </w:tcPr>
          <w:p w:rsidR="00C95FD7" w:rsidRDefault="00C95FD7" w:rsidP="00325C04">
            <w:pPr>
              <w:jc w:val="center"/>
            </w:pPr>
          </w:p>
        </w:tc>
        <w:tc>
          <w:tcPr>
            <w:tcW w:w="2373" w:type="dxa"/>
          </w:tcPr>
          <w:p w:rsidR="00C95FD7" w:rsidRDefault="00C95FD7" w:rsidP="00325C04">
            <w:pPr>
              <w:jc w:val="center"/>
              <w:cnfStyle w:val="000000000000" w:firstRow="0" w:lastRow="0" w:firstColumn="0" w:lastColumn="0" w:oddVBand="0" w:evenVBand="0" w:oddHBand="0" w:evenHBand="0" w:firstRowFirstColumn="0" w:firstRowLastColumn="0" w:lastRowFirstColumn="0" w:lastRowLastColumn="0"/>
            </w:pPr>
            <w:r>
              <w:t>-4.4</w:t>
            </w:r>
          </w:p>
        </w:tc>
        <w:tc>
          <w:tcPr>
            <w:tcW w:w="1892" w:type="dxa"/>
          </w:tcPr>
          <w:p w:rsidR="00C95FD7" w:rsidRDefault="00C95FD7" w:rsidP="00325C04">
            <w:pPr>
              <w:jc w:val="center"/>
              <w:cnfStyle w:val="000000000000" w:firstRow="0" w:lastRow="0" w:firstColumn="0" w:lastColumn="0" w:oddVBand="0" w:evenVBand="0" w:oddHBand="0" w:evenHBand="0" w:firstRowFirstColumn="0" w:firstRowLastColumn="0" w:lastRowFirstColumn="0" w:lastRowLastColumn="0"/>
            </w:pPr>
            <w:r>
              <w:t>0.000</w:t>
            </w:r>
          </w:p>
        </w:tc>
        <w:tc>
          <w:tcPr>
            <w:tcW w:w="1980" w:type="dxa"/>
          </w:tcPr>
          <w:p w:rsidR="00C95FD7" w:rsidRDefault="00C95FD7" w:rsidP="00325C04">
            <w:pPr>
              <w:jc w:val="center"/>
              <w:cnfStyle w:val="000000000000" w:firstRow="0" w:lastRow="0" w:firstColumn="0" w:lastColumn="0" w:oddVBand="0" w:evenVBand="0" w:oddHBand="0" w:evenHBand="0" w:firstRowFirstColumn="0" w:firstRowLastColumn="0" w:lastRowFirstColumn="0" w:lastRowLastColumn="0"/>
            </w:pPr>
            <w:r>
              <w:t>0.000</w:t>
            </w:r>
          </w:p>
        </w:tc>
      </w:tr>
    </w:tbl>
    <w:p w:rsidR="00C95FD7" w:rsidRDefault="00C95FD7" w:rsidP="00C95FD7"/>
    <w:p w:rsidR="00C95FD7" w:rsidRDefault="00C95FD7" w:rsidP="00DD0788">
      <w:r>
        <w:rPr>
          <w:noProof/>
        </w:rPr>
        <w:drawing>
          <wp:inline distT="0" distB="0" distL="0" distR="0" wp14:anchorId="09A3D661" wp14:editId="6D63FD09">
            <wp:extent cx="4905375" cy="3757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C ACID AND TM 2.jpg"/>
                    <pic:cNvPicPr/>
                  </pic:nvPicPr>
                  <pic:blipFill>
                    <a:blip r:embed="rId27">
                      <a:extLst>
                        <a:ext uri="{28A0092B-C50C-407E-A947-70E740481C1C}">
                          <a14:useLocalDpi xmlns:a14="http://schemas.microsoft.com/office/drawing/2010/main" val="0"/>
                        </a:ext>
                      </a:extLst>
                    </a:blip>
                    <a:stretch>
                      <a:fillRect/>
                    </a:stretch>
                  </pic:blipFill>
                  <pic:spPr>
                    <a:xfrm>
                      <a:off x="0" y="0"/>
                      <a:ext cx="4907730" cy="3759447"/>
                    </a:xfrm>
                    <a:prstGeom prst="rect">
                      <a:avLst/>
                    </a:prstGeom>
                  </pic:spPr>
                </pic:pic>
              </a:graphicData>
            </a:graphic>
          </wp:inline>
        </w:drawing>
      </w:r>
    </w:p>
    <w:p w:rsidR="00C95FD7" w:rsidRDefault="00C95FD7" w:rsidP="00C95FD7"/>
    <w:p w:rsidR="00C95FD7" w:rsidRDefault="00C95FD7" w:rsidP="00C95FD7">
      <w:pPr>
        <w:jc w:val="center"/>
      </w:pPr>
      <w:r>
        <w:t>Figure 4.12: Docking results of beta globin (sample TM 2) and Folic Acid, visualized via PyMol</w:t>
      </w:r>
    </w:p>
    <w:p w:rsidR="00C95FD7" w:rsidRDefault="00C95FD7" w:rsidP="00C95FD7">
      <w:pPr>
        <w:jc w:val="center"/>
      </w:pPr>
      <w:r>
        <w:rPr>
          <w:noProof/>
        </w:rPr>
        <w:drawing>
          <wp:inline distT="0" distB="0" distL="0" distR="0" wp14:anchorId="2FEF2C25" wp14:editId="057D543F">
            <wp:extent cx="4943475" cy="38903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t D and TM 2.jpg"/>
                    <pic:cNvPicPr/>
                  </pic:nvPicPr>
                  <pic:blipFill>
                    <a:blip r:embed="rId28">
                      <a:extLst>
                        <a:ext uri="{28A0092B-C50C-407E-A947-70E740481C1C}">
                          <a14:useLocalDpi xmlns:a14="http://schemas.microsoft.com/office/drawing/2010/main" val="0"/>
                        </a:ext>
                      </a:extLst>
                    </a:blip>
                    <a:stretch>
                      <a:fillRect/>
                    </a:stretch>
                  </pic:blipFill>
                  <pic:spPr>
                    <a:xfrm>
                      <a:off x="0" y="0"/>
                      <a:ext cx="4946112" cy="3892421"/>
                    </a:xfrm>
                    <a:prstGeom prst="rect">
                      <a:avLst/>
                    </a:prstGeom>
                  </pic:spPr>
                </pic:pic>
              </a:graphicData>
            </a:graphic>
          </wp:inline>
        </w:drawing>
      </w:r>
    </w:p>
    <w:p w:rsidR="00C95FD7" w:rsidRDefault="00C95FD7" w:rsidP="00C95FD7"/>
    <w:p w:rsidR="00C95FD7" w:rsidRDefault="00C95FD7" w:rsidP="00C95FD7">
      <w:pPr>
        <w:jc w:val="center"/>
      </w:pPr>
      <w:r>
        <w:t>Figure 4.12: Docking results of beta globin (sample TM 2) and Folic Acid, visualized via PyMol</w:t>
      </w:r>
    </w:p>
    <w:p w:rsidR="00C95FD7" w:rsidRDefault="00C95FD7" w:rsidP="00C95FD7">
      <w:r>
        <w:rPr>
          <w:noProof/>
        </w:rPr>
        <w:drawing>
          <wp:anchor distT="0" distB="0" distL="114300" distR="114300" simplePos="0" relativeHeight="251681792" behindDoc="0" locked="0" layoutInCell="1" allowOverlap="1" wp14:anchorId="14FC1F80" wp14:editId="27511C70">
            <wp:simplePos x="0" y="0"/>
            <wp:positionH relativeFrom="column">
              <wp:posOffset>571500</wp:posOffset>
            </wp:positionH>
            <wp:positionV relativeFrom="paragraph">
              <wp:posOffset>190500</wp:posOffset>
            </wp:positionV>
            <wp:extent cx="4772025" cy="3846195"/>
            <wp:effectExtent l="0" t="0" r="9525"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ip folic acid.jpg"/>
                    <pic:cNvPicPr/>
                  </pic:nvPicPr>
                  <pic:blipFill>
                    <a:blip r:embed="rId29">
                      <a:extLst>
                        <a:ext uri="{28A0092B-C50C-407E-A947-70E740481C1C}">
                          <a14:useLocalDpi xmlns:a14="http://schemas.microsoft.com/office/drawing/2010/main" val="0"/>
                        </a:ext>
                      </a:extLst>
                    </a:blip>
                    <a:stretch>
                      <a:fillRect/>
                    </a:stretch>
                  </pic:blipFill>
                  <pic:spPr>
                    <a:xfrm>
                      <a:off x="0" y="0"/>
                      <a:ext cx="4772025" cy="3846195"/>
                    </a:xfrm>
                    <a:prstGeom prst="rect">
                      <a:avLst/>
                    </a:prstGeom>
                  </pic:spPr>
                </pic:pic>
              </a:graphicData>
            </a:graphic>
            <wp14:sizeRelH relativeFrom="margin">
              <wp14:pctWidth>0</wp14:pctWidth>
            </wp14:sizeRelH>
            <wp14:sizeRelV relativeFrom="margin">
              <wp14:pctHeight>0</wp14:pctHeight>
            </wp14:sizeRelV>
          </wp:anchor>
        </w:drawing>
      </w:r>
    </w:p>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 w:rsidR="00C95FD7" w:rsidRDefault="00C95FD7" w:rsidP="00C95FD7">
      <w:pPr>
        <w:jc w:val="center"/>
      </w:pPr>
    </w:p>
    <w:p w:rsidR="00C95FD7" w:rsidRDefault="00C95FD7" w:rsidP="00DD0788"/>
    <w:p w:rsidR="00C95FD7" w:rsidRDefault="00C95FD7" w:rsidP="00C95FD7">
      <w:pPr>
        <w:jc w:val="center"/>
      </w:pPr>
      <w:r>
        <w:t>Figure 4.13: Hydrogen bonding between TM 2 and Folic Acid visualized through PLIP. Table 4.5 shows the complete description of interactions between TM 2 and Folic Acid.</w:t>
      </w:r>
    </w:p>
    <w:p w:rsidR="00C95FD7" w:rsidRDefault="00C95FD7" w:rsidP="00C95FD7">
      <w:r>
        <w:t>Table 4.5: Description of interactions between TM 2 and Folic Acid.</w:t>
      </w:r>
    </w:p>
    <w:p w:rsidR="00C95FD7" w:rsidRPr="00BB2EF3" w:rsidRDefault="00C95FD7" w:rsidP="00C95FD7">
      <w:pPr>
        <w:rPr>
          <w:b/>
        </w:rPr>
      </w:pPr>
      <w:r w:rsidRPr="00BB2EF3">
        <w:rPr>
          <w:b/>
        </w:rPr>
        <w:t>Hydrogen Bonds</w:t>
      </w:r>
    </w:p>
    <w:tbl>
      <w:tblPr>
        <w:tblStyle w:val="PlainTable2"/>
        <w:tblW w:w="10544" w:type="dxa"/>
        <w:tblInd w:w="-586" w:type="dxa"/>
        <w:tblLayout w:type="fixed"/>
        <w:tblLook w:val="04A0" w:firstRow="1" w:lastRow="0" w:firstColumn="1" w:lastColumn="0" w:noHBand="0" w:noVBand="1"/>
      </w:tblPr>
      <w:tblGrid>
        <w:gridCol w:w="749"/>
        <w:gridCol w:w="2074"/>
        <w:gridCol w:w="2252"/>
        <w:gridCol w:w="2681"/>
        <w:gridCol w:w="2788"/>
      </w:tblGrid>
      <w:tr w:rsidR="00C95FD7" w:rsidRPr="005F3CCE" w:rsidTr="00325C04">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Pr>
                <w:rFonts w:eastAsia="Times New Roman" w:cs="Times New Roman"/>
                <w:color w:val="212529"/>
                <w:szCs w:val="24"/>
              </w:rPr>
              <w:t>Sr.</w:t>
            </w:r>
          </w:p>
        </w:tc>
        <w:tc>
          <w:tcPr>
            <w:tcW w:w="2074"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Residue</w:t>
            </w:r>
          </w:p>
        </w:tc>
        <w:tc>
          <w:tcPr>
            <w:tcW w:w="2252"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AA</w:t>
            </w:r>
          </w:p>
        </w:tc>
        <w:tc>
          <w:tcPr>
            <w:tcW w:w="2681"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Distance H-A</w:t>
            </w:r>
          </w:p>
        </w:tc>
        <w:tc>
          <w:tcPr>
            <w:tcW w:w="2788"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Distance D-A</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1</w:t>
            </w:r>
          </w:p>
        </w:tc>
        <w:tc>
          <w:tcPr>
            <w:tcW w:w="207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96A</w:t>
            </w:r>
          </w:p>
        </w:tc>
        <w:tc>
          <w:tcPr>
            <w:tcW w:w="2252"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LEU</w:t>
            </w:r>
          </w:p>
        </w:tc>
        <w:tc>
          <w:tcPr>
            <w:tcW w:w="2681"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2.09</w:t>
            </w:r>
          </w:p>
        </w:tc>
        <w:tc>
          <w:tcPr>
            <w:tcW w:w="278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3.03</w:t>
            </w:r>
          </w:p>
        </w:tc>
      </w:tr>
      <w:tr w:rsidR="00C95FD7" w:rsidRPr="005F3CCE" w:rsidTr="00325C04">
        <w:trPr>
          <w:trHeight w:val="426"/>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2</w:t>
            </w:r>
          </w:p>
        </w:tc>
        <w:tc>
          <w:tcPr>
            <w:tcW w:w="2074"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98A</w:t>
            </w:r>
          </w:p>
        </w:tc>
        <w:tc>
          <w:tcPr>
            <w:tcW w:w="2252"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GLY</w:t>
            </w:r>
          </w:p>
        </w:tc>
        <w:tc>
          <w:tcPr>
            <w:tcW w:w="2681"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2.67</w:t>
            </w:r>
          </w:p>
        </w:tc>
        <w:tc>
          <w:tcPr>
            <w:tcW w:w="2788"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3.06</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3</w:t>
            </w:r>
          </w:p>
        </w:tc>
        <w:tc>
          <w:tcPr>
            <w:tcW w:w="207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99A</w:t>
            </w:r>
          </w:p>
        </w:tc>
        <w:tc>
          <w:tcPr>
            <w:tcW w:w="2252"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THR</w:t>
            </w:r>
          </w:p>
        </w:tc>
        <w:tc>
          <w:tcPr>
            <w:tcW w:w="2681"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2.14</w:t>
            </w:r>
          </w:p>
        </w:tc>
        <w:tc>
          <w:tcPr>
            <w:tcW w:w="278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2.91</w:t>
            </w:r>
          </w:p>
        </w:tc>
      </w:tr>
      <w:tr w:rsidR="00C95FD7" w:rsidRPr="005F3CCE" w:rsidTr="00325C04">
        <w:trPr>
          <w:trHeight w:val="379"/>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4</w:t>
            </w:r>
          </w:p>
        </w:tc>
        <w:tc>
          <w:tcPr>
            <w:tcW w:w="2074"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110A</w:t>
            </w:r>
          </w:p>
        </w:tc>
        <w:tc>
          <w:tcPr>
            <w:tcW w:w="2252"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LYS</w:t>
            </w:r>
          </w:p>
        </w:tc>
        <w:tc>
          <w:tcPr>
            <w:tcW w:w="2681"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3.03</w:t>
            </w:r>
          </w:p>
        </w:tc>
        <w:tc>
          <w:tcPr>
            <w:tcW w:w="2788"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3.47</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5</w:t>
            </w:r>
          </w:p>
        </w:tc>
        <w:tc>
          <w:tcPr>
            <w:tcW w:w="207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117A</w:t>
            </w:r>
          </w:p>
        </w:tc>
        <w:tc>
          <w:tcPr>
            <w:tcW w:w="2252"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ASN</w:t>
            </w:r>
          </w:p>
        </w:tc>
        <w:tc>
          <w:tcPr>
            <w:tcW w:w="2681"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2.96</w:t>
            </w:r>
          </w:p>
        </w:tc>
        <w:tc>
          <w:tcPr>
            <w:tcW w:w="278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3.41</w:t>
            </w:r>
          </w:p>
        </w:tc>
      </w:tr>
      <w:tr w:rsidR="00C95FD7" w:rsidRPr="005F3CCE" w:rsidTr="00325C04">
        <w:trPr>
          <w:trHeight w:val="426"/>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6</w:t>
            </w:r>
          </w:p>
        </w:tc>
        <w:tc>
          <w:tcPr>
            <w:tcW w:w="2074"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117A</w:t>
            </w:r>
          </w:p>
        </w:tc>
        <w:tc>
          <w:tcPr>
            <w:tcW w:w="2252"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ASN</w:t>
            </w:r>
          </w:p>
        </w:tc>
        <w:tc>
          <w:tcPr>
            <w:tcW w:w="2681"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2.84</w:t>
            </w:r>
          </w:p>
        </w:tc>
        <w:tc>
          <w:tcPr>
            <w:tcW w:w="2788"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3.84</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749"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7</w:t>
            </w:r>
          </w:p>
        </w:tc>
        <w:tc>
          <w:tcPr>
            <w:tcW w:w="207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121A</w:t>
            </w:r>
          </w:p>
        </w:tc>
        <w:tc>
          <w:tcPr>
            <w:tcW w:w="2252"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SER</w:t>
            </w:r>
          </w:p>
        </w:tc>
        <w:tc>
          <w:tcPr>
            <w:tcW w:w="2681"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3.37</w:t>
            </w:r>
          </w:p>
        </w:tc>
        <w:tc>
          <w:tcPr>
            <w:tcW w:w="278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3.83</w:t>
            </w:r>
          </w:p>
        </w:tc>
      </w:tr>
    </w:tbl>
    <w:tbl>
      <w:tblPr>
        <w:tblStyle w:val="PlainTable2"/>
        <w:tblpPr w:leftFromText="180" w:rightFromText="180" w:vertAnchor="page" w:horzAnchor="margin" w:tblpY="2856"/>
        <w:tblW w:w="9751" w:type="dxa"/>
        <w:tblLayout w:type="fixed"/>
        <w:tblLook w:val="04A0" w:firstRow="1" w:lastRow="0" w:firstColumn="1" w:lastColumn="0" w:noHBand="0" w:noVBand="1"/>
      </w:tblPr>
      <w:tblGrid>
        <w:gridCol w:w="703"/>
        <w:gridCol w:w="3966"/>
        <w:gridCol w:w="1914"/>
        <w:gridCol w:w="3168"/>
      </w:tblGrid>
      <w:tr w:rsidR="00C95FD7" w:rsidRPr="005F3CCE" w:rsidTr="00325C04">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3" w:type="dxa"/>
            <w:hideMark/>
          </w:tcPr>
          <w:p w:rsidR="00C95FD7" w:rsidRPr="005F3CCE" w:rsidRDefault="00C95FD7" w:rsidP="00325C04">
            <w:pPr>
              <w:jc w:val="center"/>
              <w:rPr>
                <w:rFonts w:eastAsia="Times New Roman" w:cs="Times New Roman"/>
                <w:color w:val="212529"/>
                <w:szCs w:val="24"/>
              </w:rPr>
            </w:pPr>
            <w:r w:rsidRPr="00BB2EF3">
              <w:rPr>
                <w:rFonts w:eastAsia="Times New Roman" w:cs="Times New Roman"/>
                <w:color w:val="212529"/>
                <w:szCs w:val="24"/>
              </w:rPr>
              <w:t>Sr.</w:t>
            </w:r>
          </w:p>
        </w:tc>
        <w:tc>
          <w:tcPr>
            <w:tcW w:w="3966"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Residue</w:t>
            </w:r>
          </w:p>
        </w:tc>
        <w:tc>
          <w:tcPr>
            <w:tcW w:w="1914"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AA</w:t>
            </w:r>
          </w:p>
        </w:tc>
        <w:tc>
          <w:tcPr>
            <w:tcW w:w="3168" w:type="dxa"/>
            <w:hideMark/>
          </w:tcPr>
          <w:p w:rsidR="00C95FD7" w:rsidRPr="005F3CCE"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Distance</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3"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1</w:t>
            </w:r>
          </w:p>
        </w:tc>
        <w:tc>
          <w:tcPr>
            <w:tcW w:w="3966"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85A</w:t>
            </w:r>
          </w:p>
        </w:tc>
        <w:tc>
          <w:tcPr>
            <w:tcW w:w="191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ALA</w:t>
            </w:r>
          </w:p>
        </w:tc>
        <w:tc>
          <w:tcPr>
            <w:tcW w:w="316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3.79</w:t>
            </w:r>
          </w:p>
        </w:tc>
      </w:tr>
      <w:tr w:rsidR="00C95FD7" w:rsidRPr="005F3CCE" w:rsidTr="00325C04">
        <w:trPr>
          <w:trHeight w:val="394"/>
        </w:trPr>
        <w:tc>
          <w:tcPr>
            <w:cnfStyle w:val="001000000000" w:firstRow="0" w:lastRow="0" w:firstColumn="1" w:lastColumn="0" w:oddVBand="0" w:evenVBand="0" w:oddHBand="0" w:evenHBand="0" w:firstRowFirstColumn="0" w:firstRowLastColumn="0" w:lastRowFirstColumn="0" w:lastRowLastColumn="0"/>
            <w:tcW w:w="703"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2</w:t>
            </w:r>
          </w:p>
        </w:tc>
        <w:tc>
          <w:tcPr>
            <w:tcW w:w="3966"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93A</w:t>
            </w:r>
          </w:p>
        </w:tc>
        <w:tc>
          <w:tcPr>
            <w:tcW w:w="1914"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LEU</w:t>
            </w:r>
          </w:p>
        </w:tc>
        <w:tc>
          <w:tcPr>
            <w:tcW w:w="3168"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3.74</w:t>
            </w:r>
          </w:p>
        </w:tc>
      </w:tr>
      <w:tr w:rsidR="00C95FD7" w:rsidRPr="005F3CCE" w:rsidTr="00325C0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3"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3</w:t>
            </w:r>
          </w:p>
        </w:tc>
        <w:tc>
          <w:tcPr>
            <w:tcW w:w="3966"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100A</w:t>
            </w:r>
          </w:p>
        </w:tc>
        <w:tc>
          <w:tcPr>
            <w:tcW w:w="1914"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PHE</w:t>
            </w:r>
          </w:p>
        </w:tc>
        <w:tc>
          <w:tcPr>
            <w:tcW w:w="3168" w:type="dxa"/>
            <w:hideMark/>
          </w:tcPr>
          <w:p w:rsidR="00C95FD7" w:rsidRPr="005F3CCE"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3.96</w:t>
            </w:r>
          </w:p>
        </w:tc>
      </w:tr>
      <w:tr w:rsidR="00C95FD7" w:rsidRPr="005F3CCE" w:rsidTr="00325C04">
        <w:trPr>
          <w:trHeight w:val="394"/>
        </w:trPr>
        <w:tc>
          <w:tcPr>
            <w:cnfStyle w:val="001000000000" w:firstRow="0" w:lastRow="0" w:firstColumn="1" w:lastColumn="0" w:oddVBand="0" w:evenVBand="0" w:oddHBand="0" w:evenHBand="0" w:firstRowFirstColumn="0" w:firstRowLastColumn="0" w:lastRowFirstColumn="0" w:lastRowLastColumn="0"/>
            <w:tcW w:w="703" w:type="dxa"/>
            <w:hideMark/>
          </w:tcPr>
          <w:p w:rsidR="00C95FD7" w:rsidRPr="005F3CCE" w:rsidRDefault="00C95FD7" w:rsidP="00325C04">
            <w:pPr>
              <w:jc w:val="center"/>
              <w:rPr>
                <w:rFonts w:eastAsia="Times New Roman" w:cs="Times New Roman"/>
                <w:color w:val="212529"/>
                <w:szCs w:val="24"/>
              </w:rPr>
            </w:pPr>
            <w:r w:rsidRPr="005F3CCE">
              <w:rPr>
                <w:rFonts w:eastAsia="Times New Roman" w:cs="Times New Roman"/>
                <w:color w:val="212529"/>
                <w:szCs w:val="24"/>
              </w:rPr>
              <w:t>4</w:t>
            </w:r>
          </w:p>
        </w:tc>
        <w:tc>
          <w:tcPr>
            <w:tcW w:w="3966"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103A</w:t>
            </w:r>
          </w:p>
        </w:tc>
        <w:tc>
          <w:tcPr>
            <w:tcW w:w="1914"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LEU</w:t>
            </w:r>
          </w:p>
        </w:tc>
        <w:tc>
          <w:tcPr>
            <w:tcW w:w="3168" w:type="dxa"/>
            <w:hideMark/>
          </w:tcPr>
          <w:p w:rsidR="00C95FD7" w:rsidRPr="005F3CCE"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12529"/>
                <w:szCs w:val="24"/>
              </w:rPr>
            </w:pPr>
            <w:r w:rsidRPr="005F3CCE">
              <w:rPr>
                <w:rFonts w:eastAsia="Times New Roman" w:cs="Times New Roman"/>
                <w:color w:val="212529"/>
                <w:szCs w:val="24"/>
              </w:rPr>
              <w:t>3.80</w:t>
            </w:r>
          </w:p>
        </w:tc>
      </w:tr>
    </w:tbl>
    <w:p w:rsidR="00C95FD7" w:rsidRDefault="00C95FD7" w:rsidP="00C95FD7"/>
    <w:p w:rsidR="00C95FD7" w:rsidRPr="00BB2EF3" w:rsidRDefault="00C95FD7" w:rsidP="00C95FD7">
      <w:pPr>
        <w:rPr>
          <w:b/>
        </w:rPr>
      </w:pPr>
      <w:r w:rsidRPr="00BB2EF3">
        <w:rPr>
          <w:b/>
        </w:rPr>
        <w:t>Hydrophobic Interactions</w:t>
      </w:r>
    </w:p>
    <w:p w:rsidR="00C95FD7" w:rsidRDefault="00C95FD7" w:rsidP="00C95FD7"/>
    <w:p w:rsidR="00C95FD7" w:rsidRDefault="00C95FD7" w:rsidP="00C95FD7">
      <w:pPr>
        <w:jc w:val="center"/>
      </w:pPr>
      <w:r>
        <w:rPr>
          <w:noProof/>
        </w:rPr>
        <w:drawing>
          <wp:inline distT="0" distB="0" distL="0" distR="0" wp14:anchorId="3619DEBA" wp14:editId="19825047">
            <wp:extent cx="4733925" cy="40907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ip vit D.jpg"/>
                    <pic:cNvPicPr/>
                  </pic:nvPicPr>
                  <pic:blipFill>
                    <a:blip r:embed="rId30">
                      <a:extLst>
                        <a:ext uri="{28A0092B-C50C-407E-A947-70E740481C1C}">
                          <a14:useLocalDpi xmlns:a14="http://schemas.microsoft.com/office/drawing/2010/main" val="0"/>
                        </a:ext>
                      </a:extLst>
                    </a:blip>
                    <a:stretch>
                      <a:fillRect/>
                    </a:stretch>
                  </pic:blipFill>
                  <pic:spPr>
                    <a:xfrm>
                      <a:off x="0" y="0"/>
                      <a:ext cx="4739558" cy="4095596"/>
                    </a:xfrm>
                    <a:prstGeom prst="rect">
                      <a:avLst/>
                    </a:prstGeom>
                  </pic:spPr>
                </pic:pic>
              </a:graphicData>
            </a:graphic>
          </wp:inline>
        </w:drawing>
      </w:r>
    </w:p>
    <w:p w:rsidR="00C95FD7" w:rsidRDefault="00C95FD7" w:rsidP="00C95FD7">
      <w:pPr>
        <w:jc w:val="center"/>
      </w:pPr>
      <w:r>
        <w:t>Figure 4.14: Hydrogen bonding between TM 2 and Vitamin D3 visualized through PLIP. Table 4.6 shows the complete description of interactions between TM 2 and Vitamin D3.</w:t>
      </w:r>
    </w:p>
    <w:p w:rsidR="00C95FD7" w:rsidRDefault="00C95FD7" w:rsidP="00C95FD7">
      <w:pPr>
        <w:jc w:val="center"/>
      </w:pPr>
    </w:p>
    <w:p w:rsidR="00C95FD7" w:rsidRDefault="00C95FD7" w:rsidP="00C95FD7"/>
    <w:p w:rsidR="00C95FD7" w:rsidRDefault="00C95FD7" w:rsidP="00C95FD7">
      <w:r>
        <w:t>Table 4.6: Description of interactions between TM 2 and Vitamin D3.</w:t>
      </w:r>
    </w:p>
    <w:p w:rsidR="00C95FD7" w:rsidRPr="00BB2EF3" w:rsidRDefault="00C95FD7" w:rsidP="00C95FD7">
      <w:pPr>
        <w:rPr>
          <w:b/>
        </w:rPr>
      </w:pPr>
      <w:r w:rsidRPr="00BB2EF3">
        <w:rPr>
          <w:b/>
        </w:rPr>
        <w:t>Hydrophobic Interactions</w:t>
      </w:r>
    </w:p>
    <w:tbl>
      <w:tblPr>
        <w:tblStyle w:val="PlainTable2"/>
        <w:tblW w:w="9779" w:type="dxa"/>
        <w:tblLook w:val="04A0" w:firstRow="1" w:lastRow="0" w:firstColumn="1" w:lastColumn="0" w:noHBand="0" w:noVBand="1"/>
      </w:tblPr>
      <w:tblGrid>
        <w:gridCol w:w="710"/>
        <w:gridCol w:w="2413"/>
        <w:gridCol w:w="3396"/>
        <w:gridCol w:w="3260"/>
      </w:tblGrid>
      <w:tr w:rsidR="00C95FD7" w:rsidRPr="000E2C23" w:rsidTr="00325C04">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BB2EF3">
              <w:rPr>
                <w:rFonts w:eastAsia="Times New Roman" w:cs="Times New Roman"/>
                <w:color w:val="000000"/>
                <w:szCs w:val="24"/>
              </w:rPr>
              <w:t>Sr</w:t>
            </w:r>
          </w:p>
        </w:tc>
        <w:tc>
          <w:tcPr>
            <w:tcW w:w="2413" w:type="dxa"/>
            <w:noWrap/>
            <w:hideMark/>
          </w:tcPr>
          <w:p w:rsidR="00C95FD7" w:rsidRPr="000E2C23"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Residue</w:t>
            </w:r>
          </w:p>
        </w:tc>
        <w:tc>
          <w:tcPr>
            <w:tcW w:w="3396" w:type="dxa"/>
            <w:noWrap/>
            <w:hideMark/>
          </w:tcPr>
          <w:p w:rsidR="00C95FD7" w:rsidRPr="000E2C23"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AA</w:t>
            </w:r>
          </w:p>
        </w:tc>
        <w:tc>
          <w:tcPr>
            <w:tcW w:w="3260" w:type="dxa"/>
            <w:noWrap/>
            <w:hideMark/>
          </w:tcPr>
          <w:p w:rsidR="00C95FD7" w:rsidRPr="000E2C23" w:rsidRDefault="00C95FD7" w:rsidP="00325C0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Distance</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1</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35A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LEU</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3.70</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2</w:t>
            </w:r>
          </w:p>
        </w:tc>
        <w:tc>
          <w:tcPr>
            <w:tcW w:w="2413"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82A</w:t>
            </w:r>
          </w:p>
        </w:tc>
        <w:tc>
          <w:tcPr>
            <w:tcW w:w="3396"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VAL</w:t>
            </w:r>
          </w:p>
        </w:tc>
        <w:tc>
          <w:tcPr>
            <w:tcW w:w="3260"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3.82</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3</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83A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LEU</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3.92</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4</w:t>
            </w:r>
          </w:p>
        </w:tc>
        <w:tc>
          <w:tcPr>
            <w:tcW w:w="2413"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83A</w:t>
            </w:r>
          </w:p>
        </w:tc>
        <w:tc>
          <w:tcPr>
            <w:tcW w:w="3396"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LEU</w:t>
            </w:r>
          </w:p>
        </w:tc>
        <w:tc>
          <w:tcPr>
            <w:tcW w:w="3260"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3.63</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5</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86A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PHE</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3.75</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6</w:t>
            </w:r>
          </w:p>
        </w:tc>
        <w:tc>
          <w:tcPr>
            <w:tcW w:w="2413"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86A</w:t>
            </w:r>
          </w:p>
        </w:tc>
        <w:tc>
          <w:tcPr>
            <w:tcW w:w="3396"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PHE</w:t>
            </w:r>
          </w:p>
        </w:tc>
        <w:tc>
          <w:tcPr>
            <w:tcW w:w="3260"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3.32</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7</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86A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PHE</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3.49</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8</w:t>
            </w:r>
          </w:p>
        </w:tc>
        <w:tc>
          <w:tcPr>
            <w:tcW w:w="2413"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113A</w:t>
            </w:r>
          </w:p>
        </w:tc>
        <w:tc>
          <w:tcPr>
            <w:tcW w:w="3396"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VAL</w:t>
            </w:r>
          </w:p>
        </w:tc>
        <w:tc>
          <w:tcPr>
            <w:tcW w:w="3260"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3.82</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9</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118A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PHE</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3.71</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10</w:t>
            </w:r>
          </w:p>
        </w:tc>
        <w:tc>
          <w:tcPr>
            <w:tcW w:w="2413"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122A</w:t>
            </w:r>
          </w:p>
        </w:tc>
        <w:tc>
          <w:tcPr>
            <w:tcW w:w="3396"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LEU</w:t>
            </w:r>
          </w:p>
        </w:tc>
        <w:tc>
          <w:tcPr>
            <w:tcW w:w="3260" w:type="dxa"/>
            <w:noWrap/>
            <w:hideMark/>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3.47</w:t>
            </w:r>
          </w:p>
        </w:tc>
      </w:tr>
      <w:tr w:rsidR="00C95FD7" w:rsidRPr="000E2C23" w:rsidTr="00325C0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10" w:type="dxa"/>
            <w:noWrap/>
            <w:hideMark/>
          </w:tcPr>
          <w:p w:rsidR="00C95FD7" w:rsidRPr="000E2C23" w:rsidRDefault="00C95FD7" w:rsidP="00325C04">
            <w:pPr>
              <w:jc w:val="center"/>
              <w:rPr>
                <w:rFonts w:eastAsia="Times New Roman" w:cs="Times New Roman"/>
                <w:color w:val="000000"/>
                <w:szCs w:val="24"/>
              </w:rPr>
            </w:pPr>
            <w:r w:rsidRPr="000E2C23">
              <w:rPr>
                <w:rFonts w:eastAsia="Times New Roman" w:cs="Times New Roman"/>
                <w:color w:val="000000"/>
                <w:szCs w:val="24"/>
              </w:rPr>
              <w:t>11</w:t>
            </w:r>
          </w:p>
        </w:tc>
        <w:tc>
          <w:tcPr>
            <w:tcW w:w="2413"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125A</w:t>
            </w:r>
          </w:p>
        </w:tc>
        <w:tc>
          <w:tcPr>
            <w:tcW w:w="3396"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ALA</w:t>
            </w:r>
          </w:p>
        </w:tc>
        <w:tc>
          <w:tcPr>
            <w:tcW w:w="3260" w:type="dxa"/>
            <w:noWrap/>
            <w:hideMark/>
          </w:tcPr>
          <w:p w:rsidR="00C95FD7" w:rsidRPr="000E2C23" w:rsidRDefault="00C95FD7" w:rsidP="00325C0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E2C23">
              <w:rPr>
                <w:rFonts w:eastAsia="Times New Roman" w:cs="Times New Roman"/>
                <w:color w:val="000000"/>
                <w:szCs w:val="24"/>
              </w:rPr>
              <w:t>3.82</w:t>
            </w:r>
          </w:p>
        </w:tc>
      </w:tr>
      <w:tr w:rsidR="00C95FD7" w:rsidRPr="000E2C23" w:rsidTr="00325C04">
        <w:trPr>
          <w:trHeight w:val="371"/>
        </w:trPr>
        <w:tc>
          <w:tcPr>
            <w:cnfStyle w:val="001000000000" w:firstRow="0" w:lastRow="0" w:firstColumn="1" w:lastColumn="0" w:oddVBand="0" w:evenVBand="0" w:oddHBand="0" w:evenHBand="0" w:firstRowFirstColumn="0" w:firstRowLastColumn="0" w:lastRowFirstColumn="0" w:lastRowLastColumn="0"/>
            <w:tcW w:w="710" w:type="dxa"/>
            <w:noWrap/>
          </w:tcPr>
          <w:p w:rsidR="00C95FD7" w:rsidRPr="000E2C23" w:rsidRDefault="00C95FD7" w:rsidP="00325C04">
            <w:pPr>
              <w:rPr>
                <w:rFonts w:eastAsia="Times New Roman" w:cs="Times New Roman"/>
                <w:color w:val="000000"/>
                <w:szCs w:val="24"/>
              </w:rPr>
            </w:pPr>
          </w:p>
        </w:tc>
        <w:tc>
          <w:tcPr>
            <w:tcW w:w="2413" w:type="dxa"/>
            <w:noWrap/>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3396" w:type="dxa"/>
            <w:noWrap/>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3260" w:type="dxa"/>
            <w:noWrap/>
          </w:tcPr>
          <w:p w:rsidR="00C95FD7" w:rsidRPr="000E2C23" w:rsidRDefault="00C95FD7" w:rsidP="00325C0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rsidR="00336C4C" w:rsidRDefault="00336C4C" w:rsidP="00336C4C"/>
    <w:p w:rsidR="00C95FD7" w:rsidRDefault="00C95FD7">
      <w:pPr>
        <w:spacing w:line="259" w:lineRule="auto"/>
        <w:jc w:val="left"/>
      </w:pPr>
      <w:r>
        <w:br w:type="page"/>
      </w:r>
    </w:p>
    <w:p w:rsidR="00C95FD7" w:rsidRDefault="00C95FD7" w:rsidP="00C95FD7">
      <w:pPr>
        <w:pStyle w:val="Heading1"/>
      </w:pPr>
      <w:r>
        <w:t xml:space="preserve">DISCUSSION </w:t>
      </w:r>
    </w:p>
    <w:p w:rsidR="00C95FD7" w:rsidRPr="00EC4C75" w:rsidRDefault="00C95FD7" w:rsidP="00C95FD7"/>
    <w:p w:rsidR="00C95FD7" w:rsidRDefault="00C95FD7" w:rsidP="00C95FD7">
      <w:pPr>
        <w:spacing w:line="480" w:lineRule="auto"/>
      </w:pPr>
      <w:r>
        <w:t xml:space="preserve">Beta Thalassemia major am autosomal recessive blood disorder linked to many other health complications and often referred to as a syndrome. It is linked with reduced or absent beta globin in patients that makes them dependent upon regular blood transfusions, chelation therapies and management therapies for biochemical balance in their body. This research was aimed to analyze </w:t>
      </w:r>
      <w:bookmarkStart w:id="1" w:name="_GoBack"/>
      <w:bookmarkEnd w:id="1"/>
      <w:r>
        <w:t xml:space="preserve">the link between disturbed lifestyle of thalassemia patients who are dependent on blood transfusion and their clinical management therapies </w:t>
      </w:r>
      <w:r>
        <w:fldChar w:fldCharType="begin"/>
      </w:r>
      <w:r>
        <w:instrText xml:space="preserve"> ADDIN EN.CITE &lt;EndNote&gt;&lt;Cite&gt;&lt;Author&gt;Origa&lt;/Author&gt;&lt;Year&gt;2018&lt;/Year&gt;&lt;RecNum&gt;57&lt;/RecNum&gt;&lt;DisplayText&gt;(Origa 2018)&lt;/DisplayText&gt;&lt;record&gt;&lt;rec-number&gt;57&lt;/rec-number&gt;&lt;foreign-keys&gt;&lt;key app="EN" db-id="w5d5teax5wtseretf5qxsswaawx9zard5xae" timestamp="1629967270"&gt;57&lt;/key&gt;&lt;/foreign-keys&gt;&lt;ref-type name="Journal Article"&gt;17&lt;/ref-type&gt;&lt;contributors&gt;&lt;authors&gt;&lt;author&gt;Origa, Raffaella&lt;/author&gt;&lt;/authors&gt;&lt;/contributors&gt;&lt;titles&gt;&lt;title&gt;Beta-thalassemia&lt;/title&gt;&lt;/titles&gt;&lt;dates&gt;&lt;year&gt;2018&lt;/year&gt;&lt;/dates&gt;&lt;urls&gt;&lt;/urls&gt;&lt;/record&gt;&lt;/Cite&gt;&lt;/EndNote&gt;</w:instrText>
      </w:r>
      <w:r>
        <w:fldChar w:fldCharType="separate"/>
      </w:r>
      <w:r>
        <w:rPr>
          <w:noProof/>
        </w:rPr>
        <w:t>(</w:t>
      </w:r>
      <w:hyperlink w:anchor="_ENREF_44" w:tooltip="Origa, 2018 #57" w:history="1">
        <w:r>
          <w:rPr>
            <w:noProof/>
          </w:rPr>
          <w:t>Origa 2018</w:t>
        </w:r>
      </w:hyperlink>
      <w:r>
        <w:rPr>
          <w:noProof/>
        </w:rPr>
        <w:t>)</w:t>
      </w:r>
      <w:r>
        <w:fldChar w:fldCharType="end"/>
      </w:r>
      <w:r>
        <w:t xml:space="preserve">. </w:t>
      </w:r>
    </w:p>
    <w:p w:rsidR="00C95FD7" w:rsidRDefault="00C95FD7" w:rsidP="00C95FD7">
      <w:pPr>
        <w:spacing w:line="480" w:lineRule="auto"/>
      </w:pPr>
      <w:r>
        <w:t xml:space="preserve">DNA was isolated from whole blood which was taken by intravenous injection from patients and the DNA bands for these samples were obtained by the method of gel electrophoresis by using 1% agarose gel. </w:t>
      </w:r>
      <w:r>
        <w:fldChar w:fldCharType="begin"/>
      </w:r>
      <w:r>
        <w:instrText xml:space="preserve"> ADDIN EN.CITE &lt;EndNote&gt;&lt;Cite&gt;&lt;Author&gt;Charoenkwan&lt;/Author&gt;&lt;Year&gt;2017&lt;/Year&gt;&lt;RecNum&gt;56&lt;/RecNum&gt;&lt;DisplayText&gt;(Charoenkwan, Sirichotiyakul et al. 2017)&lt;/DisplayText&gt;&lt;record&gt;&lt;rec-number&gt;56&lt;/rec-number&gt;&lt;foreign-keys&gt;&lt;key app="EN" db-id="w5d5teax5wtseretf5qxsswaawx9zard5xae" timestamp="1629967214"&gt;56&lt;/key&gt;&lt;/foreign-keys&gt;&lt;ref-type name="Journal Article"&gt;17&lt;/ref-type&gt;&lt;contributors&gt;&lt;authors&gt;&lt;author&gt;Charoenkwan, Pimlak&lt;/author&gt;&lt;author&gt;Sirichotiyakul, Supatra&lt;/author&gt;&lt;author&gt;Phusua, Arunee&lt;/author&gt;&lt;author&gt;Suanta, Sudjai&lt;/author&gt;&lt;author&gt;Fanhchaksai, Kanda&lt;/author&gt;&lt;author&gt;Sae-Tung, Rattika&lt;/author&gt;&lt;author&gt;Sanguansermsri, Torpong&lt;/author&gt;&lt;/authors&gt;&lt;/contributors&gt;&lt;titles&gt;&lt;title&gt;High-resolution melting analysis for prenatal diagnosis of beta-thalassemia in northern Thailand&lt;/title&gt;&lt;secondary-title&gt;International journal of hematology&lt;/secondary-title&gt;&lt;/titles&gt;&lt;periodical&gt;&lt;full-title&gt;International journal of hematology&lt;/full-title&gt;&lt;/periodical&gt;&lt;pages&gt;757-764&lt;/pages&gt;&lt;volume&gt;106&lt;/volume&gt;&lt;number&gt;6&lt;/number&gt;&lt;dates&gt;&lt;year&gt;2017&lt;/year&gt;&lt;/dates&gt;&lt;isbn&gt;1865-3774&lt;/isbn&gt;&lt;urls&gt;&lt;/urls&gt;&lt;/record&gt;&lt;/Cite&gt;&lt;/EndNote&gt;</w:instrText>
      </w:r>
      <w:r>
        <w:fldChar w:fldCharType="separate"/>
      </w:r>
      <w:r>
        <w:rPr>
          <w:noProof/>
        </w:rPr>
        <w:t>(</w:t>
      </w:r>
      <w:hyperlink w:anchor="_ENREF_16" w:tooltip="Charoenkwan, 2017 #56" w:history="1">
        <w:r>
          <w:rPr>
            <w:noProof/>
          </w:rPr>
          <w:t>Charoenkwan, Sirichotiyakul et al. 2017</w:t>
        </w:r>
      </w:hyperlink>
      <w:r>
        <w:rPr>
          <w:noProof/>
        </w:rPr>
        <w:t>)</w:t>
      </w:r>
      <w:r>
        <w:fldChar w:fldCharType="end"/>
      </w:r>
      <w:r>
        <w:t xml:space="preserve">. In this study the primers were designed by Primer3plus and PCR conditions were optimized for amplification of targeted gene. The amplified gene product’s band were obtained by gel electrophoresis in 2% agarose gel and visualized in gel documentation </w:t>
      </w:r>
    </w:p>
    <w:p w:rsidR="00C95FD7" w:rsidRDefault="00C95FD7" w:rsidP="00C95FD7">
      <w:pPr>
        <w:spacing w:line="480" w:lineRule="auto"/>
      </w:pPr>
      <w:r>
        <w:t xml:space="preserve">For molecular and structural analysis bioinformatics tools play an integral role and are very useful to predict 2D, 3D structures and their interactions with suitable ligands. BLASTn was used to compare the obtained sequence with the reported database on NCBI. The BLAST results are comprised of query coverage and similarity. BioEdit software was used to edit the sequence for further processing. Furthermore, to predict the physiochemical properties of protein ExPasy Protparam was used. Then the nucleotide sequence of the gene under study was translated by using ExPasy translate tool and its secondary structures were predicted through Psipred and 3D structure by trRosetta. The 3D structures of ligand under study were obtained by PubChem. AutoDockvina software was used to run the interaction of ligand and protein under study and the results were visualized by PyMol. </w:t>
      </w:r>
    </w:p>
    <w:p w:rsidR="00C95FD7" w:rsidRDefault="00C95FD7" w:rsidP="00C95FD7">
      <w:pPr>
        <w:spacing w:line="480" w:lineRule="auto"/>
      </w:pPr>
      <w:r>
        <w:t>The results of this research demonstrates that there is a link between the burden of iron overload and its free radicals with other health complications faced by thalassemia major patients. Table 4.1 shows that the mean Hb level of the patients under study is 8.49 g/dl while the normal levels are 12-14 g/dl. The mean MCV and MCH levels of patients under study are 76.7 fl and 26.4 pg while the normal ranges are 80-100 fl and 33 pg respectively. Figure 4.2 shows statistically non-significant (</w:t>
      </w:r>
      <w:r>
        <w:rPr>
          <w:i/>
        </w:rPr>
        <w:t>p=</w:t>
      </w:r>
      <w:r>
        <w:t>0.149) correlation of Hb with ALT levels. Figure 4.3 shows statistically non-significant (</w:t>
      </w:r>
      <w:r>
        <w:rPr>
          <w:i/>
        </w:rPr>
        <w:t>p</w:t>
      </w:r>
      <w:r>
        <w:t>=0.136) correlation of Hb with AST levels. Figure 4.4 shows statistically non-significant (</w:t>
      </w:r>
      <w:r>
        <w:rPr>
          <w:i/>
        </w:rPr>
        <w:t>p</w:t>
      </w:r>
      <w:r>
        <w:t xml:space="preserve">=0.563) correlation of Hb with ALP levels. </w:t>
      </w:r>
    </w:p>
    <w:p w:rsidR="00C95FD7" w:rsidRDefault="00C95FD7" w:rsidP="00C95FD7">
      <w:pPr>
        <w:spacing w:line="480" w:lineRule="auto"/>
      </w:pPr>
      <w:r>
        <w:t xml:space="preserve">The results of </w:t>
      </w:r>
      <w:r>
        <w:rPr>
          <w:i/>
        </w:rPr>
        <w:t xml:space="preserve">in-silico </w:t>
      </w:r>
      <w:r>
        <w:t xml:space="preserve">molecular interactions showed that, the binding energies of beta globin protein with folic acid is -4.6 kcal/mol and the binding energies of beta globin protein with vitamin D3 is -4.4 kcal/mol. This weak binding results concludes that the supplements taken by patients are not sufficient enough to help them with their ongoing health issues. </w:t>
      </w:r>
    </w:p>
    <w:p w:rsidR="00C95FD7" w:rsidRDefault="00C95FD7">
      <w:pPr>
        <w:spacing w:line="259" w:lineRule="auto"/>
        <w:jc w:val="left"/>
      </w:pPr>
      <w:r>
        <w:br w:type="page"/>
      </w:r>
    </w:p>
    <w:p w:rsidR="00C95FD7" w:rsidRDefault="00C95FD7" w:rsidP="00C95FD7">
      <w:pPr>
        <w:pStyle w:val="Heading1"/>
      </w:pPr>
      <w:r>
        <w:t>CONCLUSION</w:t>
      </w:r>
    </w:p>
    <w:p w:rsidR="00C95FD7" w:rsidRDefault="00C95FD7" w:rsidP="00C95FD7">
      <w:pPr>
        <w:spacing w:line="480" w:lineRule="auto"/>
      </w:pPr>
      <w:r>
        <w:t xml:space="preserve">In this study, we found the link between increasing health complications of thalassemia major patients to be in link with increased oxidative stress due to regular blood transfusions. The mutant proteins show structural and functional changes when compared to wild protein and these conformational changes are contributing in the mal-functioning of protein. The decreased binding capacity of beta globin with the supplements taken by thalassemia major patients clearly shows the reason behind their growth delay, mortality and other health concerns. </w:t>
      </w:r>
    </w:p>
    <w:p w:rsidR="00336C4C" w:rsidRPr="00336C4C" w:rsidRDefault="00336C4C" w:rsidP="00336C4C"/>
    <w:sectPr w:rsidR="00336C4C" w:rsidRPr="00336C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A01" w:rsidRDefault="00BB7A01" w:rsidP="00C95FD7">
      <w:pPr>
        <w:spacing w:after="0" w:line="240" w:lineRule="auto"/>
      </w:pPr>
      <w:r>
        <w:separator/>
      </w:r>
    </w:p>
  </w:endnote>
  <w:endnote w:type="continuationSeparator" w:id="0">
    <w:p w:rsidR="00BB7A01" w:rsidRDefault="00BB7A01" w:rsidP="00C95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5549437"/>
      <w:docPartObj>
        <w:docPartGallery w:val="Page Numbers (Bottom of Page)"/>
        <w:docPartUnique/>
      </w:docPartObj>
    </w:sdtPr>
    <w:sdtEndPr>
      <w:rPr>
        <w:noProof/>
      </w:rPr>
    </w:sdtEndPr>
    <w:sdtContent>
      <w:p w:rsidR="00C95FD7" w:rsidRDefault="00C95FD7">
        <w:pPr>
          <w:pStyle w:val="Footer"/>
          <w:jc w:val="right"/>
        </w:pPr>
        <w:r>
          <w:fldChar w:fldCharType="begin"/>
        </w:r>
        <w:r>
          <w:instrText xml:space="preserve"> PAGE   \* MERGEFORMAT </w:instrText>
        </w:r>
        <w:r>
          <w:fldChar w:fldCharType="separate"/>
        </w:r>
        <w:r w:rsidR="00BB7A01">
          <w:rPr>
            <w:noProof/>
          </w:rPr>
          <w:t>1</w:t>
        </w:r>
        <w:r>
          <w:rPr>
            <w:noProof/>
          </w:rPr>
          <w:fldChar w:fldCharType="end"/>
        </w:r>
      </w:p>
    </w:sdtContent>
  </w:sdt>
  <w:p w:rsidR="00C95FD7" w:rsidRDefault="00C95F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A01" w:rsidRDefault="00BB7A01" w:rsidP="00C95FD7">
      <w:pPr>
        <w:spacing w:after="0" w:line="240" w:lineRule="auto"/>
      </w:pPr>
      <w:r>
        <w:separator/>
      </w:r>
    </w:p>
  </w:footnote>
  <w:footnote w:type="continuationSeparator" w:id="0">
    <w:p w:rsidR="00BB7A01" w:rsidRDefault="00BB7A01" w:rsidP="00C95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6079BD"/>
    <w:multiLevelType w:val="hybridMultilevel"/>
    <w:tmpl w:val="D7D8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4C"/>
    <w:rsid w:val="002229AF"/>
    <w:rsid w:val="00336C4C"/>
    <w:rsid w:val="00436AAC"/>
    <w:rsid w:val="004B4603"/>
    <w:rsid w:val="008405E6"/>
    <w:rsid w:val="00BB7A01"/>
    <w:rsid w:val="00C31562"/>
    <w:rsid w:val="00C95FD7"/>
    <w:rsid w:val="00DD0788"/>
    <w:rsid w:val="00E45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7930"/>
  <w15:chartTrackingRefBased/>
  <w15:docId w15:val="{2AE4CC5A-58DA-46CE-AD2D-1D24E238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5E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4B4603"/>
    <w:pPr>
      <w:keepNext/>
      <w:keepLines/>
      <w:spacing w:before="240" w:after="0"/>
      <w:outlineLvl w:val="0"/>
    </w:pPr>
    <w:rPr>
      <w:rFonts w:eastAsiaTheme="majorEastAsia" w:cstheme="majorBidi"/>
      <w:b/>
      <w:i/>
      <w:szCs w:val="32"/>
    </w:rPr>
  </w:style>
  <w:style w:type="paragraph" w:styleId="Heading2">
    <w:name w:val="heading 2"/>
    <w:basedOn w:val="Normal"/>
    <w:next w:val="Normal"/>
    <w:link w:val="Heading2Char"/>
    <w:uiPriority w:val="9"/>
    <w:unhideWhenUsed/>
    <w:qFormat/>
    <w:rsid w:val="004B4603"/>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95FD7"/>
    <w:pPr>
      <w:keepNext/>
      <w:keepLines/>
      <w:spacing w:before="40" w:after="0"/>
      <w:outlineLvl w:val="2"/>
    </w:pPr>
    <w:rPr>
      <w:rFonts w:eastAsiaTheme="majorEastAsia" w:cstheme="majorBidi"/>
      <w: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603"/>
    <w:rPr>
      <w:rFonts w:ascii="Times New Roman" w:eastAsiaTheme="majorEastAsia" w:hAnsi="Times New Roman" w:cstheme="majorBidi"/>
      <w:b/>
      <w:i/>
      <w:color w:val="000000" w:themeColor="text1"/>
      <w:sz w:val="24"/>
      <w:szCs w:val="32"/>
    </w:rPr>
  </w:style>
  <w:style w:type="character" w:customStyle="1" w:styleId="Heading2Char">
    <w:name w:val="Heading 2 Char"/>
    <w:basedOn w:val="DefaultParagraphFont"/>
    <w:link w:val="Heading2"/>
    <w:uiPriority w:val="9"/>
    <w:rsid w:val="004B4603"/>
    <w:rPr>
      <w:rFonts w:ascii="Times New Roman" w:eastAsiaTheme="majorEastAsia" w:hAnsi="Times New Roman" w:cstheme="majorBidi"/>
      <w:i/>
      <w:color w:val="000000" w:themeColor="text1"/>
      <w:sz w:val="24"/>
      <w:szCs w:val="26"/>
    </w:rPr>
  </w:style>
  <w:style w:type="paragraph" w:styleId="NoSpacing">
    <w:name w:val="No Spacing"/>
    <w:uiPriority w:val="1"/>
    <w:qFormat/>
    <w:rsid w:val="00C95FD7"/>
    <w:pPr>
      <w:spacing w:after="0" w:line="240" w:lineRule="auto"/>
      <w:jc w:val="both"/>
    </w:pPr>
    <w:rPr>
      <w:rFonts w:ascii="Times New Roman" w:hAnsi="Times New Roman"/>
      <w:color w:val="000000" w:themeColor="text1"/>
      <w:sz w:val="24"/>
    </w:rPr>
  </w:style>
  <w:style w:type="paragraph" w:styleId="EndnoteText">
    <w:name w:val="endnote text"/>
    <w:basedOn w:val="Normal"/>
    <w:link w:val="EndnoteTextChar"/>
    <w:uiPriority w:val="99"/>
    <w:semiHidden/>
    <w:unhideWhenUsed/>
    <w:rsid w:val="00C95F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5FD7"/>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95FD7"/>
    <w:rPr>
      <w:vertAlign w:val="superscript"/>
    </w:rPr>
  </w:style>
  <w:style w:type="character" w:customStyle="1" w:styleId="Heading3Char">
    <w:name w:val="Heading 3 Char"/>
    <w:basedOn w:val="DefaultParagraphFont"/>
    <w:link w:val="Heading3"/>
    <w:uiPriority w:val="9"/>
    <w:rsid w:val="00C95FD7"/>
    <w:rPr>
      <w:rFonts w:ascii="Times New Roman" w:eastAsiaTheme="majorEastAsia" w:hAnsi="Times New Roman" w:cstheme="majorBidi"/>
      <w:i/>
      <w:sz w:val="24"/>
      <w:szCs w:val="24"/>
    </w:rPr>
  </w:style>
  <w:style w:type="character" w:styleId="Hyperlink">
    <w:name w:val="Hyperlink"/>
    <w:basedOn w:val="DefaultParagraphFont"/>
    <w:uiPriority w:val="99"/>
    <w:unhideWhenUsed/>
    <w:rsid w:val="00C95FD7"/>
    <w:rPr>
      <w:color w:val="0563C1" w:themeColor="hyperlink"/>
      <w:u w:val="single"/>
    </w:rPr>
  </w:style>
  <w:style w:type="table" w:styleId="PlainTable2">
    <w:name w:val="Plain Table 2"/>
    <w:basedOn w:val="TableNormal"/>
    <w:uiPriority w:val="42"/>
    <w:rsid w:val="00C95F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C95FD7"/>
    <w:pPr>
      <w:spacing w:line="259" w:lineRule="auto"/>
      <w:ind w:left="720"/>
      <w:contextualSpacing/>
    </w:pPr>
    <w:rPr>
      <w:color w:val="auto"/>
    </w:rPr>
  </w:style>
  <w:style w:type="paragraph" w:styleId="Footer">
    <w:name w:val="footer"/>
    <w:basedOn w:val="Normal"/>
    <w:link w:val="FooterChar"/>
    <w:uiPriority w:val="99"/>
    <w:unhideWhenUsed/>
    <w:rsid w:val="00C95FD7"/>
    <w:pPr>
      <w:tabs>
        <w:tab w:val="center" w:pos="4680"/>
        <w:tab w:val="right" w:pos="9360"/>
      </w:tabs>
      <w:spacing w:after="0" w:line="240" w:lineRule="auto"/>
    </w:pPr>
    <w:rPr>
      <w:color w:val="auto"/>
    </w:rPr>
  </w:style>
  <w:style w:type="character" w:customStyle="1" w:styleId="FooterChar">
    <w:name w:val="Footer Char"/>
    <w:basedOn w:val="DefaultParagraphFont"/>
    <w:link w:val="Footer"/>
    <w:uiPriority w:val="99"/>
    <w:rsid w:val="00C95FD7"/>
    <w:rPr>
      <w:rFonts w:ascii="Times New Roman" w:hAnsi="Times New Roman"/>
      <w:sz w:val="24"/>
    </w:rPr>
  </w:style>
  <w:style w:type="paragraph" w:styleId="HTMLPreformatted">
    <w:name w:val="HTML Preformatted"/>
    <w:basedOn w:val="Normal"/>
    <w:link w:val="HTMLPreformattedChar"/>
    <w:uiPriority w:val="99"/>
    <w:unhideWhenUsed/>
    <w:rsid w:val="00C95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95FD7"/>
    <w:rPr>
      <w:rFonts w:ascii="Courier New" w:eastAsia="Times New Roman" w:hAnsi="Courier New" w:cs="Courier New"/>
      <w:sz w:val="20"/>
      <w:szCs w:val="20"/>
    </w:rPr>
  </w:style>
  <w:style w:type="table" w:styleId="TableGridLight">
    <w:name w:val="Grid Table Light"/>
    <w:basedOn w:val="TableNormal"/>
    <w:uiPriority w:val="40"/>
    <w:rsid w:val="00C95F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sia.ensembl.org/index.html" TargetMode="Externa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https://genome.ucsc.edu/cgi-bin/hgPcr"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oinformatics.nl/cgi-bin/primer3plus/primer3plus.cg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F59B5-FA8C-4359-A65E-0C854498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39</Pages>
  <Words>8127</Words>
  <Characters>46329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6</cp:revision>
  <dcterms:created xsi:type="dcterms:W3CDTF">2023-05-05T16:13:00Z</dcterms:created>
  <dcterms:modified xsi:type="dcterms:W3CDTF">2023-05-09T12:29:00Z</dcterms:modified>
</cp:coreProperties>
</file>