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left"/>
      </w:pPr>
      <w:r>
        <w:rPr>
          <w:rFonts w:ascii="Arial" w:hAnsi="Arial"/>
          <w:b/>
          <w:color w:val="007F7B"/>
          <w:sz w:val="24"/>
        </w:rPr>
        <w:t>PERMITIMPACT AI</w:t>
      </w:r>
    </w:p>
    <w:p>
      <w:pPr>
        <w:pStyle w:val="Title"/>
        <w:keepNext/>
      </w:pPr>
      <w:r>
        <w:t>Refinery Air-Permit</w:t>
        <w:br/>
        <w:t>Change Deployment Agent</w:t>
      </w:r>
    </w:p>
    <w:p>
      <w:r>
        <w:rPr>
          <w:b/>
          <w:color w:val="5B6573"/>
          <w:sz w:val="30"/>
        </w:rPr>
        <w:t>Product &amp; Build Specification</w:t>
      </w:r>
    </w:p>
    <w:p/>
    <w:tbl>
      <w:tblPr>
        <w:tblW w:type="auto" w:w="0"/>
        <w:jc w:val="center"/>
        <w:tblLayout w:type="fixed"/>
        <w:tblLook w:firstColumn="1" w:firstRow="1" w:lastColumn="0" w:lastRow="0" w:noHBand="0" w:noVBand="1" w:val="04A0"/>
      </w:tblPr>
      <w:tblGrid>
        <w:gridCol w:w="115"/>
        <w:gridCol w:w="9936"/>
      </w:tblGrid>
      <w:tr>
        <w:trPr>
          <w:cantSplit/>
        </w:trPr>
        <w:tc>
          <w:tcPr>
            <w:tcW w:type="dxa" w:w="5112"/>
            <w:shd w:fill="007F7B"/>
          </w:tcPr>
          <w:p/>
        </w:tc>
        <w:tc>
          <w:tcPr>
            <w:tcW w:type="dxa" w:w="5112"/>
            <w:shd w:fill="EEF7F7"/>
            <w:tcMar>
              <w:top w:w="130" w:type="dxa"/>
              <w:start w:w="150" w:type="dxa"/>
              <w:bottom w:w="130" w:type="dxa"/>
              <w:end w:w="150" w:type="dxa"/>
            </w:tcMar>
          </w:tcPr>
          <w:p>
            <w:pPr>
              <w:spacing w:after="40"/>
            </w:pPr>
            <w:r>
              <w:rPr>
                <w:b/>
                <w:color w:val="12263A"/>
              </w:rPr>
              <w:t>One-sentence product definition</w:t>
            </w:r>
          </w:p>
          <w:p>
            <w:pPr>
              <w:spacing w:after="0"/>
            </w:pPr>
            <w:r>
              <w:t>An AI agent for refinery environmental teams that compares revised air permits with the current permit, maps changed obligations to facility-specific assets and controls, and produces a human-reviewed implementation plan with traceable evidence.</w:t>
            </w:r>
          </w:p>
        </w:tc>
      </w:tr>
    </w:tbl>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304"/>
            <w:shd w:fill="007F7B"/>
            <w:tcMar>
              <w:top w:w="85" w:type="dxa"/>
              <w:start w:w="90" w:type="dxa"/>
              <w:bottom w:w="85" w:type="dxa"/>
              <w:end w:w="90" w:type="dxa"/>
            </w:tcMar>
            <w:vAlign w:val="center"/>
          </w:tcPr>
          <w:p>
            <w:r>
              <w:rPr>
                <w:b/>
                <w:color w:val="FFFFFF"/>
                <w:sz w:val="17"/>
              </w:rPr>
              <w:t>Field</w:t>
            </w:r>
          </w:p>
        </w:tc>
        <w:tc>
          <w:tcPr>
            <w:tcW w:type="dxa" w:w="7632"/>
            <w:shd w:fill="007F7B"/>
            <w:tcMar>
              <w:top w:w="85" w:type="dxa"/>
              <w:start w:w="90" w:type="dxa"/>
              <w:bottom w:w="85" w:type="dxa"/>
              <w:end w:w="90" w:type="dxa"/>
            </w:tcMar>
            <w:vAlign w:val="center"/>
          </w:tcPr>
          <w:p>
            <w:r>
              <w:rPr>
                <w:b/>
                <w:color w:val="FFFFFF"/>
                <w:sz w:val="17"/>
              </w:rPr>
              <w:t>Specification</w:t>
            </w:r>
          </w:p>
        </w:tc>
      </w:tr>
      <w:tr>
        <w:trPr>
          <w:cantSplit/>
        </w:trPr>
        <w:tc>
          <w:tcPr>
            <w:tcW w:type="dxa" w:w="2304"/>
            <w:tcMar>
              <w:top w:w="75" w:type="dxa"/>
              <w:start w:w="85" w:type="dxa"/>
              <w:bottom w:w="75" w:type="dxa"/>
              <w:end w:w="85" w:type="dxa"/>
            </w:tcMar>
            <w:vAlign w:val="top"/>
          </w:tcPr>
          <w:p>
            <w:pPr>
              <w:spacing w:after="0"/>
            </w:pPr>
            <w:r>
              <w:rPr>
                <w:sz w:val="16"/>
              </w:rPr>
              <w:t>Document purpose</w:t>
            </w:r>
          </w:p>
        </w:tc>
        <w:tc>
          <w:tcPr>
            <w:tcW w:type="dxa" w:w="7632"/>
            <w:tcMar>
              <w:top w:w="75" w:type="dxa"/>
              <w:start w:w="85" w:type="dxa"/>
              <w:bottom w:w="75" w:type="dxa"/>
              <w:end w:w="85" w:type="dxa"/>
            </w:tcMar>
            <w:vAlign w:val="top"/>
          </w:tcPr>
          <w:p>
            <w:pPr>
              <w:spacing w:after="0"/>
            </w:pPr>
            <w:r>
              <w:rPr>
                <w:sz w:val="16"/>
              </w:rPr>
              <w:t>Implementation handoff for a portfolio-grade working prototype</w:t>
            </w:r>
          </w:p>
        </w:tc>
      </w:tr>
      <w:tr>
        <w:trPr>
          <w:cantSplit/>
        </w:trPr>
        <w:tc>
          <w:tcPr>
            <w:tcW w:type="dxa" w:w="2304"/>
            <w:tcMar>
              <w:top w:w="75" w:type="dxa"/>
              <w:start w:w="85" w:type="dxa"/>
              <w:bottom w:w="75" w:type="dxa"/>
              <w:end w:w="85" w:type="dxa"/>
            </w:tcMar>
            <w:vAlign w:val="top"/>
          </w:tcPr>
          <w:p>
            <w:pPr>
              <w:spacing w:after="0"/>
            </w:pPr>
            <w:r>
              <w:rPr>
                <w:sz w:val="16"/>
              </w:rPr>
              <w:t>Primary user</w:t>
            </w:r>
          </w:p>
        </w:tc>
        <w:tc>
          <w:tcPr>
            <w:tcW w:type="dxa" w:w="7632"/>
            <w:tcMar>
              <w:top w:w="75" w:type="dxa"/>
              <w:start w:w="85" w:type="dxa"/>
              <w:bottom w:w="75" w:type="dxa"/>
              <w:end w:w="85" w:type="dxa"/>
            </w:tcMar>
            <w:vAlign w:val="top"/>
          </w:tcPr>
          <w:p>
            <w:pPr>
              <w:spacing w:after="0"/>
            </w:pPr>
            <w:r>
              <w:rPr>
                <w:sz w:val="16"/>
              </w:rPr>
              <w:t>Refinery environmental / air-quality engineer</w:t>
            </w:r>
          </w:p>
        </w:tc>
      </w:tr>
      <w:tr>
        <w:trPr>
          <w:cantSplit/>
        </w:trPr>
        <w:tc>
          <w:tcPr>
            <w:tcW w:type="dxa" w:w="2304"/>
            <w:tcMar>
              <w:top w:w="75" w:type="dxa"/>
              <w:start w:w="85" w:type="dxa"/>
              <w:bottom w:w="75" w:type="dxa"/>
              <w:end w:w="85" w:type="dxa"/>
            </w:tcMar>
            <w:vAlign w:val="top"/>
          </w:tcPr>
          <w:p>
            <w:pPr>
              <w:spacing w:after="0"/>
            </w:pPr>
            <w:r>
              <w:rPr>
                <w:sz w:val="16"/>
              </w:rPr>
              <w:t>Primary trigger</w:t>
            </w:r>
          </w:p>
        </w:tc>
        <w:tc>
          <w:tcPr>
            <w:tcW w:type="dxa" w:w="7632"/>
            <w:tcMar>
              <w:top w:w="75" w:type="dxa"/>
              <w:start w:w="85" w:type="dxa"/>
              <w:bottom w:w="75" w:type="dxa"/>
              <w:end w:w="85" w:type="dxa"/>
            </w:tcMar>
            <w:vAlign w:val="top"/>
          </w:tcPr>
          <w:p>
            <w:pPr>
              <w:spacing w:after="0"/>
            </w:pPr>
            <w:r>
              <w:rPr>
                <w:sz w:val="16"/>
              </w:rPr>
              <w:t>Draft, amended, reissued, or renewed air permit</w:t>
            </w:r>
          </w:p>
        </w:tc>
      </w:tr>
      <w:tr>
        <w:trPr>
          <w:cantSplit/>
        </w:trPr>
        <w:tc>
          <w:tcPr>
            <w:tcW w:type="dxa" w:w="2304"/>
            <w:tcMar>
              <w:top w:w="75" w:type="dxa"/>
              <w:start w:w="85" w:type="dxa"/>
              <w:bottom w:w="75" w:type="dxa"/>
              <w:end w:w="85" w:type="dxa"/>
            </w:tcMar>
            <w:vAlign w:val="top"/>
          </w:tcPr>
          <w:p>
            <w:pPr>
              <w:spacing w:after="0"/>
            </w:pPr>
            <w:r>
              <w:rPr>
                <w:sz w:val="16"/>
              </w:rPr>
              <w:t>Core outcome</w:t>
            </w:r>
          </w:p>
        </w:tc>
        <w:tc>
          <w:tcPr>
            <w:tcW w:type="dxa" w:w="7632"/>
            <w:tcMar>
              <w:top w:w="75" w:type="dxa"/>
              <w:start w:w="85" w:type="dxa"/>
              <w:bottom w:w="75" w:type="dxa"/>
              <w:end w:w="85" w:type="dxa"/>
            </w:tcMar>
            <w:vAlign w:val="top"/>
          </w:tcPr>
          <w:p>
            <w:pPr>
              <w:spacing w:after="0"/>
            </w:pPr>
            <w:r>
              <w:rPr>
                <w:sz w:val="16"/>
              </w:rPr>
              <w:t>Changed permit clause → affected facility controls → implementation evidence</w:t>
            </w:r>
          </w:p>
        </w:tc>
      </w:tr>
      <w:tr>
        <w:trPr>
          <w:cantSplit/>
        </w:trPr>
        <w:tc>
          <w:tcPr>
            <w:tcW w:type="dxa" w:w="2304"/>
            <w:tcMar>
              <w:top w:w="75" w:type="dxa"/>
              <w:start w:w="85" w:type="dxa"/>
              <w:bottom w:w="75" w:type="dxa"/>
              <w:end w:w="85" w:type="dxa"/>
            </w:tcMar>
            <w:vAlign w:val="top"/>
          </w:tcPr>
          <w:p>
            <w:pPr>
              <w:spacing w:after="0"/>
            </w:pPr>
            <w:r>
              <w:rPr>
                <w:sz w:val="16"/>
              </w:rPr>
              <w:t>V1 environment</w:t>
            </w:r>
          </w:p>
        </w:tc>
        <w:tc>
          <w:tcPr>
            <w:tcW w:type="dxa" w:w="7632"/>
            <w:tcMar>
              <w:top w:w="75" w:type="dxa"/>
              <w:start w:w="85" w:type="dxa"/>
              <w:bottom w:w="75" w:type="dxa"/>
              <w:end w:w="85" w:type="dxa"/>
            </w:tcMar>
            <w:vAlign w:val="top"/>
          </w:tcPr>
          <w:p>
            <w:pPr>
              <w:spacing w:after="0"/>
            </w:pPr>
            <w:r>
              <w:rPr>
                <w:sz w:val="16"/>
              </w:rPr>
              <w:t>Synthetic refinery with realistic but fictional data</w:t>
            </w:r>
          </w:p>
        </w:tc>
      </w:tr>
      <w:tr>
        <w:trPr>
          <w:cantSplit/>
        </w:trPr>
        <w:tc>
          <w:tcPr>
            <w:tcW w:type="dxa" w:w="2304"/>
            <w:tcMar>
              <w:top w:w="75" w:type="dxa"/>
              <w:start w:w="85" w:type="dxa"/>
              <w:bottom w:w="75" w:type="dxa"/>
              <w:end w:w="85" w:type="dxa"/>
            </w:tcMar>
            <w:vAlign w:val="top"/>
          </w:tcPr>
          <w:p>
            <w:pPr>
              <w:spacing w:after="0"/>
            </w:pPr>
            <w:r>
              <w:rPr>
                <w:sz w:val="16"/>
              </w:rPr>
              <w:t>Critical boundary</w:t>
            </w:r>
          </w:p>
        </w:tc>
        <w:tc>
          <w:tcPr>
            <w:tcW w:type="dxa" w:w="7632"/>
            <w:tcMar>
              <w:top w:w="75" w:type="dxa"/>
              <w:start w:w="85" w:type="dxa"/>
              <w:bottom w:w="75" w:type="dxa"/>
              <w:end w:w="85" w:type="dxa"/>
            </w:tcMar>
            <w:vAlign w:val="top"/>
          </w:tcPr>
          <w:p>
            <w:pPr>
              <w:spacing w:after="0"/>
            </w:pPr>
            <w:r>
              <w:rPr>
                <w:sz w:val="16"/>
              </w:rPr>
              <w:t>AI assists analysis; a qualified human owns regulatory interpretation and approval</w:t>
            </w:r>
          </w:p>
        </w:tc>
      </w:tr>
    </w:tbl>
    <w:p>
      <w:pPr>
        <w:spacing w:after="0"/>
      </w:pPr>
    </w:p>
    <w:p>
      <w:pPr>
        <w:spacing w:before="160"/>
      </w:pPr>
      <w:r>
        <w:rPr>
          <w:color w:val="5B6573"/>
          <w:sz w:val="18"/>
        </w:rPr>
        <w:t>Version 1.0  |  October 2026</w:t>
      </w:r>
    </w:p>
    <w:p>
      <w:r>
        <w:br w:type="page"/>
      </w:r>
    </w:p>
    <w:p>
      <w:pPr>
        <w:pStyle w:val="Heading1"/>
        <w:keepNext/>
      </w:pPr>
      <w:r>
        <w:t>1. Mission</w:t>
      </w:r>
    </w:p>
    <w:p>
      <w:r>
        <w:t>Build a convincing vertical AI implementation that demonstrates how an agent can turn a dense regulatory change into concrete, facility-specific operational work. The prototype should feel like software built for one refinery, not a generic compliance chatbot.</w:t>
      </w:r>
    </w:p>
    <w:tbl>
      <w:tblPr>
        <w:tblW w:type="auto" w:w="0"/>
        <w:jc w:val="center"/>
        <w:tblLayout w:type="fixed"/>
        <w:tblLook w:firstColumn="1" w:firstRow="1" w:lastColumn="0" w:lastRow="0" w:noHBand="0" w:noVBand="1" w:val="04A0"/>
      </w:tblPr>
      <w:tblGrid>
        <w:gridCol w:w="115"/>
        <w:gridCol w:w="9936"/>
      </w:tblGrid>
      <w:tr>
        <w:trPr>
          <w:cantSplit/>
        </w:trPr>
        <w:tc>
          <w:tcPr>
            <w:tcW w:type="dxa" w:w="5112"/>
            <w:shd w:fill="2563EB"/>
          </w:tcPr>
          <w:p/>
        </w:tc>
        <w:tc>
          <w:tcPr>
            <w:tcW w:type="dxa" w:w="5112"/>
            <w:shd w:fill="F4F8FB"/>
            <w:tcMar>
              <w:top w:w="130" w:type="dxa"/>
              <w:start w:w="150" w:type="dxa"/>
              <w:bottom w:w="130" w:type="dxa"/>
              <w:end w:w="150" w:type="dxa"/>
            </w:tcMar>
          </w:tcPr>
          <w:p>
            <w:pPr>
              <w:spacing w:after="40"/>
            </w:pPr>
            <w:r>
              <w:rPr>
                <w:b/>
                <w:color w:val="12263A"/>
              </w:rPr>
              <w:t>The core transformation</w:t>
            </w:r>
          </w:p>
          <w:p>
            <w:pPr>
              <w:spacing w:after="0"/>
            </w:pPr>
            <w:r>
              <w:t>Before: a 1,000+ page revised permit and a team manually hunting for implications.  After: a ranked change register showing exactly which assets, SOPs, monitoring rules, calculations, forms, owners, and evidence packages are affected.</w:t>
            </w:r>
          </w:p>
        </w:tc>
      </w:tr>
    </w:tbl>
    <w:p>
      <w:pPr>
        <w:pStyle w:val="Heading2"/>
        <w:keepNext/>
      </w:pPr>
      <w:r>
        <w:t>Success is not “the AI answered a question.”</w:t>
      </w:r>
    </w:p>
    <w:p>
      <w:r>
        <w:t>Success means the system can visibly demonstrate this chain:</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cantSplit/>
        </w:trPr>
        <w:tc>
          <w:tcPr>
            <w:tcW w:type="dxa" w:w="1656"/>
            <w:shd w:fill="EAF4F4"/>
            <w:tcMar>
              <w:top w:w="110" w:type="dxa"/>
              <w:start w:w="80" w:type="dxa"/>
              <w:bottom w:w="110" w:type="dxa"/>
              <w:end w:w="80" w:type="dxa"/>
            </w:tcMar>
          </w:tcPr>
          <w:p>
            <w:pPr>
              <w:jc w:val="center"/>
            </w:pPr>
            <w:r>
              <w:rPr>
                <w:b/>
                <w:color w:val="12263A"/>
                <w:sz w:val="16"/>
              </w:rPr>
              <w:t>Permit change</w:t>
            </w:r>
          </w:p>
        </w:tc>
        <w:tc>
          <w:tcPr>
            <w:tcW w:type="dxa" w:w="1656"/>
            <w:shd w:fill="F5F8FA"/>
            <w:tcMar>
              <w:top w:w="110" w:type="dxa"/>
              <w:start w:w="80" w:type="dxa"/>
              <w:bottom w:w="110" w:type="dxa"/>
              <w:end w:w="80" w:type="dxa"/>
            </w:tcMar>
          </w:tcPr>
          <w:p>
            <w:pPr>
              <w:jc w:val="center"/>
            </w:pPr>
            <w:r>
              <w:rPr>
                <w:b/>
                <w:color w:val="12263A"/>
                <w:sz w:val="16"/>
              </w:rPr>
              <w:t>Affected asset</w:t>
            </w:r>
          </w:p>
        </w:tc>
        <w:tc>
          <w:tcPr>
            <w:tcW w:type="dxa" w:w="1656"/>
            <w:shd w:fill="EAF4F4"/>
            <w:tcMar>
              <w:top w:w="110" w:type="dxa"/>
              <w:start w:w="80" w:type="dxa"/>
              <w:bottom w:w="110" w:type="dxa"/>
              <w:end w:w="80" w:type="dxa"/>
            </w:tcMar>
          </w:tcPr>
          <w:p>
            <w:pPr>
              <w:jc w:val="center"/>
            </w:pPr>
            <w:r>
              <w:rPr>
                <w:b/>
                <w:color w:val="12263A"/>
                <w:sz w:val="16"/>
              </w:rPr>
              <w:t>Affected control</w:t>
            </w:r>
          </w:p>
        </w:tc>
        <w:tc>
          <w:tcPr>
            <w:tcW w:type="dxa" w:w="1656"/>
            <w:shd w:fill="F5F8FA"/>
            <w:tcMar>
              <w:top w:w="110" w:type="dxa"/>
              <w:start w:w="80" w:type="dxa"/>
              <w:bottom w:w="110" w:type="dxa"/>
              <w:end w:w="80" w:type="dxa"/>
            </w:tcMar>
          </w:tcPr>
          <w:p>
            <w:pPr>
              <w:jc w:val="center"/>
            </w:pPr>
            <w:r>
              <w:rPr>
                <w:b/>
                <w:color w:val="12263A"/>
                <w:sz w:val="16"/>
              </w:rPr>
              <w:t>Required action</w:t>
            </w:r>
          </w:p>
        </w:tc>
        <w:tc>
          <w:tcPr>
            <w:tcW w:type="dxa" w:w="1656"/>
            <w:shd w:fill="EAF4F4"/>
            <w:tcMar>
              <w:top w:w="110" w:type="dxa"/>
              <w:start w:w="80" w:type="dxa"/>
              <w:bottom w:w="110" w:type="dxa"/>
              <w:end w:w="80" w:type="dxa"/>
            </w:tcMar>
          </w:tcPr>
          <w:p>
            <w:pPr>
              <w:jc w:val="center"/>
            </w:pPr>
            <w:r>
              <w:rPr>
                <w:b/>
                <w:color w:val="12263A"/>
                <w:sz w:val="16"/>
              </w:rPr>
              <w:t>Evidence</w:t>
            </w:r>
          </w:p>
        </w:tc>
        <w:tc>
          <w:tcPr>
            <w:tcW w:type="dxa" w:w="1656"/>
            <w:shd w:fill="F5F8FA"/>
            <w:tcMar>
              <w:top w:w="110" w:type="dxa"/>
              <w:start w:w="80" w:type="dxa"/>
              <w:bottom w:w="110" w:type="dxa"/>
              <w:end w:w="80" w:type="dxa"/>
            </w:tcMar>
          </w:tcPr>
          <w:p>
            <w:pPr>
              <w:jc w:val="center"/>
            </w:pPr>
            <w:r>
              <w:rPr>
                <w:b/>
                <w:color w:val="12263A"/>
                <w:sz w:val="16"/>
              </w:rPr>
              <w:t>Human approval</w:t>
            </w:r>
          </w:p>
        </w:tc>
      </w:tr>
    </w:tbl>
    <w:p>
      <w:pPr>
        <w:spacing w:after="0"/>
      </w:pPr>
    </w:p>
    <w:p>
      <w:pPr>
        <w:pStyle w:val="Heading2"/>
        <w:keepNext/>
      </w:pPr>
      <w:r>
        <w:t>Portfolio objective</w:t>
      </w:r>
    </w:p>
    <w:p>
      <w:r>
        <w:t>The finished project should prove competence in document intelligence, RAG, structured data, agentic workflows, graph-style relationships, confidence scoring, human-in-the-loop design, auditability, and AI evaluation.</w:t>
      </w:r>
    </w:p>
    <w:p>
      <w:pPr>
        <w:pStyle w:val="Heading1"/>
        <w:keepNext/>
      </w:pPr>
      <w:r>
        <w:t>2. Real-World Rationale</w:t>
      </w:r>
    </w:p>
    <w:p>
      <w:r>
        <w:t>This workflow is grounded in real refinery permitting work. Barr describes supporting Flint Hills Resources’ Pine Bend Refinery with a custom AI-assisted review of a 1,500-page draft air permit. Barr states that a traditional review would have required weeks of manual work by experienced staff. Their workflow performed line-by-line comparison, classified changes, assigned confidence, and supported expert review.</w:t>
      </w:r>
    </w:p>
    <w:p>
      <w:r>
        <w:t>Title V operating permits contain enforceable monitoring, recordkeeping, and reporting obligations. Large refinery enforcement actions also demonstrate that air-compliance failures can carry substantial financial consequences. This prototype is not intended to calculate legal exposure; the point is that the workflow is attached to real operational risk.</w:t>
      </w:r>
    </w:p>
    <w:p>
      <w:pPr>
        <w:pStyle w:val="Heading2"/>
        <w:keepNext/>
      </w:pPr>
      <w:r>
        <w:t>Why this is a good AI project</w:t>
      </w:r>
    </w:p>
    <w:p>
      <w:pPr>
        <w:pStyle w:val="ListBullet"/>
        <w:spacing w:after="50"/>
      </w:pPr>
      <w:r>
        <w:rPr>
          <w:b/>
        </w:rPr>
        <w:t xml:space="preserve">Specific trigger: </w:t>
      </w:r>
      <w:r>
        <w:t>a new or revised permit arrives.</w:t>
      </w:r>
    </w:p>
    <w:p>
      <w:pPr>
        <w:pStyle w:val="ListBullet"/>
        <w:spacing w:after="50"/>
      </w:pPr>
      <w:r>
        <w:rPr>
          <w:b/>
        </w:rPr>
        <w:t xml:space="preserve">Specific buyer: </w:t>
      </w:r>
      <w:r>
        <w:t>environmental / air-quality compliance team.</w:t>
      </w:r>
    </w:p>
    <w:p>
      <w:pPr>
        <w:pStyle w:val="ListBullet"/>
        <w:spacing w:after="50"/>
      </w:pPr>
      <w:r>
        <w:rPr>
          <w:b/>
        </w:rPr>
        <w:t xml:space="preserve">Specific job: </w:t>
      </w:r>
      <w:r>
        <w:t>understand changes and implement them correctly.</w:t>
      </w:r>
    </w:p>
    <w:p>
      <w:pPr>
        <w:pStyle w:val="ListBullet"/>
        <w:spacing w:after="50"/>
      </w:pPr>
      <w:r>
        <w:rPr>
          <w:b/>
        </w:rPr>
        <w:t xml:space="preserve">Facility-specific context: </w:t>
      </w:r>
      <w:r>
        <w:t>the same permit sentence can affect different assets and controls at different sites.</w:t>
      </w:r>
    </w:p>
    <w:p>
      <w:pPr>
        <w:pStyle w:val="ListBullet"/>
        <w:spacing w:after="50"/>
      </w:pPr>
      <w:r>
        <w:rPr>
          <w:b/>
        </w:rPr>
        <w:t xml:space="preserve">High auditability requirement: </w:t>
      </w:r>
      <w:r>
        <w:t>every conclusion should trace back to source text and facility evidence.</w:t>
      </w:r>
    </w:p>
    <w:p>
      <w:pPr>
        <w:pStyle w:val="ListBullet"/>
        <w:spacing w:after="50"/>
      </w:pPr>
      <w:r>
        <w:rPr>
          <w:b/>
        </w:rPr>
        <w:t xml:space="preserve">Natural human approval point: </w:t>
      </w:r>
      <w:r>
        <w:t>regulatory judgments and operational changes are never silently auto-approved.</w:t>
      </w:r>
    </w:p>
    <w:p>
      <w:pPr>
        <w:pStyle w:val="Heading1"/>
        <w:keepNext/>
      </w:pPr>
      <w:r>
        <w:t>3. User &amp; Job To Be Done</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3024"/>
            <w:shd w:fill="12263A"/>
            <w:tcMar>
              <w:top w:w="85" w:type="dxa"/>
              <w:start w:w="90" w:type="dxa"/>
              <w:bottom w:w="85" w:type="dxa"/>
              <w:end w:w="90" w:type="dxa"/>
            </w:tcMar>
            <w:vAlign w:val="center"/>
          </w:tcPr>
          <w:p>
            <w:r>
              <w:rPr>
                <w:b/>
                <w:color w:val="FFFFFF"/>
                <w:sz w:val="17"/>
              </w:rPr>
              <w:t>Persona</w:t>
            </w:r>
          </w:p>
        </w:tc>
        <w:tc>
          <w:tcPr>
            <w:tcW w:type="dxa" w:w="6912"/>
            <w:shd w:fill="12263A"/>
            <w:tcMar>
              <w:top w:w="85" w:type="dxa"/>
              <w:start w:w="90" w:type="dxa"/>
              <w:bottom w:w="85" w:type="dxa"/>
              <w:end w:w="90" w:type="dxa"/>
            </w:tcMar>
            <w:vAlign w:val="center"/>
          </w:tcPr>
          <w:p>
            <w:r>
              <w:rPr>
                <w:b/>
                <w:color w:val="FFFFFF"/>
                <w:sz w:val="17"/>
              </w:rPr>
              <w:t>What they need</w:t>
            </w:r>
          </w:p>
        </w:tc>
      </w:tr>
      <w:tr>
        <w:trPr>
          <w:cantSplit/>
        </w:trPr>
        <w:tc>
          <w:tcPr>
            <w:tcW w:type="dxa" w:w="3024"/>
            <w:tcMar>
              <w:top w:w="75" w:type="dxa"/>
              <w:start w:w="85" w:type="dxa"/>
              <w:bottom w:w="75" w:type="dxa"/>
              <w:end w:w="85" w:type="dxa"/>
            </w:tcMar>
            <w:vAlign w:val="top"/>
          </w:tcPr>
          <w:p>
            <w:pPr>
              <w:spacing w:after="0"/>
            </w:pPr>
            <w:r>
              <w:rPr>
                <w:sz w:val="16"/>
              </w:rPr>
              <w:t>Environmental / Air Quality Engineer</w:t>
            </w:r>
          </w:p>
        </w:tc>
        <w:tc>
          <w:tcPr>
            <w:tcW w:type="dxa" w:w="6912"/>
            <w:tcMar>
              <w:top w:w="75" w:type="dxa"/>
              <w:start w:w="85" w:type="dxa"/>
              <w:bottom w:w="75" w:type="dxa"/>
              <w:end w:w="85" w:type="dxa"/>
            </w:tcMar>
            <w:vAlign w:val="top"/>
          </w:tcPr>
          <w:p>
            <w:pPr>
              <w:spacing w:after="0"/>
            </w:pPr>
            <w:r>
              <w:rPr>
                <w:sz w:val="16"/>
              </w:rPr>
              <w:t>See substantive permit changes, affected equipment, required control updates, deadlines, and evidence.</w:t>
            </w:r>
          </w:p>
        </w:tc>
      </w:tr>
      <w:tr>
        <w:trPr>
          <w:cantSplit/>
        </w:trPr>
        <w:tc>
          <w:tcPr>
            <w:tcW w:type="dxa" w:w="3024"/>
            <w:tcMar>
              <w:top w:w="75" w:type="dxa"/>
              <w:start w:w="85" w:type="dxa"/>
              <w:bottom w:w="75" w:type="dxa"/>
              <w:end w:w="85" w:type="dxa"/>
            </w:tcMar>
            <w:vAlign w:val="top"/>
          </w:tcPr>
          <w:p>
            <w:pPr>
              <w:spacing w:after="0"/>
            </w:pPr>
            <w:r>
              <w:rPr>
                <w:sz w:val="16"/>
              </w:rPr>
              <w:t>Compliance Manager</w:t>
            </w:r>
          </w:p>
        </w:tc>
        <w:tc>
          <w:tcPr>
            <w:tcW w:type="dxa" w:w="6912"/>
            <w:tcMar>
              <w:top w:w="75" w:type="dxa"/>
              <w:start w:w="85" w:type="dxa"/>
              <w:bottom w:w="75" w:type="dxa"/>
              <w:end w:w="85" w:type="dxa"/>
            </w:tcMar>
            <w:vAlign w:val="top"/>
          </w:tcPr>
          <w:p>
            <w:pPr>
              <w:spacing w:after="0"/>
            </w:pPr>
            <w:r>
              <w:rPr>
                <w:sz w:val="16"/>
              </w:rPr>
              <w:t>Know which high-impact changes are unresolved and who owns them.</w:t>
            </w:r>
          </w:p>
        </w:tc>
      </w:tr>
      <w:tr>
        <w:trPr>
          <w:cantSplit/>
        </w:trPr>
        <w:tc>
          <w:tcPr>
            <w:tcW w:type="dxa" w:w="3024"/>
            <w:tcMar>
              <w:top w:w="75" w:type="dxa"/>
              <w:start w:w="85" w:type="dxa"/>
              <w:bottom w:w="75" w:type="dxa"/>
              <w:end w:w="85" w:type="dxa"/>
            </w:tcMar>
            <w:vAlign w:val="top"/>
          </w:tcPr>
          <w:p>
            <w:pPr>
              <w:spacing w:after="0"/>
            </w:pPr>
            <w:r>
              <w:rPr>
                <w:sz w:val="16"/>
              </w:rPr>
              <w:t>Operations Engineer</w:t>
            </w:r>
          </w:p>
        </w:tc>
        <w:tc>
          <w:tcPr>
            <w:tcW w:type="dxa" w:w="6912"/>
            <w:tcMar>
              <w:top w:w="75" w:type="dxa"/>
              <w:start w:w="85" w:type="dxa"/>
              <w:bottom w:w="75" w:type="dxa"/>
              <w:end w:w="85" w:type="dxa"/>
            </w:tcMar>
            <w:vAlign w:val="top"/>
          </w:tcPr>
          <w:p>
            <w:pPr>
              <w:spacing w:after="0"/>
            </w:pPr>
            <w:r>
              <w:rPr>
                <w:sz w:val="16"/>
              </w:rPr>
              <w:t>Understand exactly what operating procedure, limit, alarm, inspection, or monitoring behavior changes.</w:t>
            </w:r>
          </w:p>
        </w:tc>
      </w:tr>
      <w:tr>
        <w:trPr>
          <w:cantSplit/>
        </w:trPr>
        <w:tc>
          <w:tcPr>
            <w:tcW w:type="dxa" w:w="3024"/>
            <w:tcMar>
              <w:top w:w="75" w:type="dxa"/>
              <w:start w:w="85" w:type="dxa"/>
              <w:bottom w:w="75" w:type="dxa"/>
              <w:end w:w="85" w:type="dxa"/>
            </w:tcMar>
            <w:vAlign w:val="top"/>
          </w:tcPr>
          <w:p>
            <w:pPr>
              <w:spacing w:after="0"/>
            </w:pPr>
            <w:r>
              <w:rPr>
                <w:sz w:val="16"/>
              </w:rPr>
              <w:t>Auditor / Reviewer</w:t>
            </w:r>
          </w:p>
        </w:tc>
        <w:tc>
          <w:tcPr>
            <w:tcW w:type="dxa" w:w="6912"/>
            <w:tcMar>
              <w:top w:w="75" w:type="dxa"/>
              <w:start w:w="85" w:type="dxa"/>
              <w:bottom w:w="75" w:type="dxa"/>
              <w:end w:w="85" w:type="dxa"/>
            </w:tcMar>
            <w:vAlign w:val="top"/>
          </w:tcPr>
          <w:p>
            <w:pPr>
              <w:spacing w:after="0"/>
            </w:pPr>
            <w:r>
              <w:rPr>
                <w:sz w:val="16"/>
              </w:rPr>
              <w:t>Trace every implementation decision back to the permit clause and supporting internal evidence.</w:t>
            </w:r>
          </w:p>
        </w:tc>
      </w:tr>
    </w:tbl>
    <w:p>
      <w:pPr>
        <w:spacing w:after="0"/>
      </w:pPr>
    </w:p>
    <w:p>
      <w:pPr>
        <w:pStyle w:val="Heading2"/>
        <w:keepNext/>
      </w:pPr>
      <w:r>
        <w:t>Primary job statement</w:t>
      </w:r>
    </w:p>
    <w:tbl>
      <w:tblPr>
        <w:tblW w:type="auto" w:w="0"/>
        <w:jc w:val="center"/>
        <w:tblLayout w:type="fixed"/>
        <w:tblLook w:firstColumn="1" w:firstRow="1" w:lastColumn="0" w:lastRow="0" w:noHBand="0" w:noVBand="1" w:val="04A0"/>
      </w:tblPr>
      <w:tblGrid>
        <w:gridCol w:w="115"/>
        <w:gridCol w:w="9936"/>
      </w:tblGrid>
      <w:tr>
        <w:trPr>
          <w:cantSplit/>
        </w:trPr>
        <w:tc>
          <w:tcPr>
            <w:tcW w:type="dxa" w:w="5112"/>
            <w:shd w:fill="B7791F"/>
          </w:tcPr>
          <w:p/>
        </w:tc>
        <w:tc>
          <w:tcPr>
            <w:tcW w:type="dxa" w:w="5112"/>
            <w:shd w:fill="FFF8E7"/>
            <w:tcMar>
              <w:top w:w="130" w:type="dxa"/>
              <w:start w:w="150" w:type="dxa"/>
              <w:bottom w:w="130" w:type="dxa"/>
              <w:end w:w="150" w:type="dxa"/>
            </w:tcMar>
          </w:tcPr>
          <w:p>
            <w:pPr>
              <w:spacing w:after="40"/>
            </w:pPr>
            <w:r>
              <w:rPr>
                <w:b/>
                <w:color w:val="12263A"/>
              </w:rPr>
              <w:t>When a revised air permit arrives…</w:t>
            </w:r>
          </w:p>
          <w:p>
            <w:pPr>
              <w:spacing w:after="0"/>
            </w:pPr>
            <w:r>
              <w:t>…help me identify what materially changed, determine where those changes touch our refinery, create the implementation actions, and prove that each action was reviewed and completed before the requirement becomes effective.</w:t>
            </w:r>
          </w:p>
        </w:tc>
      </w:tr>
    </w:tbl>
    <w:p>
      <w:pPr>
        <w:pStyle w:val="Heading1"/>
        <w:keepNext/>
      </w:pPr>
      <w:r>
        <w:t>4. Scope</w:t>
      </w:r>
    </w:p>
    <w:p>
      <w:pPr>
        <w:pStyle w:val="Heading2"/>
        <w:keepNext/>
      </w:pPr>
      <w:r>
        <w:t>V1 must do</w:t>
      </w:r>
    </w:p>
    <w:p>
      <w:pPr>
        <w:pStyle w:val="ListBullet"/>
        <w:spacing w:after="50"/>
      </w:pPr>
      <w:r>
        <w:t>Store two permit versions: current and proposed/reissued.</w:t>
      </w:r>
    </w:p>
    <w:p>
      <w:pPr>
        <w:pStyle w:val="ListBullet"/>
        <w:spacing w:after="50"/>
      </w:pPr>
      <w:r>
        <w:t>Extract permit requirements into structured records with source-page citations.</w:t>
      </w:r>
    </w:p>
    <w:p>
      <w:pPr>
        <w:pStyle w:val="ListBullet"/>
        <w:spacing w:after="50"/>
      </w:pPr>
      <w:r>
        <w:t>Compare old vs. new requirements using semantic and numeric change detection.</w:t>
      </w:r>
    </w:p>
    <w:p>
      <w:pPr>
        <w:pStyle w:val="ListBullet"/>
        <w:spacing w:after="50"/>
      </w:pPr>
      <w:r>
        <w:t>Classify changes by impact and confidence.</w:t>
      </w:r>
    </w:p>
    <w:p>
      <w:pPr>
        <w:pStyle w:val="ListBullet"/>
        <w:spacing w:after="50"/>
      </w:pPr>
      <w:r>
        <w:t>Maintain a synthetic facility model: emission units, monitoring points, SOPs, forms, calculations, training documents, and owners.</w:t>
      </w:r>
    </w:p>
    <w:p>
      <w:pPr>
        <w:pStyle w:val="ListBullet"/>
        <w:spacing w:after="50"/>
      </w:pPr>
      <w:r>
        <w:t>Map changed requirements to relevant facility entities.</w:t>
      </w:r>
    </w:p>
    <w:p>
      <w:pPr>
        <w:pStyle w:val="ListBullet"/>
        <w:spacing w:after="50"/>
      </w:pPr>
      <w:r>
        <w:t>Detect conflicts between new requirements and existing controls.</w:t>
      </w:r>
    </w:p>
    <w:p>
      <w:pPr>
        <w:pStyle w:val="ListBullet"/>
        <w:spacing w:after="50"/>
      </w:pPr>
      <w:r>
        <w:t>Generate a proposed implementation plan.</w:t>
      </w:r>
    </w:p>
    <w:p>
      <w:pPr>
        <w:pStyle w:val="ListBullet"/>
        <w:spacing w:after="50"/>
      </w:pPr>
      <w:r>
        <w:t>Create review tasks with owners, status, due date, and evidence requirements.</w:t>
      </w:r>
    </w:p>
    <w:p>
      <w:pPr>
        <w:pStyle w:val="ListBullet"/>
        <w:spacing w:after="50"/>
      </w:pPr>
      <w:r>
        <w:t>Accept implementation evidence and run an AI evidence-completeness check.</w:t>
      </w:r>
    </w:p>
    <w:p>
      <w:pPr>
        <w:pStyle w:val="ListBullet"/>
        <w:spacing w:after="50"/>
      </w:pPr>
      <w:r>
        <w:t>Require explicit human approval before a change is marked closed.</w:t>
      </w:r>
    </w:p>
    <w:p>
      <w:pPr>
        <w:pStyle w:val="ListBullet"/>
        <w:spacing w:after="50"/>
      </w:pPr>
      <w:r>
        <w:t>Provide an audit trail showing what the AI read, inferred, proposed, and what the human approved.</w:t>
      </w:r>
    </w:p>
    <w:p>
      <w:pPr>
        <w:pStyle w:val="Heading2"/>
        <w:keepNext/>
      </w:pPr>
      <w:r>
        <w:t>V1 explicitly does NOT do</w:t>
      </w:r>
    </w:p>
    <w:p>
      <w:pPr>
        <w:pStyle w:val="ListBullet"/>
        <w:spacing w:after="50"/>
      </w:pPr>
      <w:r>
        <w:t>Submit anything to a regulator.</w:t>
      </w:r>
    </w:p>
    <w:p>
      <w:pPr>
        <w:pStyle w:val="ListBullet"/>
        <w:spacing w:after="50"/>
      </w:pPr>
      <w:r>
        <w:t>Make final legal or regulatory determinations.</w:t>
      </w:r>
    </w:p>
    <w:p>
      <w:pPr>
        <w:pStyle w:val="ListBullet"/>
        <w:spacing w:after="50"/>
      </w:pPr>
      <w:r>
        <w:t>Change PLC, DCS, CEMS, alarm, or plant-control settings.</w:t>
      </w:r>
    </w:p>
    <w:p>
      <w:pPr>
        <w:pStyle w:val="ListBullet"/>
        <w:spacing w:after="50"/>
      </w:pPr>
      <w:r>
        <w:t>Connect to a real refinery system.</w:t>
      </w:r>
    </w:p>
    <w:p>
      <w:pPr>
        <w:pStyle w:val="ListBullet"/>
        <w:spacing w:after="50"/>
      </w:pPr>
      <w:r>
        <w:t>Predict enforcement penalties.</w:t>
      </w:r>
    </w:p>
    <w:p>
      <w:pPr>
        <w:pStyle w:val="ListBullet"/>
        <w:spacing w:after="50"/>
      </w:pPr>
      <w:r>
        <w:t>Replace environmental engineers or legal counsel.</w:t>
      </w:r>
    </w:p>
    <w:p>
      <w:pPr>
        <w:pStyle w:val="ListBullet"/>
        <w:spacing w:after="50"/>
      </w:pPr>
      <w:r>
        <w:t>Attempt every type of air permit or every jurisdiction.</w:t>
      </w:r>
    </w:p>
    <w:p>
      <w:pPr>
        <w:pStyle w:val="ListBullet"/>
        <w:spacing w:after="50"/>
      </w:pPr>
      <w:r>
        <w:t>Build billing, CRM, multi-tenant SaaS, public sign-up, or subscription management.</w:t>
      </w:r>
    </w:p>
    <w:p>
      <w:pPr>
        <w:pStyle w:val="Heading1"/>
        <w:keepNext/>
      </w:pPr>
      <w:r>
        <w:t>5. Demo Scenario</w:t>
      </w:r>
    </w:p>
    <w:p>
      <w:r>
        <w:t>Create a fictional refinery named NorthRiver Refining. The demo should be deterministic enough that a reviewer can understand the full workflow in under five minutes.</w:t>
      </w:r>
    </w:p>
    <w:p>
      <w:pPr>
        <w:pStyle w:val="Heading2"/>
        <w:keepNext/>
      </w:pPr>
      <w:r>
        <w:t>Synthetic refinery contents</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3600"/>
            <w:shd w:fill="12263A"/>
            <w:tcMar>
              <w:top w:w="85" w:type="dxa"/>
              <w:start w:w="90" w:type="dxa"/>
              <w:bottom w:w="85" w:type="dxa"/>
              <w:end w:w="90" w:type="dxa"/>
            </w:tcMar>
            <w:vAlign w:val="center"/>
          </w:tcPr>
          <w:p>
            <w:r>
              <w:rPr>
                <w:b/>
                <w:color w:val="FFFFFF"/>
                <w:sz w:val="17"/>
              </w:rPr>
              <w:t>Dataset</w:t>
            </w:r>
          </w:p>
        </w:tc>
        <w:tc>
          <w:tcPr>
            <w:tcW w:type="dxa" w:w="6336"/>
            <w:shd w:fill="12263A"/>
            <w:tcMar>
              <w:top w:w="85" w:type="dxa"/>
              <w:start w:w="90" w:type="dxa"/>
              <w:bottom w:w="85" w:type="dxa"/>
              <w:end w:w="90" w:type="dxa"/>
            </w:tcMar>
            <w:vAlign w:val="center"/>
          </w:tcPr>
          <w:p>
            <w:r>
              <w:rPr>
                <w:b/>
                <w:color w:val="FFFFFF"/>
                <w:sz w:val="17"/>
              </w:rPr>
              <w:t>V1 target</w:t>
            </w:r>
          </w:p>
        </w:tc>
      </w:tr>
      <w:tr>
        <w:trPr>
          <w:cantSplit/>
        </w:trPr>
        <w:tc>
          <w:tcPr>
            <w:tcW w:type="dxa" w:w="3600"/>
            <w:tcMar>
              <w:top w:w="75" w:type="dxa"/>
              <w:start w:w="85" w:type="dxa"/>
              <w:bottom w:w="75" w:type="dxa"/>
              <w:end w:w="85" w:type="dxa"/>
            </w:tcMar>
            <w:vAlign w:val="top"/>
          </w:tcPr>
          <w:p>
            <w:pPr>
              <w:spacing w:after="0"/>
            </w:pPr>
            <w:r>
              <w:rPr>
                <w:sz w:val="16"/>
              </w:rPr>
              <w:t>Air permit versions</w:t>
            </w:r>
          </w:p>
        </w:tc>
        <w:tc>
          <w:tcPr>
            <w:tcW w:type="dxa" w:w="6336"/>
            <w:tcMar>
              <w:top w:w="75" w:type="dxa"/>
              <w:start w:w="85" w:type="dxa"/>
              <w:bottom w:w="75" w:type="dxa"/>
              <w:end w:w="85" w:type="dxa"/>
            </w:tcMar>
            <w:vAlign w:val="top"/>
          </w:tcPr>
          <w:p>
            <w:pPr>
              <w:spacing w:after="0"/>
            </w:pPr>
            <w:r>
              <w:rPr>
                <w:sz w:val="16"/>
              </w:rPr>
              <w:t>2 PDFs: Current Permit + Revised Permit</w:t>
            </w:r>
          </w:p>
        </w:tc>
      </w:tr>
      <w:tr>
        <w:trPr>
          <w:cantSplit/>
        </w:trPr>
        <w:tc>
          <w:tcPr>
            <w:tcW w:type="dxa" w:w="3600"/>
            <w:tcMar>
              <w:top w:w="75" w:type="dxa"/>
              <w:start w:w="85" w:type="dxa"/>
              <w:bottom w:w="75" w:type="dxa"/>
              <w:end w:w="85" w:type="dxa"/>
            </w:tcMar>
            <w:vAlign w:val="top"/>
          </w:tcPr>
          <w:p>
            <w:pPr>
              <w:spacing w:after="0"/>
            </w:pPr>
            <w:r>
              <w:rPr>
                <w:sz w:val="16"/>
              </w:rPr>
              <w:t>Emission units</w:t>
            </w:r>
          </w:p>
        </w:tc>
        <w:tc>
          <w:tcPr>
            <w:tcW w:type="dxa" w:w="6336"/>
            <w:tcMar>
              <w:top w:w="75" w:type="dxa"/>
              <w:start w:w="85" w:type="dxa"/>
              <w:bottom w:w="75" w:type="dxa"/>
              <w:end w:w="85" w:type="dxa"/>
            </w:tcMar>
            <w:vAlign w:val="top"/>
          </w:tcPr>
          <w:p>
            <w:pPr>
              <w:spacing w:after="0"/>
            </w:pPr>
            <w:r>
              <w:rPr>
                <w:sz w:val="16"/>
              </w:rPr>
              <w:t>20–30</w:t>
            </w:r>
          </w:p>
        </w:tc>
      </w:tr>
      <w:tr>
        <w:trPr>
          <w:cantSplit/>
        </w:trPr>
        <w:tc>
          <w:tcPr>
            <w:tcW w:type="dxa" w:w="3600"/>
            <w:tcMar>
              <w:top w:w="75" w:type="dxa"/>
              <w:start w:w="85" w:type="dxa"/>
              <w:bottom w:w="75" w:type="dxa"/>
              <w:end w:w="85" w:type="dxa"/>
            </w:tcMar>
            <w:vAlign w:val="top"/>
          </w:tcPr>
          <w:p>
            <w:pPr>
              <w:spacing w:after="0"/>
            </w:pPr>
            <w:r>
              <w:rPr>
                <w:sz w:val="16"/>
              </w:rPr>
              <w:t>SOPs</w:t>
            </w:r>
          </w:p>
        </w:tc>
        <w:tc>
          <w:tcPr>
            <w:tcW w:type="dxa" w:w="6336"/>
            <w:tcMar>
              <w:top w:w="75" w:type="dxa"/>
              <w:start w:w="85" w:type="dxa"/>
              <w:bottom w:w="75" w:type="dxa"/>
              <w:end w:w="85" w:type="dxa"/>
            </w:tcMar>
            <w:vAlign w:val="top"/>
          </w:tcPr>
          <w:p>
            <w:pPr>
              <w:spacing w:after="0"/>
            </w:pPr>
            <w:r>
              <w:rPr>
                <w:sz w:val="16"/>
              </w:rPr>
              <w:t>12–20 short documents</w:t>
            </w:r>
          </w:p>
        </w:tc>
      </w:tr>
      <w:tr>
        <w:trPr>
          <w:cantSplit/>
        </w:trPr>
        <w:tc>
          <w:tcPr>
            <w:tcW w:type="dxa" w:w="3600"/>
            <w:tcMar>
              <w:top w:w="75" w:type="dxa"/>
              <w:start w:w="85" w:type="dxa"/>
              <w:bottom w:w="75" w:type="dxa"/>
              <w:end w:w="85" w:type="dxa"/>
            </w:tcMar>
            <w:vAlign w:val="top"/>
          </w:tcPr>
          <w:p>
            <w:pPr>
              <w:spacing w:after="0"/>
            </w:pPr>
            <w:r>
              <w:rPr>
                <w:sz w:val="16"/>
              </w:rPr>
              <w:t>Monitoring / inspection rules</w:t>
            </w:r>
          </w:p>
        </w:tc>
        <w:tc>
          <w:tcPr>
            <w:tcW w:type="dxa" w:w="6336"/>
            <w:tcMar>
              <w:top w:w="75" w:type="dxa"/>
              <w:start w:w="85" w:type="dxa"/>
              <w:bottom w:w="75" w:type="dxa"/>
              <w:end w:w="85" w:type="dxa"/>
            </w:tcMar>
            <w:vAlign w:val="top"/>
          </w:tcPr>
          <w:p>
            <w:pPr>
              <w:spacing w:after="0"/>
            </w:pPr>
            <w:r>
              <w:rPr>
                <w:sz w:val="16"/>
              </w:rPr>
              <w:t>20–40 structured controls</w:t>
            </w:r>
          </w:p>
        </w:tc>
      </w:tr>
      <w:tr>
        <w:trPr>
          <w:cantSplit/>
        </w:trPr>
        <w:tc>
          <w:tcPr>
            <w:tcW w:type="dxa" w:w="3600"/>
            <w:tcMar>
              <w:top w:w="75" w:type="dxa"/>
              <w:start w:w="85" w:type="dxa"/>
              <w:bottom w:w="75" w:type="dxa"/>
              <w:end w:w="85" w:type="dxa"/>
            </w:tcMar>
            <w:vAlign w:val="top"/>
          </w:tcPr>
          <w:p>
            <w:pPr>
              <w:spacing w:after="0"/>
            </w:pPr>
            <w:r>
              <w:rPr>
                <w:sz w:val="16"/>
              </w:rPr>
              <w:t>Forms / templates</w:t>
            </w:r>
          </w:p>
        </w:tc>
        <w:tc>
          <w:tcPr>
            <w:tcW w:type="dxa" w:w="6336"/>
            <w:tcMar>
              <w:top w:w="75" w:type="dxa"/>
              <w:start w:w="85" w:type="dxa"/>
              <w:bottom w:w="75" w:type="dxa"/>
              <w:end w:w="85" w:type="dxa"/>
            </w:tcMar>
            <w:vAlign w:val="top"/>
          </w:tcPr>
          <w:p>
            <w:pPr>
              <w:spacing w:after="0"/>
            </w:pPr>
            <w:r>
              <w:rPr>
                <w:sz w:val="16"/>
              </w:rPr>
              <w:t>5–10</w:t>
            </w:r>
          </w:p>
        </w:tc>
      </w:tr>
      <w:tr>
        <w:trPr>
          <w:cantSplit/>
        </w:trPr>
        <w:tc>
          <w:tcPr>
            <w:tcW w:type="dxa" w:w="3600"/>
            <w:tcMar>
              <w:top w:w="75" w:type="dxa"/>
              <w:start w:w="85" w:type="dxa"/>
              <w:bottom w:w="75" w:type="dxa"/>
              <w:end w:w="85" w:type="dxa"/>
            </w:tcMar>
            <w:vAlign w:val="top"/>
          </w:tcPr>
          <w:p>
            <w:pPr>
              <w:spacing w:after="0"/>
            </w:pPr>
            <w:r>
              <w:rPr>
                <w:sz w:val="16"/>
              </w:rPr>
              <w:t>Training documents</w:t>
            </w:r>
          </w:p>
        </w:tc>
        <w:tc>
          <w:tcPr>
            <w:tcW w:type="dxa" w:w="6336"/>
            <w:tcMar>
              <w:top w:w="75" w:type="dxa"/>
              <w:start w:w="85" w:type="dxa"/>
              <w:bottom w:w="75" w:type="dxa"/>
              <w:end w:w="85" w:type="dxa"/>
            </w:tcMar>
            <w:vAlign w:val="top"/>
          </w:tcPr>
          <w:p>
            <w:pPr>
              <w:spacing w:after="0"/>
            </w:pPr>
            <w:r>
              <w:rPr>
                <w:sz w:val="16"/>
              </w:rPr>
              <w:t>3–6</w:t>
            </w:r>
          </w:p>
        </w:tc>
      </w:tr>
      <w:tr>
        <w:trPr>
          <w:cantSplit/>
        </w:trPr>
        <w:tc>
          <w:tcPr>
            <w:tcW w:type="dxa" w:w="3600"/>
            <w:tcMar>
              <w:top w:w="75" w:type="dxa"/>
              <w:start w:w="85" w:type="dxa"/>
              <w:bottom w:w="75" w:type="dxa"/>
              <w:end w:w="85" w:type="dxa"/>
            </w:tcMar>
            <w:vAlign w:val="top"/>
          </w:tcPr>
          <w:p>
            <w:pPr>
              <w:spacing w:after="0"/>
            </w:pPr>
            <w:r>
              <w:rPr>
                <w:sz w:val="16"/>
              </w:rPr>
              <w:t>Responsible staff</w:t>
            </w:r>
          </w:p>
        </w:tc>
        <w:tc>
          <w:tcPr>
            <w:tcW w:type="dxa" w:w="6336"/>
            <w:tcMar>
              <w:top w:w="75" w:type="dxa"/>
              <w:start w:w="85" w:type="dxa"/>
              <w:bottom w:w="75" w:type="dxa"/>
              <w:end w:w="85" w:type="dxa"/>
            </w:tcMar>
            <w:vAlign w:val="top"/>
          </w:tcPr>
          <w:p>
            <w:pPr>
              <w:spacing w:after="0"/>
            </w:pPr>
            <w:r>
              <w:rPr>
                <w:sz w:val="16"/>
              </w:rPr>
              <w:t>6–10 fictional users</w:t>
            </w:r>
          </w:p>
        </w:tc>
      </w:tr>
      <w:tr>
        <w:trPr>
          <w:cantSplit/>
        </w:trPr>
        <w:tc>
          <w:tcPr>
            <w:tcW w:type="dxa" w:w="3600"/>
            <w:tcMar>
              <w:top w:w="75" w:type="dxa"/>
              <w:start w:w="85" w:type="dxa"/>
              <w:bottom w:w="75" w:type="dxa"/>
              <w:end w:w="85" w:type="dxa"/>
            </w:tcMar>
            <w:vAlign w:val="top"/>
          </w:tcPr>
          <w:p>
            <w:pPr>
              <w:spacing w:after="0"/>
            </w:pPr>
            <w:r>
              <w:rPr>
                <w:sz w:val="16"/>
              </w:rPr>
              <w:t>Historical monitoring values</w:t>
            </w:r>
          </w:p>
        </w:tc>
        <w:tc>
          <w:tcPr>
            <w:tcW w:type="dxa" w:w="6336"/>
            <w:tcMar>
              <w:top w:w="75" w:type="dxa"/>
              <w:start w:w="85" w:type="dxa"/>
              <w:bottom w:w="75" w:type="dxa"/>
              <w:end w:w="85" w:type="dxa"/>
            </w:tcMar>
            <w:vAlign w:val="top"/>
          </w:tcPr>
          <w:p>
            <w:pPr>
              <w:spacing w:after="0"/>
            </w:pPr>
            <w:r>
              <w:rPr>
                <w:sz w:val="16"/>
              </w:rPr>
              <w:t>Optional: 6–12 months for selected units</w:t>
            </w:r>
          </w:p>
        </w:tc>
      </w:tr>
      <w:tr>
        <w:trPr>
          <w:cantSplit/>
        </w:trPr>
        <w:tc>
          <w:tcPr>
            <w:tcW w:type="dxa" w:w="3600"/>
            <w:tcMar>
              <w:top w:w="75" w:type="dxa"/>
              <w:start w:w="85" w:type="dxa"/>
              <w:bottom w:w="75" w:type="dxa"/>
              <w:end w:w="85" w:type="dxa"/>
            </w:tcMar>
            <w:vAlign w:val="top"/>
          </w:tcPr>
          <w:p>
            <w:pPr>
              <w:spacing w:after="0"/>
            </w:pPr>
            <w:r>
              <w:rPr>
                <w:sz w:val="16"/>
              </w:rPr>
              <w:t>Known ground-truth changes</w:t>
            </w:r>
          </w:p>
        </w:tc>
        <w:tc>
          <w:tcPr>
            <w:tcW w:type="dxa" w:w="6336"/>
            <w:tcMar>
              <w:top w:w="75" w:type="dxa"/>
              <w:start w:w="85" w:type="dxa"/>
              <w:bottom w:w="75" w:type="dxa"/>
              <w:end w:w="85" w:type="dxa"/>
            </w:tcMar>
            <w:vAlign w:val="top"/>
          </w:tcPr>
          <w:p>
            <w:pPr>
              <w:spacing w:after="0"/>
            </w:pPr>
            <w:r>
              <w:rPr>
                <w:sz w:val="16"/>
              </w:rPr>
              <w:t>15–25, including 4–6 high-impact examples</w:t>
            </w:r>
          </w:p>
        </w:tc>
      </w:tr>
    </w:tbl>
    <w:p>
      <w:pPr>
        <w:spacing w:after="0"/>
      </w:pPr>
    </w:p>
    <w:p>
      <w:pPr>
        <w:pStyle w:val="Heading2"/>
        <w:keepNext/>
      </w:pPr>
      <w:r>
        <w:t>Hero demo case</w:t>
      </w:r>
    </w:p>
    <w:tbl>
      <w:tblPr>
        <w:tblW w:type="auto" w:w="0"/>
        <w:jc w:val="center"/>
        <w:tblLayout w:type="fixed"/>
        <w:tblLook w:firstColumn="1" w:firstRow="1" w:lastColumn="0" w:lastRow="0" w:noHBand="0" w:noVBand="1" w:val="04A0"/>
      </w:tblPr>
      <w:tblGrid>
        <w:gridCol w:w="115"/>
        <w:gridCol w:w="9936"/>
      </w:tblGrid>
      <w:tr>
        <w:trPr>
          <w:cantSplit/>
        </w:trPr>
        <w:tc>
          <w:tcPr>
            <w:tcW w:type="dxa" w:w="5112"/>
            <w:shd w:fill="B42318"/>
          </w:tcPr>
          <w:p/>
        </w:tc>
        <w:tc>
          <w:tcPr>
            <w:tcW w:type="dxa" w:w="5112"/>
            <w:shd w:fill="FDECEC"/>
            <w:tcMar>
              <w:top w:w="130" w:type="dxa"/>
              <w:start w:w="150" w:type="dxa"/>
              <w:bottom w:w="130" w:type="dxa"/>
              <w:end w:w="150" w:type="dxa"/>
            </w:tcMar>
          </w:tcPr>
          <w:p>
            <w:pPr>
              <w:spacing w:after="40"/>
            </w:pPr>
            <w:r>
              <w:rPr>
                <w:b/>
                <w:color w:val="12263A"/>
              </w:rPr>
              <w:t>Boiler B-07: NOx limit tightened</w:t>
            </w:r>
          </w:p>
          <w:p>
            <w:pPr>
              <w:spacing w:after="0"/>
            </w:pPr>
            <w:r>
              <w:t>The revised permit changes a NOx limit from 0.08 lb/MMBtu to 0.05 lb/MMBtu. The system should find the connected boiler, identify that the existing SOP and simulated alarm threshold still use the old value, detect historical periods above the proposed limit, and open an engineering-review implementation package.</w:t>
            </w:r>
          </w:p>
        </w:tc>
      </w:tr>
    </w:tbl>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3024"/>
            <w:shd w:fill="12263A"/>
            <w:tcMar>
              <w:top w:w="85" w:type="dxa"/>
              <w:start w:w="90" w:type="dxa"/>
              <w:bottom w:w="85" w:type="dxa"/>
              <w:end w:w="90" w:type="dxa"/>
            </w:tcMar>
            <w:vAlign w:val="center"/>
          </w:tcPr>
          <w:p>
            <w:r>
              <w:rPr>
                <w:b/>
                <w:color w:val="FFFFFF"/>
                <w:sz w:val="17"/>
              </w:rPr>
              <w:t>Agent finding</w:t>
            </w:r>
          </w:p>
        </w:tc>
        <w:tc>
          <w:tcPr>
            <w:tcW w:type="dxa" w:w="6912"/>
            <w:shd w:fill="12263A"/>
            <w:tcMar>
              <w:top w:w="85" w:type="dxa"/>
              <w:start w:w="90" w:type="dxa"/>
              <w:bottom w:w="85" w:type="dxa"/>
              <w:end w:w="90" w:type="dxa"/>
            </w:tcMar>
            <w:vAlign w:val="center"/>
          </w:tcPr>
          <w:p>
            <w:r>
              <w:rPr>
                <w:b/>
                <w:color w:val="FFFFFF"/>
                <w:sz w:val="17"/>
              </w:rPr>
              <w:t>Expected demo output</w:t>
            </w:r>
          </w:p>
        </w:tc>
      </w:tr>
      <w:tr>
        <w:trPr>
          <w:cantSplit/>
        </w:trPr>
        <w:tc>
          <w:tcPr>
            <w:tcW w:type="dxa" w:w="3024"/>
            <w:tcMar>
              <w:top w:w="75" w:type="dxa"/>
              <w:start w:w="85" w:type="dxa"/>
              <w:bottom w:w="75" w:type="dxa"/>
              <w:end w:w="85" w:type="dxa"/>
            </w:tcMar>
            <w:vAlign w:val="top"/>
          </w:tcPr>
          <w:p>
            <w:pPr>
              <w:spacing w:after="0"/>
            </w:pPr>
            <w:r>
              <w:rPr>
                <w:sz w:val="16"/>
              </w:rPr>
              <w:t>Permit delta</w:t>
            </w:r>
          </w:p>
        </w:tc>
        <w:tc>
          <w:tcPr>
            <w:tcW w:type="dxa" w:w="6912"/>
            <w:tcMar>
              <w:top w:w="75" w:type="dxa"/>
              <w:start w:w="85" w:type="dxa"/>
              <w:bottom w:w="75" w:type="dxa"/>
              <w:end w:w="85" w:type="dxa"/>
            </w:tcMar>
            <w:vAlign w:val="top"/>
          </w:tcPr>
          <w:p>
            <w:pPr>
              <w:spacing w:after="0"/>
            </w:pPr>
            <w:r>
              <w:rPr>
                <w:sz w:val="16"/>
              </w:rPr>
              <w:t>0.08 → 0.05 lb/MMBtu, source citations shown</w:t>
            </w:r>
          </w:p>
        </w:tc>
      </w:tr>
      <w:tr>
        <w:trPr>
          <w:cantSplit/>
        </w:trPr>
        <w:tc>
          <w:tcPr>
            <w:tcW w:type="dxa" w:w="3024"/>
            <w:tcMar>
              <w:top w:w="75" w:type="dxa"/>
              <w:start w:w="85" w:type="dxa"/>
              <w:bottom w:w="75" w:type="dxa"/>
              <w:end w:w="85" w:type="dxa"/>
            </w:tcMar>
            <w:vAlign w:val="top"/>
          </w:tcPr>
          <w:p>
            <w:pPr>
              <w:spacing w:after="0"/>
            </w:pPr>
            <w:r>
              <w:rPr>
                <w:sz w:val="16"/>
              </w:rPr>
              <w:t>Asset match</w:t>
            </w:r>
          </w:p>
        </w:tc>
        <w:tc>
          <w:tcPr>
            <w:tcW w:type="dxa" w:w="6912"/>
            <w:tcMar>
              <w:top w:w="75" w:type="dxa"/>
              <w:start w:w="85" w:type="dxa"/>
              <w:bottom w:w="75" w:type="dxa"/>
              <w:end w:w="85" w:type="dxa"/>
            </w:tcMar>
            <w:vAlign w:val="top"/>
          </w:tcPr>
          <w:p>
            <w:pPr>
              <w:spacing w:after="0"/>
            </w:pPr>
            <w:r>
              <w:rPr>
                <w:sz w:val="16"/>
              </w:rPr>
              <w:t>Boiler B-07</w:t>
            </w:r>
          </w:p>
        </w:tc>
      </w:tr>
      <w:tr>
        <w:trPr>
          <w:cantSplit/>
        </w:trPr>
        <w:tc>
          <w:tcPr>
            <w:tcW w:type="dxa" w:w="3024"/>
            <w:tcMar>
              <w:top w:w="75" w:type="dxa"/>
              <w:start w:w="85" w:type="dxa"/>
              <w:bottom w:w="75" w:type="dxa"/>
              <w:end w:w="85" w:type="dxa"/>
            </w:tcMar>
            <w:vAlign w:val="top"/>
          </w:tcPr>
          <w:p>
            <w:pPr>
              <w:spacing w:after="0"/>
            </w:pPr>
            <w:r>
              <w:rPr>
                <w:sz w:val="16"/>
              </w:rPr>
              <w:t>Control conflict</w:t>
            </w:r>
          </w:p>
        </w:tc>
        <w:tc>
          <w:tcPr>
            <w:tcW w:type="dxa" w:w="6912"/>
            <w:tcMar>
              <w:top w:w="75" w:type="dxa"/>
              <w:start w:w="85" w:type="dxa"/>
              <w:bottom w:w="75" w:type="dxa"/>
              <w:end w:w="85" w:type="dxa"/>
            </w:tcMar>
            <w:vAlign w:val="top"/>
          </w:tcPr>
          <w:p>
            <w:pPr>
              <w:spacing w:after="0"/>
            </w:pPr>
            <w:r>
              <w:rPr>
                <w:sz w:val="16"/>
              </w:rPr>
              <w:t>SOP-44 still references 0.08</w:t>
            </w:r>
          </w:p>
        </w:tc>
      </w:tr>
      <w:tr>
        <w:trPr>
          <w:cantSplit/>
        </w:trPr>
        <w:tc>
          <w:tcPr>
            <w:tcW w:type="dxa" w:w="3024"/>
            <w:tcMar>
              <w:top w:w="75" w:type="dxa"/>
              <w:start w:w="85" w:type="dxa"/>
              <w:bottom w:w="75" w:type="dxa"/>
              <w:end w:w="85" w:type="dxa"/>
            </w:tcMar>
            <w:vAlign w:val="top"/>
          </w:tcPr>
          <w:p>
            <w:pPr>
              <w:spacing w:after="0"/>
            </w:pPr>
            <w:r>
              <w:rPr>
                <w:sz w:val="16"/>
              </w:rPr>
              <w:t>Monitoring conflict</w:t>
            </w:r>
          </w:p>
        </w:tc>
        <w:tc>
          <w:tcPr>
            <w:tcW w:type="dxa" w:w="6912"/>
            <w:tcMar>
              <w:top w:w="75" w:type="dxa"/>
              <w:start w:w="85" w:type="dxa"/>
              <w:bottom w:w="75" w:type="dxa"/>
              <w:end w:w="85" w:type="dxa"/>
            </w:tcMar>
            <w:vAlign w:val="top"/>
          </w:tcPr>
          <w:p>
            <w:pPr>
              <w:spacing w:after="0"/>
            </w:pPr>
            <w:r>
              <w:rPr>
                <w:sz w:val="16"/>
              </w:rPr>
              <w:t>Simulated alert threshold = 0.075</w:t>
            </w:r>
          </w:p>
        </w:tc>
      </w:tr>
      <w:tr>
        <w:trPr>
          <w:cantSplit/>
        </w:trPr>
        <w:tc>
          <w:tcPr>
            <w:tcW w:type="dxa" w:w="3024"/>
            <w:tcMar>
              <w:top w:w="75" w:type="dxa"/>
              <w:start w:w="85" w:type="dxa"/>
              <w:bottom w:w="75" w:type="dxa"/>
              <w:end w:w="85" w:type="dxa"/>
            </w:tcMar>
            <w:vAlign w:val="top"/>
          </w:tcPr>
          <w:p>
            <w:pPr>
              <w:spacing w:after="0"/>
            </w:pPr>
            <w:r>
              <w:rPr>
                <w:sz w:val="16"/>
              </w:rPr>
              <w:t>Historical context</w:t>
            </w:r>
          </w:p>
        </w:tc>
        <w:tc>
          <w:tcPr>
            <w:tcW w:type="dxa" w:w="6912"/>
            <w:tcMar>
              <w:top w:w="75" w:type="dxa"/>
              <w:start w:w="85" w:type="dxa"/>
              <w:bottom w:w="75" w:type="dxa"/>
              <w:end w:w="85" w:type="dxa"/>
            </w:tcMar>
            <w:vAlign w:val="top"/>
          </w:tcPr>
          <w:p>
            <w:pPr>
              <w:spacing w:after="0"/>
            </w:pPr>
            <w:r>
              <w:rPr>
                <w:sz w:val="16"/>
              </w:rPr>
              <w:t>Flag selected historical periods above 0.05</w:t>
            </w:r>
          </w:p>
        </w:tc>
      </w:tr>
      <w:tr>
        <w:trPr>
          <w:cantSplit/>
        </w:trPr>
        <w:tc>
          <w:tcPr>
            <w:tcW w:type="dxa" w:w="3024"/>
            <w:tcMar>
              <w:top w:w="75" w:type="dxa"/>
              <w:start w:w="85" w:type="dxa"/>
              <w:bottom w:w="75" w:type="dxa"/>
              <w:end w:w="85" w:type="dxa"/>
            </w:tcMar>
            <w:vAlign w:val="top"/>
          </w:tcPr>
          <w:p>
            <w:pPr>
              <w:spacing w:after="0"/>
            </w:pPr>
            <w:r>
              <w:rPr>
                <w:sz w:val="16"/>
              </w:rPr>
              <w:t>Required action</w:t>
            </w:r>
          </w:p>
        </w:tc>
        <w:tc>
          <w:tcPr>
            <w:tcW w:type="dxa" w:w="6912"/>
            <w:tcMar>
              <w:top w:w="75" w:type="dxa"/>
              <w:start w:w="85" w:type="dxa"/>
              <w:bottom w:w="75" w:type="dxa"/>
              <w:end w:w="85" w:type="dxa"/>
            </w:tcMar>
            <w:vAlign w:val="top"/>
          </w:tcPr>
          <w:p>
            <w:pPr>
              <w:spacing w:after="0"/>
            </w:pPr>
            <w:r>
              <w:rPr>
                <w:sz w:val="16"/>
              </w:rPr>
              <w:t>Review SOP, monitoring threshold, calculation logic, training, and report template</w:t>
            </w:r>
          </w:p>
        </w:tc>
      </w:tr>
      <w:tr>
        <w:trPr>
          <w:cantSplit/>
        </w:trPr>
        <w:tc>
          <w:tcPr>
            <w:tcW w:type="dxa" w:w="3024"/>
            <w:tcMar>
              <w:top w:w="75" w:type="dxa"/>
              <w:start w:w="85" w:type="dxa"/>
              <w:bottom w:w="75" w:type="dxa"/>
              <w:end w:w="85" w:type="dxa"/>
            </w:tcMar>
            <w:vAlign w:val="top"/>
          </w:tcPr>
          <w:p>
            <w:pPr>
              <w:spacing w:after="0"/>
            </w:pPr>
            <w:r>
              <w:rPr>
                <w:sz w:val="16"/>
              </w:rPr>
              <w:t>Disposition</w:t>
            </w:r>
          </w:p>
        </w:tc>
        <w:tc>
          <w:tcPr>
            <w:tcW w:type="dxa" w:w="6912"/>
            <w:tcMar>
              <w:top w:w="75" w:type="dxa"/>
              <w:start w:w="85" w:type="dxa"/>
              <w:bottom w:w="75" w:type="dxa"/>
              <w:end w:w="85" w:type="dxa"/>
            </w:tcMar>
            <w:vAlign w:val="top"/>
          </w:tcPr>
          <w:p>
            <w:pPr>
              <w:spacing w:after="0"/>
            </w:pPr>
            <w:r>
              <w:rPr>
                <w:sz w:val="16"/>
              </w:rPr>
              <w:t>Human engineering approval required</w:t>
            </w:r>
          </w:p>
        </w:tc>
      </w:tr>
    </w:tbl>
    <w:p>
      <w:pPr>
        <w:spacing w:after="0"/>
      </w:pPr>
    </w:p>
    <w:p>
      <w:pPr>
        <w:pStyle w:val="Heading2"/>
        <w:keepNext/>
      </w:pPr>
      <w:r>
        <w:t>Secondary demo case</w:t>
      </w:r>
    </w:p>
    <w:p>
      <w:r>
        <w:t>Cooling Tower CT-4 changes from a monthly inspection requirement to every 14 days. The system should discover the existing monthly calendar task, SOP wording, inspection form, and training material, then create a small set of implementation actions.</w:t>
      </w:r>
    </w:p>
    <w:p>
      <w:pPr>
        <w:pStyle w:val="Heading1"/>
        <w:keepNext/>
      </w:pPr>
      <w:r>
        <w:t>6. Core User Experience</w:t>
      </w:r>
    </w:p>
    <w:p>
      <w:pPr>
        <w:pStyle w:val="Heading2"/>
        <w:keepNext/>
      </w:pPr>
      <w:r>
        <w:t>Screen A — Change Overview</w:t>
      </w:r>
    </w:p>
    <w:p>
      <w:pPr>
        <w:pStyle w:val="ListBullet"/>
        <w:spacing w:after="50"/>
      </w:pPr>
      <w:r>
        <w:t>Total permit changes detected.</w:t>
      </w:r>
    </w:p>
    <w:p>
      <w:pPr>
        <w:pStyle w:val="ListBullet"/>
        <w:spacing w:after="50"/>
      </w:pPr>
      <w:r>
        <w:t>High / medium / low impact counts.</w:t>
      </w:r>
    </w:p>
    <w:p>
      <w:pPr>
        <w:pStyle w:val="ListBullet"/>
        <w:spacing w:after="50"/>
      </w:pPr>
      <w:r>
        <w:t>AI confidence distribution.</w:t>
      </w:r>
    </w:p>
    <w:p>
      <w:pPr>
        <w:pStyle w:val="ListBullet"/>
        <w:spacing w:after="50"/>
      </w:pPr>
      <w:r>
        <w:t>Unresolved implementation actions.</w:t>
      </w:r>
    </w:p>
    <w:p>
      <w:pPr>
        <w:pStyle w:val="ListBullet"/>
        <w:spacing w:after="50"/>
      </w:pPr>
      <w:r>
        <w:t>Changes grouped by unit, pollutant, permit section, or owner.</w:t>
      </w:r>
    </w:p>
    <w:p>
      <w:pPr>
        <w:pStyle w:val="Heading2"/>
        <w:keepNext/>
      </w:pPr>
      <w:r>
        <w:t>Screen B — Change Detail</w:t>
      </w:r>
    </w:p>
    <w:p>
      <w:r>
        <w:t>The most important screen. It should tell the story of one change without requiring a chat window.</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12263A"/>
            <w:tcMar>
              <w:top w:w="85" w:type="dxa"/>
              <w:start w:w="90" w:type="dxa"/>
              <w:bottom w:w="85" w:type="dxa"/>
              <w:end w:w="90" w:type="dxa"/>
            </w:tcMar>
            <w:vAlign w:val="center"/>
          </w:tcPr>
          <w:p>
            <w:r>
              <w:rPr>
                <w:b/>
                <w:color w:val="FFFFFF"/>
                <w:sz w:val="17"/>
              </w:rPr>
              <w:t>Panel</w:t>
            </w:r>
          </w:p>
        </w:tc>
        <w:tc>
          <w:tcPr>
            <w:tcW w:type="dxa" w:w="7056"/>
            <w:shd w:fill="12263A"/>
            <w:tcMar>
              <w:top w:w="85" w:type="dxa"/>
              <w:start w:w="90" w:type="dxa"/>
              <w:bottom w:w="85" w:type="dxa"/>
              <w:end w:w="90" w:type="dxa"/>
            </w:tcMar>
            <w:vAlign w:val="center"/>
          </w:tcPr>
          <w:p>
            <w:r>
              <w:rPr>
                <w:b/>
                <w:color w:val="FFFFFF"/>
                <w:sz w:val="17"/>
              </w:rPr>
              <w:t>Content</w:t>
            </w:r>
          </w:p>
        </w:tc>
      </w:tr>
      <w:tr>
        <w:trPr>
          <w:cantSplit/>
        </w:trPr>
        <w:tc>
          <w:tcPr>
            <w:tcW w:type="dxa" w:w="2880"/>
            <w:tcMar>
              <w:top w:w="75" w:type="dxa"/>
              <w:start w:w="85" w:type="dxa"/>
              <w:bottom w:w="75" w:type="dxa"/>
              <w:end w:w="85" w:type="dxa"/>
            </w:tcMar>
            <w:vAlign w:val="top"/>
          </w:tcPr>
          <w:p>
            <w:pPr>
              <w:spacing w:after="0"/>
            </w:pPr>
            <w:r>
              <w:rPr>
                <w:sz w:val="16"/>
              </w:rPr>
              <w:t>Permit comparison</w:t>
            </w:r>
          </w:p>
        </w:tc>
        <w:tc>
          <w:tcPr>
            <w:tcW w:type="dxa" w:w="7056"/>
            <w:tcMar>
              <w:top w:w="75" w:type="dxa"/>
              <w:start w:w="85" w:type="dxa"/>
              <w:bottom w:w="75" w:type="dxa"/>
              <w:end w:w="85" w:type="dxa"/>
            </w:tcMar>
            <w:vAlign w:val="top"/>
          </w:tcPr>
          <w:p>
            <w:pPr>
              <w:spacing w:after="0"/>
            </w:pPr>
            <w:r>
              <w:rPr>
                <w:sz w:val="16"/>
              </w:rPr>
              <w:t>Old text, new text, numeric deltas, source page/section</w:t>
            </w:r>
          </w:p>
        </w:tc>
      </w:tr>
      <w:tr>
        <w:trPr>
          <w:cantSplit/>
        </w:trPr>
        <w:tc>
          <w:tcPr>
            <w:tcW w:type="dxa" w:w="2880"/>
            <w:tcMar>
              <w:top w:w="75" w:type="dxa"/>
              <w:start w:w="85" w:type="dxa"/>
              <w:bottom w:w="75" w:type="dxa"/>
              <w:end w:w="85" w:type="dxa"/>
            </w:tcMar>
            <w:vAlign w:val="top"/>
          </w:tcPr>
          <w:p>
            <w:pPr>
              <w:spacing w:after="0"/>
            </w:pPr>
            <w:r>
              <w:rPr>
                <w:sz w:val="16"/>
              </w:rPr>
              <w:t>Interpretation</w:t>
            </w:r>
          </w:p>
        </w:tc>
        <w:tc>
          <w:tcPr>
            <w:tcW w:type="dxa" w:w="7056"/>
            <w:tcMar>
              <w:top w:w="75" w:type="dxa"/>
              <w:start w:w="85" w:type="dxa"/>
              <w:bottom w:w="75" w:type="dxa"/>
              <w:end w:w="85" w:type="dxa"/>
            </w:tcMar>
            <w:vAlign w:val="top"/>
          </w:tcPr>
          <w:p>
            <w:pPr>
              <w:spacing w:after="0"/>
            </w:pPr>
            <w:r>
              <w:rPr>
                <w:sz w:val="16"/>
              </w:rPr>
              <w:t>Concise AI summary with confidence and assumptions</w:t>
            </w:r>
          </w:p>
        </w:tc>
      </w:tr>
      <w:tr>
        <w:trPr>
          <w:cantSplit/>
        </w:trPr>
        <w:tc>
          <w:tcPr>
            <w:tcW w:type="dxa" w:w="2880"/>
            <w:tcMar>
              <w:top w:w="75" w:type="dxa"/>
              <w:start w:w="85" w:type="dxa"/>
              <w:bottom w:w="75" w:type="dxa"/>
              <w:end w:w="85" w:type="dxa"/>
            </w:tcMar>
            <w:vAlign w:val="top"/>
          </w:tcPr>
          <w:p>
            <w:pPr>
              <w:spacing w:after="0"/>
            </w:pPr>
            <w:r>
              <w:rPr>
                <w:sz w:val="16"/>
              </w:rPr>
              <w:t>Facility impact</w:t>
            </w:r>
          </w:p>
        </w:tc>
        <w:tc>
          <w:tcPr>
            <w:tcW w:type="dxa" w:w="7056"/>
            <w:tcMar>
              <w:top w:w="75" w:type="dxa"/>
              <w:start w:w="85" w:type="dxa"/>
              <w:bottom w:w="75" w:type="dxa"/>
              <w:end w:w="85" w:type="dxa"/>
            </w:tcMar>
            <w:vAlign w:val="top"/>
          </w:tcPr>
          <w:p>
            <w:pPr>
              <w:spacing w:after="0"/>
            </w:pPr>
            <w:r>
              <w:rPr>
                <w:sz w:val="16"/>
              </w:rPr>
              <w:t>Matched assets and why they were matched</w:t>
            </w:r>
          </w:p>
        </w:tc>
      </w:tr>
      <w:tr>
        <w:trPr>
          <w:cantSplit/>
        </w:trPr>
        <w:tc>
          <w:tcPr>
            <w:tcW w:type="dxa" w:w="2880"/>
            <w:tcMar>
              <w:top w:w="75" w:type="dxa"/>
              <w:start w:w="85" w:type="dxa"/>
              <w:bottom w:w="75" w:type="dxa"/>
              <w:end w:w="85" w:type="dxa"/>
            </w:tcMar>
            <w:vAlign w:val="top"/>
          </w:tcPr>
          <w:p>
            <w:pPr>
              <w:spacing w:after="0"/>
            </w:pPr>
            <w:r>
              <w:rPr>
                <w:sz w:val="16"/>
              </w:rPr>
              <w:t>Downstream conflicts</w:t>
            </w:r>
          </w:p>
        </w:tc>
        <w:tc>
          <w:tcPr>
            <w:tcW w:type="dxa" w:w="7056"/>
            <w:tcMar>
              <w:top w:w="75" w:type="dxa"/>
              <w:start w:w="85" w:type="dxa"/>
              <w:bottom w:w="75" w:type="dxa"/>
              <w:end w:w="85" w:type="dxa"/>
            </w:tcMar>
            <w:vAlign w:val="top"/>
          </w:tcPr>
          <w:p>
            <w:pPr>
              <w:spacing w:after="0"/>
            </w:pPr>
            <w:r>
              <w:rPr>
                <w:sz w:val="16"/>
              </w:rPr>
              <w:t>SOPs, controls, schedules, forms, training, calculations</w:t>
            </w:r>
          </w:p>
        </w:tc>
      </w:tr>
      <w:tr>
        <w:trPr>
          <w:cantSplit/>
        </w:trPr>
        <w:tc>
          <w:tcPr>
            <w:tcW w:type="dxa" w:w="2880"/>
            <w:tcMar>
              <w:top w:w="75" w:type="dxa"/>
              <w:start w:w="85" w:type="dxa"/>
              <w:bottom w:w="75" w:type="dxa"/>
              <w:end w:w="85" w:type="dxa"/>
            </w:tcMar>
            <w:vAlign w:val="top"/>
          </w:tcPr>
          <w:p>
            <w:pPr>
              <w:spacing w:after="0"/>
            </w:pPr>
            <w:r>
              <w:rPr>
                <w:sz w:val="16"/>
              </w:rPr>
              <w:t>Implementation plan</w:t>
            </w:r>
          </w:p>
        </w:tc>
        <w:tc>
          <w:tcPr>
            <w:tcW w:type="dxa" w:w="7056"/>
            <w:tcMar>
              <w:top w:w="75" w:type="dxa"/>
              <w:start w:w="85" w:type="dxa"/>
              <w:bottom w:w="75" w:type="dxa"/>
              <w:end w:w="85" w:type="dxa"/>
            </w:tcMar>
            <w:vAlign w:val="top"/>
          </w:tcPr>
          <w:p>
            <w:pPr>
              <w:spacing w:after="0"/>
            </w:pPr>
            <w:r>
              <w:rPr>
                <w:sz w:val="16"/>
              </w:rPr>
              <w:t>Proposed tasks, owner, due date, required evidence</w:t>
            </w:r>
          </w:p>
        </w:tc>
      </w:tr>
      <w:tr>
        <w:trPr>
          <w:cantSplit/>
        </w:trPr>
        <w:tc>
          <w:tcPr>
            <w:tcW w:type="dxa" w:w="2880"/>
            <w:tcMar>
              <w:top w:w="75" w:type="dxa"/>
              <w:start w:w="85" w:type="dxa"/>
              <w:bottom w:w="75" w:type="dxa"/>
              <w:end w:w="85" w:type="dxa"/>
            </w:tcMar>
            <w:vAlign w:val="top"/>
          </w:tcPr>
          <w:p>
            <w:pPr>
              <w:spacing w:after="0"/>
            </w:pPr>
            <w:r>
              <w:rPr>
                <w:sz w:val="16"/>
              </w:rPr>
              <w:t>Review</w:t>
            </w:r>
          </w:p>
        </w:tc>
        <w:tc>
          <w:tcPr>
            <w:tcW w:type="dxa" w:w="7056"/>
            <w:tcMar>
              <w:top w:w="75" w:type="dxa"/>
              <w:start w:w="85" w:type="dxa"/>
              <w:bottom w:w="75" w:type="dxa"/>
              <w:end w:w="85" w:type="dxa"/>
            </w:tcMar>
            <w:vAlign w:val="top"/>
          </w:tcPr>
          <w:p>
            <w:pPr>
              <w:spacing w:after="0"/>
            </w:pPr>
            <w:r>
              <w:rPr>
                <w:sz w:val="16"/>
              </w:rPr>
              <w:t>Approve / reject / edit with reviewer note</w:t>
            </w:r>
          </w:p>
        </w:tc>
      </w:tr>
    </w:tbl>
    <w:p>
      <w:pPr>
        <w:spacing w:after="0"/>
      </w:pPr>
    </w:p>
    <w:p>
      <w:pPr>
        <w:pStyle w:val="Heading2"/>
        <w:keepNext/>
      </w:pPr>
      <w:r>
        <w:t>Screen C — Facility Graph</w:t>
      </w:r>
    </w:p>
    <w:p>
      <w:r>
        <w:t>Show relationships visually or as an expandable dependency tree. The purpose is not flashy graph rendering; the purpose is to make propagation obvious.</w:t>
      </w:r>
    </w:p>
    <w:tbl>
      <w:tblPr>
        <w:tblW w:type="auto" w:w="0"/>
        <w:jc w:val="center"/>
        <w:tblLook w:firstColumn="1" w:firstRow="1" w:lastColumn="0" w:lastRow="0" w:noHBand="0" w:noVBand="1" w:val="04A0"/>
      </w:tblPr>
      <w:tblGrid>
        <w:gridCol w:w="10224"/>
      </w:tblGrid>
      <w:tr>
        <w:trPr>
          <w:cantSplit/>
        </w:trPr>
        <w:tc>
          <w:tcPr>
            <w:tcW w:type="dxa" w:w="10224"/>
            <w:shd w:fill="F2F4F7"/>
            <w:tcMar>
              <w:top w:w="120" w:type="dxa"/>
              <w:start w:w="150" w:type="dxa"/>
              <w:bottom w:w="120" w:type="dxa"/>
              <w:end w:w="150" w:type="dxa"/>
            </w:tcMar>
          </w:tcPr>
          <w:p>
            <w:pPr>
              <w:spacing w:after="0"/>
            </w:pPr>
            <w:r>
              <w:rPr>
                <w:rFonts w:ascii="Courier New" w:hAnsi="Courier New"/>
                <w:sz w:val="16"/>
              </w:rPr>
              <w:t>Permit Clause 4.3.2</w:t>
              <w:br/>
            </w:r>
            <w:r>
              <w:rPr>
                <w:rFonts w:ascii="Courier New" w:hAnsi="Courier New"/>
                <w:sz w:val="16"/>
              </w:rPr>
              <w:t xml:space="preserve">  └─ Boiler B-07</w:t>
              <w:br/>
            </w:r>
            <w:r>
              <w:rPr>
                <w:rFonts w:ascii="Courier New" w:hAnsi="Courier New"/>
                <w:sz w:val="16"/>
              </w:rPr>
              <w:t xml:space="preserve">      ├─ CEMS-NOX-B07</w:t>
              <w:br/>
            </w:r>
            <w:r>
              <w:rPr>
                <w:rFonts w:ascii="Courier New" w:hAnsi="Courier New"/>
                <w:sz w:val="16"/>
              </w:rPr>
              <w:t xml:space="preserve">      ├─ SOP-44 Boiler Operation</w:t>
              <w:br/>
            </w:r>
            <w:r>
              <w:rPr>
                <w:rFonts w:ascii="Courier New" w:hAnsi="Courier New"/>
                <w:sz w:val="16"/>
              </w:rPr>
              <w:t xml:space="preserve">      ├─ Monthly NOx Calculation</w:t>
              <w:br/>
            </w:r>
            <w:r>
              <w:rPr>
                <w:rFonts w:ascii="Courier New" w:hAnsi="Courier New"/>
                <w:sz w:val="16"/>
              </w:rPr>
              <w:t xml:space="preserve">      ├─ Training TR-12</w:t>
              <w:br/>
            </w:r>
            <w:r>
              <w:rPr>
                <w:rFonts w:ascii="Courier New" w:hAnsi="Courier New"/>
                <w:sz w:val="16"/>
              </w:rPr>
              <w:t xml:space="preserve">      └─ Compliance Report Template AIR-7</w:t>
            </w:r>
          </w:p>
        </w:tc>
      </w:tr>
    </w:tbl>
    <w:p>
      <w:pPr>
        <w:pStyle w:val="Heading2"/>
        <w:keepNext/>
      </w:pPr>
      <w:r>
        <w:t>Screen D — Implementation Register</w:t>
      </w:r>
    </w:p>
    <w:p>
      <w:pPr>
        <w:pStyle w:val="ListBullet"/>
        <w:spacing w:after="50"/>
      </w:pPr>
      <w:r>
        <w:t>Action title and linked permit change.</w:t>
      </w:r>
    </w:p>
    <w:p>
      <w:pPr>
        <w:pStyle w:val="ListBullet"/>
        <w:spacing w:after="50"/>
      </w:pPr>
      <w:r>
        <w:t>Responsible owner.</w:t>
      </w:r>
    </w:p>
    <w:p>
      <w:pPr>
        <w:pStyle w:val="ListBullet"/>
        <w:spacing w:after="50"/>
      </w:pPr>
      <w:r>
        <w:t>Due date / effective date.</w:t>
      </w:r>
    </w:p>
    <w:p>
      <w:pPr>
        <w:pStyle w:val="ListBullet"/>
        <w:spacing w:after="50"/>
      </w:pPr>
      <w:r>
        <w:t>Status: proposed, in review, in progress, evidence submitted, approved, rejected.</w:t>
      </w:r>
    </w:p>
    <w:p>
      <w:pPr>
        <w:pStyle w:val="ListBullet"/>
        <w:spacing w:after="50"/>
      </w:pPr>
      <w:r>
        <w:t>Evidence attachments.</w:t>
      </w:r>
    </w:p>
    <w:p>
      <w:pPr>
        <w:pStyle w:val="ListBullet"/>
        <w:spacing w:after="50"/>
      </w:pPr>
      <w:r>
        <w:t>AI evidence check result.</w:t>
      </w:r>
    </w:p>
    <w:p>
      <w:pPr>
        <w:pStyle w:val="ListBullet"/>
        <w:spacing w:after="50"/>
      </w:pPr>
      <w:r>
        <w:t>Human reviewer and timestamp.</w:t>
      </w:r>
    </w:p>
    <w:p>
      <w:pPr>
        <w:pStyle w:val="Heading1"/>
        <w:keepNext/>
      </w:pPr>
      <w:r>
        <w:t>7. Agentic Workflow</w:t>
      </w:r>
    </w:p>
    <w:p>
      <w:pPr>
        <w:spacing w:after="50"/>
        <w:ind w:left="0" w:firstLine="0"/>
      </w:pPr>
      <w:r>
        <w:rPr>
          <w:rFonts w:ascii="Arial" w:hAnsi="Arial"/>
          <w:sz w:val="18"/>
        </w:rPr>
        <w:t>1.  Ingest. Parse both permit versions and facility documents.</w:t>
      </w:r>
    </w:p>
    <w:p>
      <w:pPr>
        <w:spacing w:after="50"/>
        <w:ind w:left="0" w:firstLine="0"/>
      </w:pPr>
      <w:r>
        <w:rPr>
          <w:rFonts w:ascii="Arial" w:hAnsi="Arial"/>
          <w:sz w:val="18"/>
        </w:rPr>
        <w:t>2.  Extract. Convert permit clauses into structured obligations.</w:t>
      </w:r>
    </w:p>
    <w:p>
      <w:pPr>
        <w:spacing w:after="50"/>
        <w:ind w:left="0" w:firstLine="0"/>
      </w:pPr>
      <w:r>
        <w:rPr>
          <w:rFonts w:ascii="Arial" w:hAnsi="Arial"/>
          <w:sz w:val="18"/>
        </w:rPr>
        <w:t>3.  Diff. Pair old and new obligations and identify additions, removals, numeric changes, frequency changes, and wording changes.</w:t>
      </w:r>
    </w:p>
    <w:p>
      <w:pPr>
        <w:spacing w:after="50"/>
        <w:ind w:left="0" w:firstLine="0"/>
      </w:pPr>
      <w:r>
        <w:rPr>
          <w:rFonts w:ascii="Arial" w:hAnsi="Arial"/>
          <w:sz w:val="18"/>
        </w:rPr>
        <w:t>4.  Prioritize. Score likely operational impact and confidence.</w:t>
      </w:r>
    </w:p>
    <w:p>
      <w:pPr>
        <w:spacing w:after="50"/>
        <w:ind w:left="0" w:firstLine="0"/>
      </w:pPr>
      <w:r>
        <w:rPr>
          <w:rFonts w:ascii="Arial" w:hAnsi="Arial"/>
          <w:sz w:val="18"/>
        </w:rPr>
        <w:t>5.  Resolve context. Search the facility model for relevant units, pollutants, monitoring systems, procedures, forms, calculations, and owners.</w:t>
      </w:r>
    </w:p>
    <w:p>
      <w:pPr>
        <w:spacing w:after="50"/>
        <w:ind w:left="0" w:firstLine="0"/>
      </w:pPr>
      <w:r>
        <w:rPr>
          <w:rFonts w:ascii="Arial" w:hAnsi="Arial"/>
          <w:sz w:val="18"/>
        </w:rPr>
        <w:t>6.  Propagate. Identify downstream records or controls that appear inconsistent with the revised requirement.</w:t>
      </w:r>
    </w:p>
    <w:p>
      <w:pPr>
        <w:spacing w:after="50"/>
        <w:ind w:left="0" w:firstLine="0"/>
      </w:pPr>
      <w:r>
        <w:rPr>
          <w:rFonts w:ascii="Arial" w:hAnsi="Arial"/>
          <w:sz w:val="18"/>
        </w:rPr>
        <w:t>7.  Plan. Generate proposed implementation actions and evidence requirements.</w:t>
      </w:r>
    </w:p>
    <w:p>
      <w:pPr>
        <w:spacing w:after="50"/>
        <w:ind w:left="0" w:firstLine="0"/>
      </w:pPr>
      <w:r>
        <w:rPr>
          <w:rFonts w:ascii="Arial" w:hAnsi="Arial"/>
          <w:sz w:val="18"/>
        </w:rPr>
        <w:t>8.  Review. Require a human to approve or correct the interpretation.</w:t>
      </w:r>
    </w:p>
    <w:p>
      <w:pPr>
        <w:spacing w:after="50"/>
        <w:ind w:left="0" w:firstLine="0"/>
      </w:pPr>
      <w:r>
        <w:rPr>
          <w:rFonts w:ascii="Arial" w:hAnsi="Arial"/>
          <w:sz w:val="18"/>
        </w:rPr>
        <w:t>9.  Verify. When evidence is submitted, check whether it appears to address the approved action.</w:t>
      </w:r>
    </w:p>
    <w:p>
      <w:pPr>
        <w:spacing w:after="50"/>
        <w:ind w:left="0" w:firstLine="0"/>
      </w:pPr>
      <w:r>
        <w:rPr>
          <w:rFonts w:ascii="Arial" w:hAnsi="Arial"/>
          <w:sz w:val="18"/>
        </w:rPr>
        <w:t>10.  Close. Only a human can mark the implementation complete.</w:t>
      </w:r>
    </w:p>
    <w:tbl>
      <w:tblPr>
        <w:tblW w:type="auto" w:w="0"/>
        <w:jc w:val="center"/>
        <w:tblLayout w:type="fixed"/>
        <w:tblLook w:firstColumn="1" w:firstRow="1" w:lastColumn="0" w:lastRow="0" w:noHBand="0" w:noVBand="1" w:val="04A0"/>
      </w:tblPr>
      <w:tblGrid>
        <w:gridCol w:w="115"/>
        <w:gridCol w:w="9936"/>
      </w:tblGrid>
      <w:tr>
        <w:trPr>
          <w:cantSplit/>
        </w:trPr>
        <w:tc>
          <w:tcPr>
            <w:tcW w:type="dxa" w:w="5112"/>
            <w:shd w:fill="2563EB"/>
          </w:tcPr>
          <w:p/>
        </w:tc>
        <w:tc>
          <w:tcPr>
            <w:tcW w:type="dxa" w:w="5112"/>
            <w:shd w:fill="F4F8FB"/>
            <w:tcMar>
              <w:top w:w="130" w:type="dxa"/>
              <w:start w:w="150" w:type="dxa"/>
              <w:bottom w:w="130" w:type="dxa"/>
              <w:end w:w="150" w:type="dxa"/>
            </w:tcMar>
          </w:tcPr>
          <w:p>
            <w:pPr>
              <w:spacing w:after="40"/>
            </w:pPr>
            <w:r>
              <w:rPr>
                <w:b/>
                <w:color w:val="12263A"/>
              </w:rPr>
              <w:t>Agent rule</w:t>
            </w:r>
          </w:p>
          <w:p>
            <w:pPr>
              <w:spacing w:after="0"/>
            </w:pPr>
            <w:r>
              <w:t>The agent may propose, compare, search, link, rank, summarize, and verify evidence. It may not silently make a consequential compliance or operating decision.</w:t>
            </w:r>
          </w:p>
        </w:tc>
      </w:tr>
    </w:tbl>
    <w:p>
      <w:pPr>
        <w:pStyle w:val="Heading1"/>
        <w:keepNext/>
      </w:pPr>
      <w:r>
        <w:t>8. Functional Requirements</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1008"/>
            <w:shd w:fill="12263A"/>
            <w:tcMar>
              <w:top w:w="85" w:type="dxa"/>
              <w:start w:w="90" w:type="dxa"/>
              <w:bottom w:w="85" w:type="dxa"/>
              <w:end w:w="90" w:type="dxa"/>
            </w:tcMar>
            <w:vAlign w:val="center"/>
          </w:tcPr>
          <w:p>
            <w:r>
              <w:rPr>
                <w:b/>
                <w:color w:val="FFFFFF"/>
                <w:sz w:val="17"/>
              </w:rPr>
              <w:t>ID</w:t>
            </w:r>
          </w:p>
        </w:tc>
        <w:tc>
          <w:tcPr>
            <w:tcW w:type="dxa" w:w="4464"/>
            <w:shd w:fill="12263A"/>
            <w:tcMar>
              <w:top w:w="85" w:type="dxa"/>
              <w:start w:w="90" w:type="dxa"/>
              <w:bottom w:w="85" w:type="dxa"/>
              <w:end w:w="90" w:type="dxa"/>
            </w:tcMar>
            <w:vAlign w:val="center"/>
          </w:tcPr>
          <w:p>
            <w:r>
              <w:rPr>
                <w:b/>
                <w:color w:val="FFFFFF"/>
                <w:sz w:val="17"/>
              </w:rPr>
              <w:t>Requirement</w:t>
            </w:r>
          </w:p>
        </w:tc>
        <w:tc>
          <w:tcPr>
            <w:tcW w:type="dxa" w:w="4464"/>
            <w:shd w:fill="12263A"/>
            <w:tcMar>
              <w:top w:w="85" w:type="dxa"/>
              <w:start w:w="90" w:type="dxa"/>
              <w:bottom w:w="85" w:type="dxa"/>
              <w:end w:w="90" w:type="dxa"/>
            </w:tcMar>
            <w:vAlign w:val="center"/>
          </w:tcPr>
          <w:p>
            <w:r>
              <w:rPr>
                <w:b/>
                <w:color w:val="FFFFFF"/>
                <w:sz w:val="17"/>
              </w:rPr>
              <w:t>Acceptance test</w:t>
            </w:r>
          </w:p>
        </w:tc>
      </w:tr>
      <w:tr>
        <w:trPr>
          <w:cantSplit/>
        </w:trPr>
        <w:tc>
          <w:tcPr>
            <w:tcW w:type="dxa" w:w="1008"/>
            <w:tcMar>
              <w:top w:w="75" w:type="dxa"/>
              <w:start w:w="85" w:type="dxa"/>
              <w:bottom w:w="75" w:type="dxa"/>
              <w:end w:w="85" w:type="dxa"/>
            </w:tcMar>
            <w:vAlign w:val="top"/>
          </w:tcPr>
          <w:p>
            <w:pPr>
              <w:spacing w:after="0"/>
            </w:pPr>
            <w:r>
              <w:rPr>
                <w:sz w:val="16"/>
              </w:rPr>
              <w:t>FR-01</w:t>
            </w:r>
          </w:p>
        </w:tc>
        <w:tc>
          <w:tcPr>
            <w:tcW w:type="dxa" w:w="4464"/>
            <w:tcMar>
              <w:top w:w="75" w:type="dxa"/>
              <w:start w:w="85" w:type="dxa"/>
              <w:bottom w:w="75" w:type="dxa"/>
              <w:end w:w="85" w:type="dxa"/>
            </w:tcMar>
            <w:vAlign w:val="top"/>
          </w:tcPr>
          <w:p>
            <w:pPr>
              <w:spacing w:after="0"/>
            </w:pPr>
            <w:r>
              <w:rPr>
                <w:sz w:val="16"/>
              </w:rPr>
              <w:t>Extract structured obligations from permits.</w:t>
            </w:r>
          </w:p>
        </w:tc>
        <w:tc>
          <w:tcPr>
            <w:tcW w:type="dxa" w:w="4464"/>
            <w:tcMar>
              <w:top w:w="75" w:type="dxa"/>
              <w:start w:w="85" w:type="dxa"/>
              <w:bottom w:w="75" w:type="dxa"/>
              <w:end w:w="85" w:type="dxa"/>
            </w:tcMar>
            <w:vAlign w:val="top"/>
          </w:tcPr>
          <w:p>
            <w:pPr>
              <w:spacing w:after="0"/>
            </w:pPr>
            <w:r>
              <w:rPr>
                <w:sz w:val="16"/>
              </w:rPr>
              <w:t>At least 90% of seeded demo obligations are found with correct source section/page.</w:t>
            </w:r>
          </w:p>
        </w:tc>
      </w:tr>
      <w:tr>
        <w:trPr>
          <w:cantSplit/>
        </w:trPr>
        <w:tc>
          <w:tcPr>
            <w:tcW w:type="dxa" w:w="1008"/>
            <w:tcMar>
              <w:top w:w="75" w:type="dxa"/>
              <w:start w:w="85" w:type="dxa"/>
              <w:bottom w:w="75" w:type="dxa"/>
              <w:end w:w="85" w:type="dxa"/>
            </w:tcMar>
            <w:vAlign w:val="top"/>
          </w:tcPr>
          <w:p>
            <w:pPr>
              <w:spacing w:after="0"/>
            </w:pPr>
            <w:r>
              <w:rPr>
                <w:sz w:val="16"/>
              </w:rPr>
              <w:t>FR-02</w:t>
            </w:r>
          </w:p>
        </w:tc>
        <w:tc>
          <w:tcPr>
            <w:tcW w:type="dxa" w:w="4464"/>
            <w:tcMar>
              <w:top w:w="75" w:type="dxa"/>
              <w:start w:w="85" w:type="dxa"/>
              <w:bottom w:w="75" w:type="dxa"/>
              <w:end w:w="85" w:type="dxa"/>
            </w:tcMar>
            <w:vAlign w:val="top"/>
          </w:tcPr>
          <w:p>
            <w:pPr>
              <w:spacing w:after="0"/>
            </w:pPr>
            <w:r>
              <w:rPr>
                <w:sz w:val="16"/>
              </w:rPr>
              <w:t>Compare two permit versions.</w:t>
            </w:r>
          </w:p>
        </w:tc>
        <w:tc>
          <w:tcPr>
            <w:tcW w:type="dxa" w:w="4464"/>
            <w:tcMar>
              <w:top w:w="75" w:type="dxa"/>
              <w:start w:w="85" w:type="dxa"/>
              <w:bottom w:w="75" w:type="dxa"/>
              <w:end w:w="85" w:type="dxa"/>
            </w:tcMar>
            <w:vAlign w:val="top"/>
          </w:tcPr>
          <w:p>
            <w:pPr>
              <w:spacing w:after="0"/>
            </w:pPr>
            <w:r>
              <w:rPr>
                <w:sz w:val="16"/>
              </w:rPr>
              <w:t>Seeded additions, removals, numeric changes, and frequency changes appear in the change register.</w:t>
            </w:r>
          </w:p>
        </w:tc>
      </w:tr>
      <w:tr>
        <w:trPr>
          <w:cantSplit/>
        </w:trPr>
        <w:tc>
          <w:tcPr>
            <w:tcW w:type="dxa" w:w="1008"/>
            <w:tcMar>
              <w:top w:w="75" w:type="dxa"/>
              <w:start w:w="85" w:type="dxa"/>
              <w:bottom w:w="75" w:type="dxa"/>
              <w:end w:w="85" w:type="dxa"/>
            </w:tcMar>
            <w:vAlign w:val="top"/>
          </w:tcPr>
          <w:p>
            <w:pPr>
              <w:spacing w:after="0"/>
            </w:pPr>
            <w:r>
              <w:rPr>
                <w:sz w:val="16"/>
              </w:rPr>
              <w:t>FR-03</w:t>
            </w:r>
          </w:p>
        </w:tc>
        <w:tc>
          <w:tcPr>
            <w:tcW w:type="dxa" w:w="4464"/>
            <w:tcMar>
              <w:top w:w="75" w:type="dxa"/>
              <w:start w:w="85" w:type="dxa"/>
              <w:bottom w:w="75" w:type="dxa"/>
              <w:end w:w="85" w:type="dxa"/>
            </w:tcMar>
            <w:vAlign w:val="top"/>
          </w:tcPr>
          <w:p>
            <w:pPr>
              <w:spacing w:after="0"/>
            </w:pPr>
            <w:r>
              <w:rPr>
                <w:sz w:val="16"/>
              </w:rPr>
              <w:t>Show evidence for every permit finding.</w:t>
            </w:r>
          </w:p>
        </w:tc>
        <w:tc>
          <w:tcPr>
            <w:tcW w:type="dxa" w:w="4464"/>
            <w:tcMar>
              <w:top w:w="75" w:type="dxa"/>
              <w:start w:w="85" w:type="dxa"/>
              <w:bottom w:w="75" w:type="dxa"/>
              <w:end w:w="85" w:type="dxa"/>
            </w:tcMar>
            <w:vAlign w:val="top"/>
          </w:tcPr>
          <w:p>
            <w:pPr>
              <w:spacing w:after="0"/>
            </w:pPr>
            <w:r>
              <w:rPr>
                <w:sz w:val="16"/>
              </w:rPr>
              <w:t>Clicking a finding reveals the exact supporting source excerpt and location.</w:t>
            </w:r>
          </w:p>
        </w:tc>
      </w:tr>
      <w:tr>
        <w:trPr>
          <w:cantSplit/>
        </w:trPr>
        <w:tc>
          <w:tcPr>
            <w:tcW w:type="dxa" w:w="1008"/>
            <w:tcMar>
              <w:top w:w="75" w:type="dxa"/>
              <w:start w:w="85" w:type="dxa"/>
              <w:bottom w:w="75" w:type="dxa"/>
              <w:end w:w="85" w:type="dxa"/>
            </w:tcMar>
            <w:vAlign w:val="top"/>
          </w:tcPr>
          <w:p>
            <w:pPr>
              <w:spacing w:after="0"/>
            </w:pPr>
            <w:r>
              <w:rPr>
                <w:sz w:val="16"/>
              </w:rPr>
              <w:t>FR-04</w:t>
            </w:r>
          </w:p>
        </w:tc>
        <w:tc>
          <w:tcPr>
            <w:tcW w:type="dxa" w:w="4464"/>
            <w:tcMar>
              <w:top w:w="75" w:type="dxa"/>
              <w:start w:w="85" w:type="dxa"/>
              <w:bottom w:w="75" w:type="dxa"/>
              <w:end w:w="85" w:type="dxa"/>
            </w:tcMar>
            <w:vAlign w:val="top"/>
          </w:tcPr>
          <w:p>
            <w:pPr>
              <w:spacing w:after="0"/>
            </w:pPr>
            <w:r>
              <w:rPr>
                <w:sz w:val="16"/>
              </w:rPr>
              <w:t>Map changes to facility entities.</w:t>
            </w:r>
          </w:p>
        </w:tc>
        <w:tc>
          <w:tcPr>
            <w:tcW w:type="dxa" w:w="4464"/>
            <w:tcMar>
              <w:top w:w="75" w:type="dxa"/>
              <w:start w:w="85" w:type="dxa"/>
              <w:bottom w:w="75" w:type="dxa"/>
              <w:end w:w="85" w:type="dxa"/>
            </w:tcMar>
            <w:vAlign w:val="top"/>
          </w:tcPr>
          <w:p>
            <w:pPr>
              <w:spacing w:after="0"/>
            </w:pPr>
            <w:r>
              <w:rPr>
                <w:sz w:val="16"/>
              </w:rPr>
              <w:t>Hero cases resolve to the correct synthetic asset and linked controls.</w:t>
            </w:r>
          </w:p>
        </w:tc>
      </w:tr>
      <w:tr>
        <w:trPr>
          <w:cantSplit/>
        </w:trPr>
        <w:tc>
          <w:tcPr>
            <w:tcW w:type="dxa" w:w="1008"/>
            <w:tcMar>
              <w:top w:w="75" w:type="dxa"/>
              <w:start w:w="85" w:type="dxa"/>
              <w:bottom w:w="75" w:type="dxa"/>
              <w:end w:w="85" w:type="dxa"/>
            </w:tcMar>
            <w:vAlign w:val="top"/>
          </w:tcPr>
          <w:p>
            <w:pPr>
              <w:spacing w:after="0"/>
            </w:pPr>
            <w:r>
              <w:rPr>
                <w:sz w:val="16"/>
              </w:rPr>
              <w:t>FR-05</w:t>
            </w:r>
          </w:p>
        </w:tc>
        <w:tc>
          <w:tcPr>
            <w:tcW w:type="dxa" w:w="4464"/>
            <w:tcMar>
              <w:top w:w="75" w:type="dxa"/>
              <w:start w:w="85" w:type="dxa"/>
              <w:bottom w:w="75" w:type="dxa"/>
              <w:end w:w="85" w:type="dxa"/>
            </w:tcMar>
            <w:vAlign w:val="top"/>
          </w:tcPr>
          <w:p>
            <w:pPr>
              <w:spacing w:after="0"/>
            </w:pPr>
            <w:r>
              <w:rPr>
                <w:sz w:val="16"/>
              </w:rPr>
              <w:t>Detect conflicts.</w:t>
            </w:r>
          </w:p>
        </w:tc>
        <w:tc>
          <w:tcPr>
            <w:tcW w:type="dxa" w:w="4464"/>
            <w:tcMar>
              <w:top w:w="75" w:type="dxa"/>
              <w:start w:w="85" w:type="dxa"/>
              <w:bottom w:w="75" w:type="dxa"/>
              <w:end w:w="85" w:type="dxa"/>
            </w:tcMar>
            <w:vAlign w:val="top"/>
          </w:tcPr>
          <w:p>
            <w:pPr>
              <w:spacing w:after="0"/>
            </w:pPr>
            <w:r>
              <w:rPr>
                <w:sz w:val="16"/>
              </w:rPr>
              <w:t>The system identifies seeded old values / frequencies in SOPs or schedules.</w:t>
            </w:r>
          </w:p>
        </w:tc>
      </w:tr>
      <w:tr>
        <w:trPr>
          <w:cantSplit/>
        </w:trPr>
        <w:tc>
          <w:tcPr>
            <w:tcW w:type="dxa" w:w="1008"/>
            <w:tcMar>
              <w:top w:w="75" w:type="dxa"/>
              <w:start w:w="85" w:type="dxa"/>
              <w:bottom w:w="75" w:type="dxa"/>
              <w:end w:w="85" w:type="dxa"/>
            </w:tcMar>
            <w:vAlign w:val="top"/>
          </w:tcPr>
          <w:p>
            <w:pPr>
              <w:spacing w:after="0"/>
            </w:pPr>
            <w:r>
              <w:rPr>
                <w:sz w:val="16"/>
              </w:rPr>
              <w:t>FR-06</w:t>
            </w:r>
          </w:p>
        </w:tc>
        <w:tc>
          <w:tcPr>
            <w:tcW w:type="dxa" w:w="4464"/>
            <w:tcMar>
              <w:top w:w="75" w:type="dxa"/>
              <w:start w:w="85" w:type="dxa"/>
              <w:bottom w:w="75" w:type="dxa"/>
              <w:end w:w="85" w:type="dxa"/>
            </w:tcMar>
            <w:vAlign w:val="top"/>
          </w:tcPr>
          <w:p>
            <w:pPr>
              <w:spacing w:after="0"/>
            </w:pPr>
            <w:r>
              <w:rPr>
                <w:sz w:val="16"/>
              </w:rPr>
              <w:t>Generate implementation actions.</w:t>
            </w:r>
          </w:p>
        </w:tc>
        <w:tc>
          <w:tcPr>
            <w:tcW w:type="dxa" w:w="4464"/>
            <w:tcMar>
              <w:top w:w="75" w:type="dxa"/>
              <w:start w:w="85" w:type="dxa"/>
              <w:bottom w:w="75" w:type="dxa"/>
              <w:end w:w="85" w:type="dxa"/>
            </w:tcMar>
            <w:vAlign w:val="top"/>
          </w:tcPr>
          <w:p>
            <w:pPr>
              <w:spacing w:after="0"/>
            </w:pPr>
            <w:r>
              <w:rPr>
                <w:sz w:val="16"/>
              </w:rPr>
              <w:t>Each high-impact change produces editable tasks with owner, due date, and required evidence.</w:t>
            </w:r>
          </w:p>
        </w:tc>
      </w:tr>
      <w:tr>
        <w:trPr>
          <w:cantSplit/>
        </w:trPr>
        <w:tc>
          <w:tcPr>
            <w:tcW w:type="dxa" w:w="1008"/>
            <w:tcMar>
              <w:top w:w="75" w:type="dxa"/>
              <w:start w:w="85" w:type="dxa"/>
              <w:bottom w:w="75" w:type="dxa"/>
              <w:end w:w="85" w:type="dxa"/>
            </w:tcMar>
            <w:vAlign w:val="top"/>
          </w:tcPr>
          <w:p>
            <w:pPr>
              <w:spacing w:after="0"/>
            </w:pPr>
            <w:r>
              <w:rPr>
                <w:sz w:val="16"/>
              </w:rPr>
              <w:t>FR-07</w:t>
            </w:r>
          </w:p>
        </w:tc>
        <w:tc>
          <w:tcPr>
            <w:tcW w:type="dxa" w:w="4464"/>
            <w:tcMar>
              <w:top w:w="75" w:type="dxa"/>
              <w:start w:w="85" w:type="dxa"/>
              <w:bottom w:w="75" w:type="dxa"/>
              <w:end w:w="85" w:type="dxa"/>
            </w:tcMar>
            <w:vAlign w:val="top"/>
          </w:tcPr>
          <w:p>
            <w:pPr>
              <w:spacing w:after="0"/>
            </w:pPr>
            <w:r>
              <w:rPr>
                <w:sz w:val="16"/>
              </w:rPr>
              <w:t>Support human review.</w:t>
            </w:r>
          </w:p>
        </w:tc>
        <w:tc>
          <w:tcPr>
            <w:tcW w:type="dxa" w:w="4464"/>
            <w:tcMar>
              <w:top w:w="75" w:type="dxa"/>
              <w:start w:w="85" w:type="dxa"/>
              <w:bottom w:w="75" w:type="dxa"/>
              <w:end w:w="85" w:type="dxa"/>
            </w:tcMar>
            <w:vAlign w:val="top"/>
          </w:tcPr>
          <w:p>
            <w:pPr>
              <w:spacing w:after="0"/>
            </w:pPr>
            <w:r>
              <w:rPr>
                <w:sz w:val="16"/>
              </w:rPr>
              <w:t>Reviewer can approve, reject, edit, and add notes.</w:t>
            </w:r>
          </w:p>
        </w:tc>
      </w:tr>
      <w:tr>
        <w:trPr>
          <w:cantSplit/>
        </w:trPr>
        <w:tc>
          <w:tcPr>
            <w:tcW w:type="dxa" w:w="1008"/>
            <w:tcMar>
              <w:top w:w="75" w:type="dxa"/>
              <w:start w:w="85" w:type="dxa"/>
              <w:bottom w:w="75" w:type="dxa"/>
              <w:end w:w="85" w:type="dxa"/>
            </w:tcMar>
            <w:vAlign w:val="top"/>
          </w:tcPr>
          <w:p>
            <w:pPr>
              <w:spacing w:after="0"/>
            </w:pPr>
            <w:r>
              <w:rPr>
                <w:sz w:val="16"/>
              </w:rPr>
              <w:t>FR-08</w:t>
            </w:r>
          </w:p>
        </w:tc>
        <w:tc>
          <w:tcPr>
            <w:tcW w:type="dxa" w:w="4464"/>
            <w:tcMar>
              <w:top w:w="75" w:type="dxa"/>
              <w:start w:w="85" w:type="dxa"/>
              <w:bottom w:w="75" w:type="dxa"/>
              <w:end w:w="85" w:type="dxa"/>
            </w:tcMar>
            <w:vAlign w:val="top"/>
          </w:tcPr>
          <w:p>
            <w:pPr>
              <w:spacing w:after="0"/>
            </w:pPr>
            <w:r>
              <w:rPr>
                <w:sz w:val="16"/>
              </w:rPr>
              <w:t>Verify evidence.</w:t>
            </w:r>
          </w:p>
        </w:tc>
        <w:tc>
          <w:tcPr>
            <w:tcW w:type="dxa" w:w="4464"/>
            <w:tcMar>
              <w:top w:w="75" w:type="dxa"/>
              <w:start w:w="85" w:type="dxa"/>
              <w:bottom w:w="75" w:type="dxa"/>
              <w:end w:w="85" w:type="dxa"/>
            </w:tcMar>
            <w:vAlign w:val="top"/>
          </w:tcPr>
          <w:p>
            <w:pPr>
              <w:spacing w:after="0"/>
            </w:pPr>
            <w:r>
              <w:rPr>
                <w:sz w:val="16"/>
              </w:rPr>
              <w:t>Submitted evidence is checked for relevance/completeness, never auto-approved.</w:t>
            </w:r>
          </w:p>
        </w:tc>
      </w:tr>
      <w:tr>
        <w:trPr>
          <w:cantSplit/>
        </w:trPr>
        <w:tc>
          <w:tcPr>
            <w:tcW w:type="dxa" w:w="1008"/>
            <w:tcMar>
              <w:top w:w="75" w:type="dxa"/>
              <w:start w:w="85" w:type="dxa"/>
              <w:bottom w:w="75" w:type="dxa"/>
              <w:end w:w="85" w:type="dxa"/>
            </w:tcMar>
            <w:vAlign w:val="top"/>
          </w:tcPr>
          <w:p>
            <w:pPr>
              <w:spacing w:after="0"/>
            </w:pPr>
            <w:r>
              <w:rPr>
                <w:sz w:val="16"/>
              </w:rPr>
              <w:t>FR-09</w:t>
            </w:r>
          </w:p>
        </w:tc>
        <w:tc>
          <w:tcPr>
            <w:tcW w:type="dxa" w:w="4464"/>
            <w:tcMar>
              <w:top w:w="75" w:type="dxa"/>
              <w:start w:w="85" w:type="dxa"/>
              <w:bottom w:w="75" w:type="dxa"/>
              <w:end w:w="85" w:type="dxa"/>
            </w:tcMar>
            <w:vAlign w:val="top"/>
          </w:tcPr>
          <w:p>
            <w:pPr>
              <w:spacing w:after="0"/>
            </w:pPr>
            <w:r>
              <w:rPr>
                <w:sz w:val="16"/>
              </w:rPr>
              <w:t>Maintain audit trail.</w:t>
            </w:r>
          </w:p>
        </w:tc>
        <w:tc>
          <w:tcPr>
            <w:tcW w:type="dxa" w:w="4464"/>
            <w:tcMar>
              <w:top w:w="75" w:type="dxa"/>
              <w:start w:w="85" w:type="dxa"/>
              <w:bottom w:w="75" w:type="dxa"/>
              <w:end w:w="85" w:type="dxa"/>
            </w:tcMar>
            <w:vAlign w:val="top"/>
          </w:tcPr>
          <w:p>
            <w:pPr>
              <w:spacing w:after="0"/>
            </w:pPr>
            <w:r>
              <w:rPr>
                <w:sz w:val="16"/>
              </w:rPr>
              <w:t>Every AI output and human action is timestamped and linked.</w:t>
            </w:r>
          </w:p>
        </w:tc>
      </w:tr>
      <w:tr>
        <w:trPr>
          <w:cantSplit/>
        </w:trPr>
        <w:tc>
          <w:tcPr>
            <w:tcW w:type="dxa" w:w="1008"/>
            <w:tcMar>
              <w:top w:w="75" w:type="dxa"/>
              <w:start w:w="85" w:type="dxa"/>
              <w:bottom w:w="75" w:type="dxa"/>
              <w:end w:w="85" w:type="dxa"/>
            </w:tcMar>
            <w:vAlign w:val="top"/>
          </w:tcPr>
          <w:p>
            <w:pPr>
              <w:spacing w:after="0"/>
            </w:pPr>
            <w:r>
              <w:rPr>
                <w:sz w:val="16"/>
              </w:rPr>
              <w:t>FR-10</w:t>
            </w:r>
          </w:p>
        </w:tc>
        <w:tc>
          <w:tcPr>
            <w:tcW w:type="dxa" w:w="4464"/>
            <w:tcMar>
              <w:top w:w="75" w:type="dxa"/>
              <w:start w:w="85" w:type="dxa"/>
              <w:bottom w:w="75" w:type="dxa"/>
              <w:end w:w="85" w:type="dxa"/>
            </w:tcMar>
            <w:vAlign w:val="top"/>
          </w:tcPr>
          <w:p>
            <w:pPr>
              <w:spacing w:after="0"/>
            </w:pPr>
            <w:r>
              <w:rPr>
                <w:sz w:val="16"/>
              </w:rPr>
              <w:t>Expose uncertainty.</w:t>
            </w:r>
          </w:p>
        </w:tc>
        <w:tc>
          <w:tcPr>
            <w:tcW w:type="dxa" w:w="4464"/>
            <w:tcMar>
              <w:top w:w="75" w:type="dxa"/>
              <w:start w:w="85" w:type="dxa"/>
              <w:bottom w:w="75" w:type="dxa"/>
              <w:end w:w="85" w:type="dxa"/>
            </w:tcMar>
            <w:vAlign w:val="top"/>
          </w:tcPr>
          <w:p>
            <w:pPr>
              <w:spacing w:after="0"/>
            </w:pPr>
            <w:r>
              <w:rPr>
                <w:sz w:val="16"/>
              </w:rPr>
              <w:t>Low-confidence mappings are clearly flagged instead of hidden.</w:t>
            </w:r>
          </w:p>
        </w:tc>
      </w:tr>
    </w:tbl>
    <w:p>
      <w:pPr>
        <w:spacing w:after="0"/>
      </w:pPr>
    </w:p>
    <w:p>
      <w:pPr>
        <w:pStyle w:val="Heading1"/>
        <w:keepNext/>
      </w:pPr>
      <w:r>
        <w:t>9. Data Model</w:t>
      </w:r>
    </w:p>
    <w:p>
      <w:r>
        <w:t>Use relational tables for authoritative facts. Use vector search for unstructured evidence. Relationships can be represented with join tables; a dedicated graph database is optional, not required for v1.</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592"/>
            <w:shd w:fill="12263A"/>
            <w:tcMar>
              <w:top w:w="85" w:type="dxa"/>
              <w:start w:w="90" w:type="dxa"/>
              <w:bottom w:w="85" w:type="dxa"/>
              <w:end w:w="90" w:type="dxa"/>
            </w:tcMar>
            <w:vAlign w:val="center"/>
          </w:tcPr>
          <w:p>
            <w:r>
              <w:rPr>
                <w:b/>
                <w:color w:val="FFFFFF"/>
                <w:sz w:val="17"/>
              </w:rPr>
              <w:t>Entity</w:t>
            </w:r>
          </w:p>
        </w:tc>
        <w:tc>
          <w:tcPr>
            <w:tcW w:type="dxa" w:w="7344"/>
            <w:shd w:fill="12263A"/>
            <w:tcMar>
              <w:top w:w="85" w:type="dxa"/>
              <w:start w:w="90" w:type="dxa"/>
              <w:bottom w:w="85" w:type="dxa"/>
              <w:end w:w="90" w:type="dxa"/>
            </w:tcMar>
            <w:vAlign w:val="center"/>
          </w:tcPr>
          <w:p>
            <w:r>
              <w:rPr>
                <w:b/>
                <w:color w:val="FFFFFF"/>
                <w:sz w:val="17"/>
              </w:rPr>
              <w:t>Important fields</w:t>
            </w:r>
          </w:p>
        </w:tc>
      </w:tr>
      <w:tr>
        <w:trPr>
          <w:cantSplit/>
        </w:trPr>
        <w:tc>
          <w:tcPr>
            <w:tcW w:type="dxa" w:w="2592"/>
            <w:tcMar>
              <w:top w:w="75" w:type="dxa"/>
              <w:start w:w="85" w:type="dxa"/>
              <w:bottom w:w="75" w:type="dxa"/>
              <w:end w:w="85" w:type="dxa"/>
            </w:tcMar>
            <w:vAlign w:val="top"/>
          </w:tcPr>
          <w:p>
            <w:pPr>
              <w:spacing w:after="0"/>
            </w:pPr>
            <w:r>
              <w:rPr>
                <w:sz w:val="16"/>
              </w:rPr>
              <w:t>permit</w:t>
            </w:r>
          </w:p>
        </w:tc>
        <w:tc>
          <w:tcPr>
            <w:tcW w:type="dxa" w:w="7344"/>
            <w:tcMar>
              <w:top w:w="75" w:type="dxa"/>
              <w:start w:w="85" w:type="dxa"/>
              <w:bottom w:w="75" w:type="dxa"/>
              <w:end w:w="85" w:type="dxa"/>
            </w:tcMar>
            <w:vAlign w:val="top"/>
          </w:tcPr>
          <w:p>
            <w:pPr>
              <w:spacing w:after="0"/>
            </w:pPr>
            <w:r>
              <w:rPr>
                <w:sz w:val="16"/>
              </w:rPr>
              <w:t>id, name, version, status, effective_date, file_url</w:t>
            </w:r>
          </w:p>
        </w:tc>
      </w:tr>
      <w:tr>
        <w:trPr>
          <w:cantSplit/>
        </w:trPr>
        <w:tc>
          <w:tcPr>
            <w:tcW w:type="dxa" w:w="2592"/>
            <w:tcMar>
              <w:top w:w="75" w:type="dxa"/>
              <w:start w:w="85" w:type="dxa"/>
              <w:bottom w:w="75" w:type="dxa"/>
              <w:end w:w="85" w:type="dxa"/>
            </w:tcMar>
            <w:vAlign w:val="top"/>
          </w:tcPr>
          <w:p>
            <w:pPr>
              <w:spacing w:after="0"/>
            </w:pPr>
            <w:r>
              <w:rPr>
                <w:sz w:val="16"/>
              </w:rPr>
              <w:t>permit_requirement</w:t>
            </w:r>
          </w:p>
        </w:tc>
        <w:tc>
          <w:tcPr>
            <w:tcW w:type="dxa" w:w="7344"/>
            <w:tcMar>
              <w:top w:w="75" w:type="dxa"/>
              <w:start w:w="85" w:type="dxa"/>
              <w:bottom w:w="75" w:type="dxa"/>
              <w:end w:w="85" w:type="dxa"/>
            </w:tcMar>
            <w:vAlign w:val="top"/>
          </w:tcPr>
          <w:p>
            <w:pPr>
              <w:spacing w:after="0"/>
            </w:pPr>
            <w:r>
              <w:rPr>
                <w:sz w:val="16"/>
              </w:rPr>
              <w:t>id, permit_id, section, page, raw_text, normalized_type, pollutant, unit, limit_value, frequency, confidence</w:t>
            </w:r>
          </w:p>
        </w:tc>
      </w:tr>
      <w:tr>
        <w:trPr>
          <w:cantSplit/>
        </w:trPr>
        <w:tc>
          <w:tcPr>
            <w:tcW w:type="dxa" w:w="2592"/>
            <w:tcMar>
              <w:top w:w="75" w:type="dxa"/>
              <w:start w:w="85" w:type="dxa"/>
              <w:bottom w:w="75" w:type="dxa"/>
              <w:end w:w="85" w:type="dxa"/>
            </w:tcMar>
            <w:vAlign w:val="top"/>
          </w:tcPr>
          <w:p>
            <w:pPr>
              <w:spacing w:after="0"/>
            </w:pPr>
            <w:r>
              <w:rPr>
                <w:sz w:val="16"/>
              </w:rPr>
              <w:t>permit_change</w:t>
            </w:r>
          </w:p>
        </w:tc>
        <w:tc>
          <w:tcPr>
            <w:tcW w:type="dxa" w:w="7344"/>
            <w:tcMar>
              <w:top w:w="75" w:type="dxa"/>
              <w:start w:w="85" w:type="dxa"/>
              <w:bottom w:w="75" w:type="dxa"/>
              <w:end w:w="85" w:type="dxa"/>
            </w:tcMar>
            <w:vAlign w:val="top"/>
          </w:tcPr>
          <w:p>
            <w:pPr>
              <w:spacing w:after="0"/>
            </w:pPr>
            <w:r>
              <w:rPr>
                <w:sz w:val="16"/>
              </w:rPr>
              <w:t>id, old_requirement_id, new_requirement_id, change_type, severity, summary, confidence</w:t>
            </w:r>
          </w:p>
        </w:tc>
      </w:tr>
      <w:tr>
        <w:trPr>
          <w:cantSplit/>
        </w:trPr>
        <w:tc>
          <w:tcPr>
            <w:tcW w:type="dxa" w:w="2592"/>
            <w:tcMar>
              <w:top w:w="75" w:type="dxa"/>
              <w:start w:w="85" w:type="dxa"/>
              <w:bottom w:w="75" w:type="dxa"/>
              <w:end w:w="85" w:type="dxa"/>
            </w:tcMar>
            <w:vAlign w:val="top"/>
          </w:tcPr>
          <w:p>
            <w:pPr>
              <w:spacing w:after="0"/>
            </w:pPr>
            <w:r>
              <w:rPr>
                <w:sz w:val="16"/>
              </w:rPr>
              <w:t>facility_asset</w:t>
            </w:r>
          </w:p>
        </w:tc>
        <w:tc>
          <w:tcPr>
            <w:tcW w:type="dxa" w:w="7344"/>
            <w:tcMar>
              <w:top w:w="75" w:type="dxa"/>
              <w:start w:w="85" w:type="dxa"/>
              <w:bottom w:w="75" w:type="dxa"/>
              <w:end w:w="85" w:type="dxa"/>
            </w:tcMar>
            <w:vAlign w:val="top"/>
          </w:tcPr>
          <w:p>
            <w:pPr>
              <w:spacing w:after="0"/>
            </w:pPr>
            <w:r>
              <w:rPr>
                <w:sz w:val="16"/>
              </w:rPr>
              <w:t>id, asset_code, name, asset_type, area, tags</w:t>
            </w:r>
          </w:p>
        </w:tc>
      </w:tr>
      <w:tr>
        <w:trPr>
          <w:cantSplit/>
        </w:trPr>
        <w:tc>
          <w:tcPr>
            <w:tcW w:type="dxa" w:w="2592"/>
            <w:tcMar>
              <w:top w:w="75" w:type="dxa"/>
              <w:start w:w="85" w:type="dxa"/>
              <w:bottom w:w="75" w:type="dxa"/>
              <w:end w:w="85" w:type="dxa"/>
            </w:tcMar>
            <w:vAlign w:val="top"/>
          </w:tcPr>
          <w:p>
            <w:pPr>
              <w:spacing w:after="0"/>
            </w:pPr>
            <w:r>
              <w:rPr>
                <w:sz w:val="16"/>
              </w:rPr>
              <w:t>control</w:t>
            </w:r>
          </w:p>
        </w:tc>
        <w:tc>
          <w:tcPr>
            <w:tcW w:type="dxa" w:w="7344"/>
            <w:tcMar>
              <w:top w:w="75" w:type="dxa"/>
              <w:start w:w="85" w:type="dxa"/>
              <w:bottom w:w="75" w:type="dxa"/>
              <w:end w:w="85" w:type="dxa"/>
            </w:tcMar>
            <w:vAlign w:val="top"/>
          </w:tcPr>
          <w:p>
            <w:pPr>
              <w:spacing w:after="0"/>
            </w:pPr>
            <w:r>
              <w:rPr>
                <w:sz w:val="16"/>
              </w:rPr>
              <w:t>id, asset_id, control_type, name, value, unit, frequency, source_document_id</w:t>
            </w:r>
          </w:p>
        </w:tc>
      </w:tr>
      <w:tr>
        <w:trPr>
          <w:cantSplit/>
        </w:trPr>
        <w:tc>
          <w:tcPr>
            <w:tcW w:type="dxa" w:w="2592"/>
            <w:tcMar>
              <w:top w:w="75" w:type="dxa"/>
              <w:start w:w="85" w:type="dxa"/>
              <w:bottom w:w="75" w:type="dxa"/>
              <w:end w:w="85" w:type="dxa"/>
            </w:tcMar>
            <w:vAlign w:val="top"/>
          </w:tcPr>
          <w:p>
            <w:pPr>
              <w:spacing w:after="0"/>
            </w:pPr>
            <w:r>
              <w:rPr>
                <w:sz w:val="16"/>
              </w:rPr>
              <w:t>document</w:t>
            </w:r>
          </w:p>
        </w:tc>
        <w:tc>
          <w:tcPr>
            <w:tcW w:type="dxa" w:w="7344"/>
            <w:tcMar>
              <w:top w:w="75" w:type="dxa"/>
              <w:start w:w="85" w:type="dxa"/>
              <w:bottom w:w="75" w:type="dxa"/>
              <w:end w:w="85" w:type="dxa"/>
            </w:tcMar>
            <w:vAlign w:val="top"/>
          </w:tcPr>
          <w:p>
            <w:pPr>
              <w:spacing w:after="0"/>
            </w:pPr>
            <w:r>
              <w:rPr>
                <w:sz w:val="16"/>
              </w:rPr>
              <w:t>id, title, document_type, version, file_url, effective_date</w:t>
            </w:r>
          </w:p>
        </w:tc>
      </w:tr>
      <w:tr>
        <w:trPr>
          <w:cantSplit/>
        </w:trPr>
        <w:tc>
          <w:tcPr>
            <w:tcW w:type="dxa" w:w="2592"/>
            <w:tcMar>
              <w:top w:w="75" w:type="dxa"/>
              <w:start w:w="85" w:type="dxa"/>
              <w:bottom w:w="75" w:type="dxa"/>
              <w:end w:w="85" w:type="dxa"/>
            </w:tcMar>
            <w:vAlign w:val="top"/>
          </w:tcPr>
          <w:p>
            <w:pPr>
              <w:spacing w:after="0"/>
            </w:pPr>
            <w:r>
              <w:rPr>
                <w:sz w:val="16"/>
              </w:rPr>
              <w:t>document_chunk</w:t>
            </w:r>
          </w:p>
        </w:tc>
        <w:tc>
          <w:tcPr>
            <w:tcW w:type="dxa" w:w="7344"/>
            <w:tcMar>
              <w:top w:w="75" w:type="dxa"/>
              <w:start w:w="85" w:type="dxa"/>
              <w:bottom w:w="75" w:type="dxa"/>
              <w:end w:w="85" w:type="dxa"/>
            </w:tcMar>
            <w:vAlign w:val="top"/>
          </w:tcPr>
          <w:p>
            <w:pPr>
              <w:spacing w:after="0"/>
            </w:pPr>
            <w:r>
              <w:rPr>
                <w:sz w:val="16"/>
              </w:rPr>
              <w:t>id, document_id, text, embedding, page_or_section</w:t>
            </w:r>
          </w:p>
        </w:tc>
      </w:tr>
      <w:tr>
        <w:trPr>
          <w:cantSplit/>
        </w:trPr>
        <w:tc>
          <w:tcPr>
            <w:tcW w:type="dxa" w:w="2592"/>
            <w:tcMar>
              <w:top w:w="75" w:type="dxa"/>
              <w:start w:w="85" w:type="dxa"/>
              <w:bottom w:w="75" w:type="dxa"/>
              <w:end w:w="85" w:type="dxa"/>
            </w:tcMar>
            <w:vAlign w:val="top"/>
          </w:tcPr>
          <w:p>
            <w:pPr>
              <w:spacing w:after="0"/>
            </w:pPr>
            <w:r>
              <w:rPr>
                <w:sz w:val="16"/>
              </w:rPr>
              <w:t>relationship</w:t>
            </w:r>
          </w:p>
        </w:tc>
        <w:tc>
          <w:tcPr>
            <w:tcW w:type="dxa" w:w="7344"/>
            <w:tcMar>
              <w:top w:w="75" w:type="dxa"/>
              <w:start w:w="85" w:type="dxa"/>
              <w:bottom w:w="75" w:type="dxa"/>
              <w:end w:w="85" w:type="dxa"/>
            </w:tcMar>
            <w:vAlign w:val="top"/>
          </w:tcPr>
          <w:p>
            <w:pPr>
              <w:spacing w:after="0"/>
            </w:pPr>
            <w:r>
              <w:rPr>
                <w:sz w:val="16"/>
              </w:rPr>
              <w:t>from_type, from_id, relation, to_type, to_id, confidence, evidence</w:t>
            </w:r>
          </w:p>
        </w:tc>
      </w:tr>
      <w:tr>
        <w:trPr>
          <w:cantSplit/>
        </w:trPr>
        <w:tc>
          <w:tcPr>
            <w:tcW w:type="dxa" w:w="2592"/>
            <w:tcMar>
              <w:top w:w="75" w:type="dxa"/>
              <w:start w:w="85" w:type="dxa"/>
              <w:bottom w:w="75" w:type="dxa"/>
              <w:end w:w="85" w:type="dxa"/>
            </w:tcMar>
            <w:vAlign w:val="top"/>
          </w:tcPr>
          <w:p>
            <w:pPr>
              <w:spacing w:after="0"/>
            </w:pPr>
            <w:r>
              <w:rPr>
                <w:sz w:val="16"/>
              </w:rPr>
              <w:t>implementation_action</w:t>
            </w:r>
          </w:p>
        </w:tc>
        <w:tc>
          <w:tcPr>
            <w:tcW w:type="dxa" w:w="7344"/>
            <w:tcMar>
              <w:top w:w="75" w:type="dxa"/>
              <w:start w:w="85" w:type="dxa"/>
              <w:bottom w:w="75" w:type="dxa"/>
              <w:end w:w="85" w:type="dxa"/>
            </w:tcMar>
            <w:vAlign w:val="top"/>
          </w:tcPr>
          <w:p>
            <w:pPr>
              <w:spacing w:after="0"/>
            </w:pPr>
            <w:r>
              <w:rPr>
                <w:sz w:val="16"/>
              </w:rPr>
              <w:t>id, change_id, title, owner_id, due_date, status, required_evidence</w:t>
            </w:r>
          </w:p>
        </w:tc>
      </w:tr>
      <w:tr>
        <w:trPr>
          <w:cantSplit/>
        </w:trPr>
        <w:tc>
          <w:tcPr>
            <w:tcW w:type="dxa" w:w="2592"/>
            <w:tcMar>
              <w:top w:w="75" w:type="dxa"/>
              <w:start w:w="85" w:type="dxa"/>
              <w:bottom w:w="75" w:type="dxa"/>
              <w:end w:w="85" w:type="dxa"/>
            </w:tcMar>
            <w:vAlign w:val="top"/>
          </w:tcPr>
          <w:p>
            <w:pPr>
              <w:spacing w:after="0"/>
            </w:pPr>
            <w:r>
              <w:rPr>
                <w:sz w:val="16"/>
              </w:rPr>
              <w:t>evidence</w:t>
            </w:r>
          </w:p>
        </w:tc>
        <w:tc>
          <w:tcPr>
            <w:tcW w:type="dxa" w:w="7344"/>
            <w:tcMar>
              <w:top w:w="75" w:type="dxa"/>
              <w:start w:w="85" w:type="dxa"/>
              <w:bottom w:w="75" w:type="dxa"/>
              <w:end w:w="85" w:type="dxa"/>
            </w:tcMar>
            <w:vAlign w:val="top"/>
          </w:tcPr>
          <w:p>
            <w:pPr>
              <w:spacing w:after="0"/>
            </w:pPr>
            <w:r>
              <w:rPr>
                <w:sz w:val="16"/>
              </w:rPr>
              <w:t>id, action_id, file_url, note, ai_check_status, ai_check_reason</w:t>
            </w:r>
          </w:p>
        </w:tc>
      </w:tr>
      <w:tr>
        <w:trPr>
          <w:cantSplit/>
        </w:trPr>
        <w:tc>
          <w:tcPr>
            <w:tcW w:type="dxa" w:w="2592"/>
            <w:tcMar>
              <w:top w:w="75" w:type="dxa"/>
              <w:start w:w="85" w:type="dxa"/>
              <w:bottom w:w="75" w:type="dxa"/>
              <w:end w:w="85" w:type="dxa"/>
            </w:tcMar>
            <w:vAlign w:val="top"/>
          </w:tcPr>
          <w:p>
            <w:pPr>
              <w:spacing w:after="0"/>
            </w:pPr>
            <w:r>
              <w:rPr>
                <w:sz w:val="16"/>
              </w:rPr>
              <w:t>review_event</w:t>
            </w:r>
          </w:p>
        </w:tc>
        <w:tc>
          <w:tcPr>
            <w:tcW w:type="dxa" w:w="7344"/>
            <w:tcMar>
              <w:top w:w="75" w:type="dxa"/>
              <w:start w:w="85" w:type="dxa"/>
              <w:bottom w:w="75" w:type="dxa"/>
              <w:end w:w="85" w:type="dxa"/>
            </w:tcMar>
            <w:vAlign w:val="top"/>
          </w:tcPr>
          <w:p>
            <w:pPr>
              <w:spacing w:after="0"/>
            </w:pPr>
            <w:r>
              <w:rPr>
                <w:sz w:val="16"/>
              </w:rPr>
              <w:t>id, entity_type, entity_id, reviewer_id, decision, note, timestamp</w:t>
            </w:r>
          </w:p>
        </w:tc>
      </w:tr>
    </w:tbl>
    <w:p>
      <w:pPr>
        <w:spacing w:after="0"/>
      </w:pPr>
    </w:p>
    <w:p>
      <w:pPr>
        <w:pStyle w:val="Heading1"/>
        <w:keepNext/>
      </w:pPr>
      <w:r>
        <w:t>10. Technical Architecture</w:t>
      </w:r>
    </w:p>
    <w:tbl>
      <w:tblPr>
        <w:tblW w:type="auto" w:w="0"/>
        <w:jc w:val="center"/>
        <w:tblLook w:firstColumn="1" w:firstRow="1" w:lastColumn="0" w:lastRow="0" w:noHBand="0" w:noVBand="1" w:val="04A0"/>
      </w:tblPr>
      <w:tblGrid>
        <w:gridCol w:w="10224"/>
      </w:tblGrid>
      <w:tr>
        <w:trPr>
          <w:cantSplit/>
        </w:trPr>
        <w:tc>
          <w:tcPr>
            <w:tcW w:type="dxa" w:w="10224"/>
            <w:shd w:fill="F2F4F7"/>
            <w:tcMar>
              <w:top w:w="120" w:type="dxa"/>
              <w:start w:w="150" w:type="dxa"/>
              <w:bottom w:w="120" w:type="dxa"/>
              <w:end w:w="150" w:type="dxa"/>
            </w:tcMar>
          </w:tcPr>
          <w:p>
            <w:pPr>
              <w:spacing w:after="0"/>
            </w:pPr>
            <w:r>
              <w:rPr>
                <w:rFonts w:ascii="Courier New" w:hAnsi="Courier New"/>
                <w:sz w:val="16"/>
              </w:rPr>
              <w:t>Next.js / React UI</w:t>
              <w:br/>
            </w:r>
            <w:r>
              <w:rPr>
                <w:rFonts w:ascii="Courier New" w:hAnsi="Courier New"/>
                <w:sz w:val="16"/>
              </w:rPr>
              <w:t xml:space="preserve">       │</w:t>
              <w:br/>
            </w:r>
            <w:r>
              <w:rPr>
                <w:rFonts w:ascii="Courier New" w:hAnsi="Courier New"/>
                <w:sz w:val="16"/>
              </w:rPr>
              <w:t xml:space="preserve">       ├── Supabase Auth + Postgres</w:t>
              <w:br/>
            </w:r>
            <w:r>
              <w:rPr>
                <w:rFonts w:ascii="Courier New" w:hAnsi="Courier New"/>
                <w:sz w:val="16"/>
              </w:rPr>
              <w:t xml:space="preserve">       ├── Object Storage (permit/SOP/evidence files)</w:t>
              <w:br/>
            </w:r>
            <w:r>
              <w:rPr>
                <w:rFonts w:ascii="Courier New" w:hAnsi="Courier New"/>
                <w:sz w:val="16"/>
              </w:rPr>
              <w:t xml:space="preserve">       ├── pgvector for document retrieval</w:t>
              <w:br/>
            </w:r>
            <w:r>
              <w:rPr>
                <w:rFonts w:ascii="Courier New" w:hAnsi="Courier New"/>
                <w:sz w:val="16"/>
              </w:rPr>
              <w:t xml:space="preserve">       │</w:t>
              <w:br/>
            </w:r>
            <w:r>
              <w:rPr>
                <w:rFonts w:ascii="Courier New" w:hAnsi="Courier New"/>
                <w:sz w:val="16"/>
              </w:rPr>
              <w:t xml:space="preserve">       └── Agent Orchestrator</w:t>
              <w:br/>
            </w:r>
            <w:r>
              <w:rPr>
                <w:rFonts w:ascii="Courier New" w:hAnsi="Courier New"/>
                <w:sz w:val="16"/>
              </w:rPr>
              <w:t xml:space="preserve">            ├── Permit Parser</w:t>
              <w:br/>
            </w:r>
            <w:r>
              <w:rPr>
                <w:rFonts w:ascii="Courier New" w:hAnsi="Courier New"/>
                <w:sz w:val="16"/>
              </w:rPr>
              <w:t xml:space="preserve">            ├── Requirement Normalizer</w:t>
              <w:br/>
            </w:r>
            <w:r>
              <w:rPr>
                <w:rFonts w:ascii="Courier New" w:hAnsi="Courier New"/>
                <w:sz w:val="16"/>
              </w:rPr>
              <w:t xml:space="preserve">            ├── Permit Diff Agent</w:t>
              <w:br/>
            </w:r>
            <w:r>
              <w:rPr>
                <w:rFonts w:ascii="Courier New" w:hAnsi="Courier New"/>
                <w:sz w:val="16"/>
              </w:rPr>
              <w:t xml:space="preserve">            ├── Facility Impact Resolver</w:t>
              <w:br/>
            </w:r>
            <w:r>
              <w:rPr>
                <w:rFonts w:ascii="Courier New" w:hAnsi="Courier New"/>
                <w:sz w:val="16"/>
              </w:rPr>
              <w:t xml:space="preserve">            ├── Conflict Detector</w:t>
              <w:br/>
            </w:r>
            <w:r>
              <w:rPr>
                <w:rFonts w:ascii="Courier New" w:hAnsi="Courier New"/>
                <w:sz w:val="16"/>
              </w:rPr>
              <w:t xml:space="preserve">            ├── Implementation Planner</w:t>
              <w:br/>
            </w:r>
            <w:r>
              <w:rPr>
                <w:rFonts w:ascii="Courier New" w:hAnsi="Courier New"/>
                <w:sz w:val="16"/>
              </w:rPr>
              <w:t xml:space="preserve">            └── Evidence Reviewer</w:t>
              <w:br/>
            </w:r>
            <w:r>
              <w:rPr>
                <w:rFonts w:ascii="Courier New" w:hAnsi="Courier New"/>
                <w:sz w:val="16"/>
              </w:rPr>
              <w:br/>
            </w:r>
            <w:r>
              <w:rPr>
                <w:rFonts w:ascii="Courier New" w:hAnsi="Courier New"/>
                <w:sz w:val="16"/>
              </w:rPr>
              <w:t>LLM: any strong structured-output model</w:t>
              <w:br/>
            </w:r>
            <w:r>
              <w:rPr>
                <w:rFonts w:ascii="Courier New" w:hAnsi="Courier New"/>
                <w:sz w:val="16"/>
              </w:rPr>
              <w:t>Deployment: Vercel + Supabase is sufficient for the prototype</w:t>
            </w:r>
          </w:p>
        </w:tc>
      </w:tr>
    </w:tbl>
    <w:p>
      <w:pPr>
        <w:pStyle w:val="Heading2"/>
        <w:keepNext/>
      </w:pPr>
      <w:r>
        <w:t>Do not over-engineer</w:t>
      </w:r>
    </w:p>
    <w:p>
      <w:pPr>
        <w:pStyle w:val="ListBullet"/>
        <w:spacing w:after="50"/>
      </w:pPr>
      <w:r>
        <w:t>No microservices.</w:t>
      </w:r>
    </w:p>
    <w:p>
      <w:pPr>
        <w:pStyle w:val="ListBullet"/>
        <w:spacing w:after="50"/>
      </w:pPr>
      <w:r>
        <w:t>No Kubernetes.</w:t>
      </w:r>
    </w:p>
    <w:p>
      <w:pPr>
        <w:pStyle w:val="ListBullet"/>
        <w:spacing w:after="50"/>
      </w:pPr>
      <w:r>
        <w:t>No custom vector database unless truly necessary.</w:t>
      </w:r>
    </w:p>
    <w:p>
      <w:pPr>
        <w:pStyle w:val="ListBullet"/>
        <w:spacing w:after="50"/>
      </w:pPr>
      <w:r>
        <w:t>No graph database unless relational joins become painful.</w:t>
      </w:r>
    </w:p>
    <w:p>
      <w:pPr>
        <w:pStyle w:val="ListBullet"/>
        <w:spacing w:after="50"/>
      </w:pPr>
      <w:r>
        <w:t>No autonomous browser agent.</w:t>
      </w:r>
    </w:p>
    <w:p>
      <w:pPr>
        <w:pStyle w:val="ListBullet"/>
        <w:spacing w:after="50"/>
      </w:pPr>
      <w:r>
        <w:t>No real refinery integrations.</w:t>
      </w:r>
    </w:p>
    <w:p>
      <w:pPr>
        <w:pStyle w:val="ListBullet"/>
        <w:spacing w:after="50"/>
      </w:pPr>
      <w:r>
        <w:t>Prefer explicit deterministic code for numeric comparisons, units, dates, and status transitions.</w:t>
      </w:r>
    </w:p>
    <w:p>
      <w:pPr>
        <w:pStyle w:val="Heading1"/>
        <w:keepNext/>
      </w:pPr>
      <w:r>
        <w:t>11. AI / Retrieval Design</w:t>
      </w:r>
    </w:p>
    <w:p>
      <w:pPr>
        <w:pStyle w:val="Heading2"/>
        <w:keepNext/>
      </w:pPr>
      <w:r>
        <w:t>Use the LLM for</w:t>
      </w:r>
    </w:p>
    <w:p>
      <w:pPr>
        <w:pStyle w:val="ListBullet"/>
        <w:spacing w:after="50"/>
      </w:pPr>
      <w:r>
        <w:t>Classifying clauses and extracting structured attributes.</w:t>
      </w:r>
    </w:p>
    <w:p>
      <w:pPr>
        <w:pStyle w:val="ListBullet"/>
        <w:spacing w:after="50"/>
      </w:pPr>
      <w:r>
        <w:t>Pairing semantically equivalent clauses across versions.</w:t>
      </w:r>
    </w:p>
    <w:p>
      <w:pPr>
        <w:pStyle w:val="ListBullet"/>
        <w:spacing w:after="50"/>
      </w:pPr>
      <w:r>
        <w:t>Summarizing substantive wording changes.</w:t>
      </w:r>
    </w:p>
    <w:p>
      <w:pPr>
        <w:pStyle w:val="ListBullet"/>
        <w:spacing w:after="50"/>
      </w:pPr>
      <w:r>
        <w:t>Generating candidate facility relationships.</w:t>
      </w:r>
    </w:p>
    <w:p>
      <w:pPr>
        <w:pStyle w:val="ListBullet"/>
        <w:spacing w:after="50"/>
      </w:pPr>
      <w:r>
        <w:t>Explaining why a document/control appears affected.</w:t>
      </w:r>
    </w:p>
    <w:p>
      <w:pPr>
        <w:pStyle w:val="ListBullet"/>
        <w:spacing w:after="50"/>
      </w:pPr>
      <w:r>
        <w:t>Drafting proposed implementation actions.</w:t>
      </w:r>
    </w:p>
    <w:p>
      <w:pPr>
        <w:pStyle w:val="ListBullet"/>
        <w:spacing w:after="50"/>
      </w:pPr>
      <w:r>
        <w:t>Checking whether submitted evidence appears responsive to an action.</w:t>
      </w:r>
    </w:p>
    <w:p>
      <w:pPr>
        <w:pStyle w:val="Heading2"/>
        <w:keepNext/>
      </w:pPr>
      <w:r>
        <w:t>Do NOT use the LLM alone for</w:t>
      </w:r>
    </w:p>
    <w:p>
      <w:pPr>
        <w:pStyle w:val="ListBullet"/>
        <w:spacing w:after="50"/>
      </w:pPr>
      <w:r>
        <w:t>Numeric delta calculation.</w:t>
      </w:r>
    </w:p>
    <w:p>
      <w:pPr>
        <w:pStyle w:val="ListBullet"/>
        <w:spacing w:after="50"/>
      </w:pPr>
      <w:r>
        <w:t>Unit conversion.</w:t>
      </w:r>
    </w:p>
    <w:p>
      <w:pPr>
        <w:pStyle w:val="ListBullet"/>
        <w:spacing w:after="50"/>
      </w:pPr>
      <w:r>
        <w:t>Date arithmetic.</w:t>
      </w:r>
    </w:p>
    <w:p>
      <w:pPr>
        <w:pStyle w:val="ListBullet"/>
        <w:spacing w:after="50"/>
      </w:pPr>
      <w:r>
        <w:t>Final compliance status.</w:t>
      </w:r>
    </w:p>
    <w:p>
      <w:pPr>
        <w:pStyle w:val="ListBullet"/>
        <w:spacing w:after="50"/>
      </w:pPr>
      <w:r>
        <w:t>Final asset/control mapping when confidence is low.</w:t>
      </w:r>
    </w:p>
    <w:p>
      <w:pPr>
        <w:pStyle w:val="ListBullet"/>
        <w:spacing w:after="50"/>
      </w:pPr>
      <w:r>
        <w:t>Closing implementation actions.</w:t>
      </w:r>
    </w:p>
    <w:p>
      <w:pPr>
        <w:pStyle w:val="Heading2"/>
        <w:keepNext/>
      </w:pPr>
      <w:r>
        <w:t>Retrieval strategy</w:t>
      </w:r>
    </w:p>
    <w:p>
      <w:r>
        <w:t>Use metadata filters first, then semantic retrieval. Example: if a changed requirement mentions NOx and Boiler B-07, filter for documents tagged to B-07 / combustion / NOx before vector similarity. This prevents the system from retrieving a semantically similar but irrelevant SOP from another process unit.</w:t>
      </w:r>
    </w:p>
    <w:p>
      <w:pPr>
        <w:pStyle w:val="Heading2"/>
        <w:keepNext/>
      </w:pPr>
      <w:r>
        <w:t>Citation contract</w:t>
      </w:r>
    </w:p>
    <w:tbl>
      <w:tblPr>
        <w:tblW w:type="auto" w:w="0"/>
        <w:jc w:val="center"/>
        <w:tblLayout w:type="fixed"/>
        <w:tblLook w:firstColumn="1" w:firstRow="1" w:lastColumn="0" w:lastRow="0" w:noHBand="0" w:noVBand="1" w:val="04A0"/>
      </w:tblPr>
      <w:tblGrid>
        <w:gridCol w:w="115"/>
        <w:gridCol w:w="9936"/>
      </w:tblGrid>
      <w:tr>
        <w:trPr>
          <w:cantSplit/>
        </w:trPr>
        <w:tc>
          <w:tcPr>
            <w:tcW w:type="dxa" w:w="5112"/>
            <w:shd w:fill="0E7C66"/>
          </w:tcPr>
          <w:p/>
        </w:tc>
        <w:tc>
          <w:tcPr>
            <w:tcW w:type="dxa" w:w="5112"/>
            <w:shd w:fill="EEF7F7"/>
            <w:tcMar>
              <w:top w:w="130" w:type="dxa"/>
              <w:start w:w="150" w:type="dxa"/>
              <w:bottom w:w="130" w:type="dxa"/>
              <w:end w:w="150" w:type="dxa"/>
            </w:tcMar>
          </w:tcPr>
          <w:p>
            <w:pPr>
              <w:spacing w:after="40"/>
            </w:pPr>
            <w:r>
              <w:rPr>
                <w:b/>
                <w:color w:val="12263A"/>
              </w:rPr>
              <w:t>No evidence, no claim</w:t>
            </w:r>
          </w:p>
          <w:p>
            <w:pPr>
              <w:spacing w:after="0"/>
            </w:pPr>
            <w:r>
              <w:t>Every material AI finding in the UI should carry either (a) a permit source reference, (b) an internal document reference, or (c) an explicit “inference / needs review” label.</w:t>
            </w:r>
          </w:p>
        </w:tc>
      </w:tr>
    </w:tbl>
    <w:p>
      <w:pPr>
        <w:pStyle w:val="Heading1"/>
        <w:keepNext/>
      </w:pPr>
      <w:r>
        <w:t>12. Change Types the System Must Understand</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2160"/>
            <w:shd w:fill="12263A"/>
            <w:tcMar>
              <w:top w:w="85" w:type="dxa"/>
              <w:start w:w="90" w:type="dxa"/>
              <w:bottom w:w="85" w:type="dxa"/>
              <w:end w:w="90" w:type="dxa"/>
            </w:tcMar>
            <w:vAlign w:val="center"/>
          </w:tcPr>
          <w:p>
            <w:r>
              <w:rPr>
                <w:b/>
                <w:color w:val="FFFFFF"/>
                <w:sz w:val="17"/>
              </w:rPr>
              <w:t>Change type</w:t>
            </w:r>
          </w:p>
        </w:tc>
        <w:tc>
          <w:tcPr>
            <w:tcW w:type="dxa" w:w="3456"/>
            <w:shd w:fill="12263A"/>
            <w:tcMar>
              <w:top w:w="85" w:type="dxa"/>
              <w:start w:w="90" w:type="dxa"/>
              <w:bottom w:w="85" w:type="dxa"/>
              <w:end w:w="90" w:type="dxa"/>
            </w:tcMar>
            <w:vAlign w:val="center"/>
          </w:tcPr>
          <w:p>
            <w:r>
              <w:rPr>
                <w:b/>
                <w:color w:val="FFFFFF"/>
                <w:sz w:val="17"/>
              </w:rPr>
              <w:t>Example</w:t>
            </w:r>
          </w:p>
        </w:tc>
        <w:tc>
          <w:tcPr>
            <w:tcW w:type="dxa" w:w="4320"/>
            <w:shd w:fill="12263A"/>
            <w:tcMar>
              <w:top w:w="85" w:type="dxa"/>
              <w:start w:w="90" w:type="dxa"/>
              <w:bottom w:w="85" w:type="dxa"/>
              <w:end w:w="90" w:type="dxa"/>
            </w:tcMar>
            <w:vAlign w:val="center"/>
          </w:tcPr>
          <w:p>
            <w:r>
              <w:rPr>
                <w:b/>
                <w:color w:val="FFFFFF"/>
                <w:sz w:val="17"/>
              </w:rPr>
              <w:t>Handling</w:t>
            </w:r>
          </w:p>
        </w:tc>
      </w:tr>
      <w:tr>
        <w:trPr>
          <w:cantSplit/>
        </w:trPr>
        <w:tc>
          <w:tcPr>
            <w:tcW w:type="dxa" w:w="2160"/>
            <w:tcMar>
              <w:top w:w="75" w:type="dxa"/>
              <w:start w:w="85" w:type="dxa"/>
              <w:bottom w:w="75" w:type="dxa"/>
              <w:end w:w="85" w:type="dxa"/>
            </w:tcMar>
            <w:vAlign w:val="top"/>
          </w:tcPr>
          <w:p>
            <w:pPr>
              <w:spacing w:after="0"/>
            </w:pPr>
            <w:r>
              <w:rPr>
                <w:sz w:val="16"/>
              </w:rPr>
              <w:t>Numeric limit</w:t>
            </w:r>
          </w:p>
        </w:tc>
        <w:tc>
          <w:tcPr>
            <w:tcW w:type="dxa" w:w="3456"/>
            <w:tcMar>
              <w:top w:w="75" w:type="dxa"/>
              <w:start w:w="85" w:type="dxa"/>
              <w:bottom w:w="75" w:type="dxa"/>
              <w:end w:w="85" w:type="dxa"/>
            </w:tcMar>
            <w:vAlign w:val="top"/>
          </w:tcPr>
          <w:p>
            <w:pPr>
              <w:spacing w:after="0"/>
            </w:pPr>
            <w:r>
              <w:rPr>
                <w:sz w:val="16"/>
              </w:rPr>
              <w:t>0.08 → 0.05 lb/MMBtu</w:t>
            </w:r>
          </w:p>
        </w:tc>
        <w:tc>
          <w:tcPr>
            <w:tcW w:type="dxa" w:w="4320"/>
            <w:tcMar>
              <w:top w:w="75" w:type="dxa"/>
              <w:start w:w="85" w:type="dxa"/>
              <w:bottom w:w="75" w:type="dxa"/>
              <w:end w:w="85" w:type="dxa"/>
            </w:tcMar>
            <w:vAlign w:val="top"/>
          </w:tcPr>
          <w:p>
            <w:pPr>
              <w:spacing w:after="0"/>
            </w:pPr>
            <w:r>
              <w:rPr>
                <w:sz w:val="16"/>
              </w:rPr>
              <w:t>Deterministic numeric comparison + high-impact review</w:t>
            </w:r>
          </w:p>
        </w:tc>
      </w:tr>
      <w:tr>
        <w:trPr>
          <w:cantSplit/>
        </w:trPr>
        <w:tc>
          <w:tcPr>
            <w:tcW w:type="dxa" w:w="2160"/>
            <w:tcMar>
              <w:top w:w="75" w:type="dxa"/>
              <w:start w:w="85" w:type="dxa"/>
              <w:bottom w:w="75" w:type="dxa"/>
              <w:end w:w="85" w:type="dxa"/>
            </w:tcMar>
            <w:vAlign w:val="top"/>
          </w:tcPr>
          <w:p>
            <w:pPr>
              <w:spacing w:after="0"/>
            </w:pPr>
            <w:r>
              <w:rPr>
                <w:sz w:val="16"/>
              </w:rPr>
              <w:t>Frequency</w:t>
            </w:r>
          </w:p>
        </w:tc>
        <w:tc>
          <w:tcPr>
            <w:tcW w:type="dxa" w:w="3456"/>
            <w:tcMar>
              <w:top w:w="75" w:type="dxa"/>
              <w:start w:w="85" w:type="dxa"/>
              <w:bottom w:w="75" w:type="dxa"/>
              <w:end w:w="85" w:type="dxa"/>
            </w:tcMar>
            <w:vAlign w:val="top"/>
          </w:tcPr>
          <w:p>
            <w:pPr>
              <w:spacing w:after="0"/>
            </w:pPr>
            <w:r>
              <w:rPr>
                <w:sz w:val="16"/>
              </w:rPr>
              <w:t>Monthly → every 14 days</w:t>
            </w:r>
          </w:p>
        </w:tc>
        <w:tc>
          <w:tcPr>
            <w:tcW w:type="dxa" w:w="4320"/>
            <w:tcMar>
              <w:top w:w="75" w:type="dxa"/>
              <w:start w:w="85" w:type="dxa"/>
              <w:bottom w:w="75" w:type="dxa"/>
              <w:end w:w="85" w:type="dxa"/>
            </w:tcMar>
            <w:vAlign w:val="top"/>
          </w:tcPr>
          <w:p>
            <w:pPr>
              <w:spacing w:after="0"/>
            </w:pPr>
            <w:r>
              <w:rPr>
                <w:sz w:val="16"/>
              </w:rPr>
              <w:t>Calendar/SOP conflict search</w:t>
            </w:r>
          </w:p>
        </w:tc>
      </w:tr>
      <w:tr>
        <w:trPr>
          <w:cantSplit/>
        </w:trPr>
        <w:tc>
          <w:tcPr>
            <w:tcW w:type="dxa" w:w="2160"/>
            <w:tcMar>
              <w:top w:w="75" w:type="dxa"/>
              <w:start w:w="85" w:type="dxa"/>
              <w:bottom w:w="75" w:type="dxa"/>
              <w:end w:w="85" w:type="dxa"/>
            </w:tcMar>
            <w:vAlign w:val="top"/>
          </w:tcPr>
          <w:p>
            <w:pPr>
              <w:spacing w:after="0"/>
            </w:pPr>
            <w:r>
              <w:rPr>
                <w:sz w:val="16"/>
              </w:rPr>
              <w:t>New requirement</w:t>
            </w:r>
          </w:p>
        </w:tc>
        <w:tc>
          <w:tcPr>
            <w:tcW w:type="dxa" w:w="3456"/>
            <w:tcMar>
              <w:top w:w="75" w:type="dxa"/>
              <w:start w:w="85" w:type="dxa"/>
              <w:bottom w:w="75" w:type="dxa"/>
              <w:end w:w="85" w:type="dxa"/>
            </w:tcMar>
            <w:vAlign w:val="top"/>
          </w:tcPr>
          <w:p>
            <w:pPr>
              <w:spacing w:after="0"/>
            </w:pPr>
            <w:r>
              <w:rPr>
                <w:sz w:val="16"/>
              </w:rPr>
              <w:t>Add quarterly test</w:t>
            </w:r>
          </w:p>
        </w:tc>
        <w:tc>
          <w:tcPr>
            <w:tcW w:type="dxa" w:w="4320"/>
            <w:tcMar>
              <w:top w:w="75" w:type="dxa"/>
              <w:start w:w="85" w:type="dxa"/>
              <w:bottom w:w="75" w:type="dxa"/>
              <w:end w:w="85" w:type="dxa"/>
            </w:tcMar>
            <w:vAlign w:val="top"/>
          </w:tcPr>
          <w:p>
            <w:pPr>
              <w:spacing w:after="0"/>
            </w:pPr>
            <w:r>
              <w:rPr>
                <w:sz w:val="16"/>
              </w:rPr>
              <w:t>Create new obligation and implementation path</w:t>
            </w:r>
          </w:p>
        </w:tc>
      </w:tr>
      <w:tr>
        <w:trPr>
          <w:cantSplit/>
        </w:trPr>
        <w:tc>
          <w:tcPr>
            <w:tcW w:type="dxa" w:w="2160"/>
            <w:tcMar>
              <w:top w:w="75" w:type="dxa"/>
              <w:start w:w="85" w:type="dxa"/>
              <w:bottom w:w="75" w:type="dxa"/>
              <w:end w:w="85" w:type="dxa"/>
            </w:tcMar>
            <w:vAlign w:val="top"/>
          </w:tcPr>
          <w:p>
            <w:pPr>
              <w:spacing w:after="0"/>
            </w:pPr>
            <w:r>
              <w:rPr>
                <w:sz w:val="16"/>
              </w:rPr>
              <w:t>Removed requirement</w:t>
            </w:r>
          </w:p>
        </w:tc>
        <w:tc>
          <w:tcPr>
            <w:tcW w:type="dxa" w:w="3456"/>
            <w:tcMar>
              <w:top w:w="75" w:type="dxa"/>
              <w:start w:w="85" w:type="dxa"/>
              <w:bottom w:w="75" w:type="dxa"/>
              <w:end w:w="85" w:type="dxa"/>
            </w:tcMar>
            <w:vAlign w:val="top"/>
          </w:tcPr>
          <w:p>
            <w:pPr>
              <w:spacing w:after="0"/>
            </w:pPr>
            <w:r>
              <w:rPr>
                <w:sz w:val="16"/>
              </w:rPr>
              <w:t>Monitoring condition deleted</w:t>
            </w:r>
          </w:p>
        </w:tc>
        <w:tc>
          <w:tcPr>
            <w:tcW w:type="dxa" w:w="4320"/>
            <w:tcMar>
              <w:top w:w="75" w:type="dxa"/>
              <w:start w:w="85" w:type="dxa"/>
              <w:bottom w:w="75" w:type="dxa"/>
              <w:end w:w="85" w:type="dxa"/>
            </w:tcMar>
            <w:vAlign w:val="top"/>
          </w:tcPr>
          <w:p>
            <w:pPr>
              <w:spacing w:after="0"/>
            </w:pPr>
            <w:r>
              <w:rPr>
                <w:sz w:val="16"/>
              </w:rPr>
              <w:t>Flag as removed; do not automatically retire internal controls</w:t>
            </w:r>
          </w:p>
        </w:tc>
      </w:tr>
      <w:tr>
        <w:trPr>
          <w:cantSplit/>
        </w:trPr>
        <w:tc>
          <w:tcPr>
            <w:tcW w:type="dxa" w:w="2160"/>
            <w:tcMar>
              <w:top w:w="75" w:type="dxa"/>
              <w:start w:w="85" w:type="dxa"/>
              <w:bottom w:w="75" w:type="dxa"/>
              <w:end w:w="85" w:type="dxa"/>
            </w:tcMar>
            <w:vAlign w:val="top"/>
          </w:tcPr>
          <w:p>
            <w:pPr>
              <w:spacing w:after="0"/>
            </w:pPr>
            <w:r>
              <w:rPr>
                <w:sz w:val="16"/>
              </w:rPr>
              <w:t>Method change</w:t>
            </w:r>
          </w:p>
        </w:tc>
        <w:tc>
          <w:tcPr>
            <w:tcW w:type="dxa" w:w="3456"/>
            <w:tcMar>
              <w:top w:w="75" w:type="dxa"/>
              <w:start w:w="85" w:type="dxa"/>
              <w:bottom w:w="75" w:type="dxa"/>
              <w:end w:w="85" w:type="dxa"/>
            </w:tcMar>
            <w:vAlign w:val="top"/>
          </w:tcPr>
          <w:p>
            <w:pPr>
              <w:spacing w:after="0"/>
            </w:pPr>
            <w:r>
              <w:rPr>
                <w:sz w:val="16"/>
              </w:rPr>
              <w:t>Test Method A → Method B</w:t>
            </w:r>
          </w:p>
        </w:tc>
        <w:tc>
          <w:tcPr>
            <w:tcW w:type="dxa" w:w="4320"/>
            <w:tcMar>
              <w:top w:w="75" w:type="dxa"/>
              <w:start w:w="85" w:type="dxa"/>
              <w:bottom w:w="75" w:type="dxa"/>
              <w:end w:w="85" w:type="dxa"/>
            </w:tcMar>
            <w:vAlign w:val="top"/>
          </w:tcPr>
          <w:p>
            <w:pPr>
              <w:spacing w:after="0"/>
            </w:pPr>
            <w:r>
              <w:rPr>
                <w:sz w:val="16"/>
              </w:rPr>
              <w:t>Find lab/SOP references and require specialist review</w:t>
            </w:r>
          </w:p>
        </w:tc>
      </w:tr>
      <w:tr>
        <w:trPr>
          <w:cantSplit/>
        </w:trPr>
        <w:tc>
          <w:tcPr>
            <w:tcW w:type="dxa" w:w="2160"/>
            <w:tcMar>
              <w:top w:w="75" w:type="dxa"/>
              <w:start w:w="85" w:type="dxa"/>
              <w:bottom w:w="75" w:type="dxa"/>
              <w:end w:w="85" w:type="dxa"/>
            </w:tcMar>
            <w:vAlign w:val="top"/>
          </w:tcPr>
          <w:p>
            <w:pPr>
              <w:spacing w:after="0"/>
            </w:pPr>
            <w:r>
              <w:rPr>
                <w:sz w:val="16"/>
              </w:rPr>
              <w:t>Applicability wording</w:t>
            </w:r>
          </w:p>
        </w:tc>
        <w:tc>
          <w:tcPr>
            <w:tcW w:type="dxa" w:w="3456"/>
            <w:tcMar>
              <w:top w:w="75" w:type="dxa"/>
              <w:start w:w="85" w:type="dxa"/>
              <w:bottom w:w="75" w:type="dxa"/>
              <w:end w:w="85" w:type="dxa"/>
            </w:tcMar>
            <w:vAlign w:val="top"/>
          </w:tcPr>
          <w:p>
            <w:pPr>
              <w:spacing w:after="0"/>
            </w:pPr>
            <w:r>
              <w:rPr>
                <w:sz w:val="16"/>
              </w:rPr>
              <w:t>Now applies to startup periods</w:t>
            </w:r>
          </w:p>
        </w:tc>
        <w:tc>
          <w:tcPr>
            <w:tcW w:type="dxa" w:w="4320"/>
            <w:tcMar>
              <w:top w:w="75" w:type="dxa"/>
              <w:start w:w="85" w:type="dxa"/>
              <w:bottom w:w="75" w:type="dxa"/>
              <w:end w:w="85" w:type="dxa"/>
            </w:tcMar>
            <w:vAlign w:val="top"/>
          </w:tcPr>
          <w:p>
            <w:pPr>
              <w:spacing w:after="0"/>
            </w:pPr>
            <w:r>
              <w:rPr>
                <w:sz w:val="16"/>
              </w:rPr>
              <w:t>High uncertainty; surface for expert review</w:t>
            </w:r>
          </w:p>
        </w:tc>
      </w:tr>
      <w:tr>
        <w:trPr>
          <w:cantSplit/>
        </w:trPr>
        <w:tc>
          <w:tcPr>
            <w:tcW w:type="dxa" w:w="2160"/>
            <w:tcMar>
              <w:top w:w="75" w:type="dxa"/>
              <w:start w:w="85" w:type="dxa"/>
              <w:bottom w:w="75" w:type="dxa"/>
              <w:end w:w="85" w:type="dxa"/>
            </w:tcMar>
            <w:vAlign w:val="top"/>
          </w:tcPr>
          <w:p>
            <w:pPr>
              <w:spacing w:after="0"/>
            </w:pPr>
            <w:r>
              <w:rPr>
                <w:sz w:val="16"/>
              </w:rPr>
              <w:t>Reporting deadline</w:t>
            </w:r>
          </w:p>
        </w:tc>
        <w:tc>
          <w:tcPr>
            <w:tcW w:type="dxa" w:w="3456"/>
            <w:tcMar>
              <w:top w:w="75" w:type="dxa"/>
              <w:start w:w="85" w:type="dxa"/>
              <w:bottom w:w="75" w:type="dxa"/>
              <w:end w:w="85" w:type="dxa"/>
            </w:tcMar>
            <w:vAlign w:val="top"/>
          </w:tcPr>
          <w:p>
            <w:pPr>
              <w:spacing w:after="0"/>
            </w:pPr>
            <w:r>
              <w:rPr>
                <w:sz w:val="16"/>
              </w:rPr>
              <w:t>30 days → 15 days</w:t>
            </w:r>
          </w:p>
        </w:tc>
        <w:tc>
          <w:tcPr>
            <w:tcW w:type="dxa" w:w="4320"/>
            <w:tcMar>
              <w:top w:w="75" w:type="dxa"/>
              <w:start w:w="85" w:type="dxa"/>
              <w:bottom w:w="75" w:type="dxa"/>
              <w:end w:w="85" w:type="dxa"/>
            </w:tcMar>
            <w:vAlign w:val="top"/>
          </w:tcPr>
          <w:p>
            <w:pPr>
              <w:spacing w:after="0"/>
            </w:pPr>
            <w:r>
              <w:rPr>
                <w:sz w:val="16"/>
              </w:rPr>
              <w:t>Update calendar/reporting controls</w:t>
            </w:r>
          </w:p>
        </w:tc>
      </w:tr>
      <w:tr>
        <w:trPr>
          <w:cantSplit/>
        </w:trPr>
        <w:tc>
          <w:tcPr>
            <w:tcW w:type="dxa" w:w="2160"/>
            <w:tcMar>
              <w:top w:w="75" w:type="dxa"/>
              <w:start w:w="85" w:type="dxa"/>
              <w:bottom w:w="75" w:type="dxa"/>
              <w:end w:w="85" w:type="dxa"/>
            </w:tcMar>
            <w:vAlign w:val="top"/>
          </w:tcPr>
          <w:p>
            <w:pPr>
              <w:spacing w:after="0"/>
            </w:pPr>
            <w:r>
              <w:rPr>
                <w:sz w:val="16"/>
              </w:rPr>
              <w:t>Record retention</w:t>
            </w:r>
          </w:p>
        </w:tc>
        <w:tc>
          <w:tcPr>
            <w:tcW w:type="dxa" w:w="3456"/>
            <w:tcMar>
              <w:top w:w="75" w:type="dxa"/>
              <w:start w:w="85" w:type="dxa"/>
              <w:bottom w:w="75" w:type="dxa"/>
              <w:end w:w="85" w:type="dxa"/>
            </w:tcMar>
            <w:vAlign w:val="top"/>
          </w:tcPr>
          <w:p>
            <w:pPr>
              <w:spacing w:after="0"/>
            </w:pPr>
            <w:r>
              <w:rPr>
                <w:sz w:val="16"/>
              </w:rPr>
              <w:t>3 years → 5 years</w:t>
            </w:r>
          </w:p>
        </w:tc>
        <w:tc>
          <w:tcPr>
            <w:tcW w:type="dxa" w:w="4320"/>
            <w:tcMar>
              <w:top w:w="75" w:type="dxa"/>
              <w:start w:w="85" w:type="dxa"/>
              <w:bottom w:w="75" w:type="dxa"/>
              <w:end w:w="85" w:type="dxa"/>
            </w:tcMar>
            <w:vAlign w:val="top"/>
          </w:tcPr>
          <w:p>
            <w:pPr>
              <w:spacing w:after="0"/>
            </w:pPr>
            <w:r>
              <w:rPr>
                <w:sz w:val="16"/>
              </w:rPr>
              <w:t>Find record-management procedures</w:t>
            </w:r>
          </w:p>
        </w:tc>
      </w:tr>
    </w:tbl>
    <w:p>
      <w:pPr>
        <w:spacing w:after="0"/>
      </w:pPr>
    </w:p>
    <w:p>
      <w:pPr>
        <w:pStyle w:val="Heading1"/>
        <w:keepNext/>
      </w:pPr>
      <w:r>
        <w:t>13. Confidence &amp; Human Review</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1728"/>
            <w:shd w:fill="12263A"/>
            <w:tcMar>
              <w:top w:w="85" w:type="dxa"/>
              <w:start w:w="90" w:type="dxa"/>
              <w:bottom w:w="85" w:type="dxa"/>
              <w:end w:w="90" w:type="dxa"/>
            </w:tcMar>
            <w:vAlign w:val="center"/>
          </w:tcPr>
          <w:p>
            <w:r>
              <w:rPr>
                <w:b/>
                <w:color w:val="FFFFFF"/>
                <w:sz w:val="17"/>
              </w:rPr>
              <w:t>Confidence</w:t>
            </w:r>
          </w:p>
        </w:tc>
        <w:tc>
          <w:tcPr>
            <w:tcW w:type="dxa" w:w="4608"/>
            <w:shd w:fill="12263A"/>
            <w:tcMar>
              <w:top w:w="85" w:type="dxa"/>
              <w:start w:w="90" w:type="dxa"/>
              <w:bottom w:w="85" w:type="dxa"/>
              <w:end w:w="90" w:type="dxa"/>
            </w:tcMar>
            <w:vAlign w:val="center"/>
          </w:tcPr>
          <w:p>
            <w:r>
              <w:rPr>
                <w:b/>
                <w:color w:val="FFFFFF"/>
                <w:sz w:val="17"/>
              </w:rPr>
              <w:t>Meaning</w:t>
            </w:r>
          </w:p>
        </w:tc>
        <w:tc>
          <w:tcPr>
            <w:tcW w:type="dxa" w:w="3600"/>
            <w:shd w:fill="12263A"/>
            <w:tcMar>
              <w:top w:w="85" w:type="dxa"/>
              <w:start w:w="90" w:type="dxa"/>
              <w:bottom w:w="85" w:type="dxa"/>
              <w:end w:w="90" w:type="dxa"/>
            </w:tcMar>
            <w:vAlign w:val="center"/>
          </w:tcPr>
          <w:p>
            <w:r>
              <w:rPr>
                <w:b/>
                <w:color w:val="FFFFFF"/>
                <w:sz w:val="17"/>
              </w:rPr>
              <w:t>System behavior</w:t>
            </w:r>
          </w:p>
        </w:tc>
      </w:tr>
      <w:tr>
        <w:trPr>
          <w:cantSplit/>
        </w:trPr>
        <w:tc>
          <w:tcPr>
            <w:tcW w:type="dxa" w:w="1728"/>
            <w:tcMar>
              <w:top w:w="75" w:type="dxa"/>
              <w:start w:w="85" w:type="dxa"/>
              <w:bottom w:w="75" w:type="dxa"/>
              <w:end w:w="85" w:type="dxa"/>
            </w:tcMar>
            <w:vAlign w:val="top"/>
          </w:tcPr>
          <w:p>
            <w:pPr>
              <w:spacing w:after="0"/>
            </w:pPr>
            <w:r>
              <w:rPr>
                <w:sz w:val="16"/>
              </w:rPr>
              <w:t>High</w:t>
            </w:r>
          </w:p>
        </w:tc>
        <w:tc>
          <w:tcPr>
            <w:tcW w:type="dxa" w:w="4608"/>
            <w:tcMar>
              <w:top w:w="75" w:type="dxa"/>
              <w:start w:w="85" w:type="dxa"/>
              <w:bottom w:w="75" w:type="dxa"/>
              <w:end w:w="85" w:type="dxa"/>
            </w:tcMar>
            <w:vAlign w:val="top"/>
          </w:tcPr>
          <w:p>
            <w:pPr>
              <w:spacing w:after="0"/>
            </w:pPr>
            <w:r>
              <w:rPr>
                <w:sz w:val="16"/>
              </w:rPr>
              <w:t>Direct asset/control identifiers and clear clause delta</w:t>
            </w:r>
          </w:p>
        </w:tc>
        <w:tc>
          <w:tcPr>
            <w:tcW w:type="dxa" w:w="3600"/>
            <w:tcMar>
              <w:top w:w="75" w:type="dxa"/>
              <w:start w:w="85" w:type="dxa"/>
              <w:bottom w:w="75" w:type="dxa"/>
              <w:end w:w="85" w:type="dxa"/>
            </w:tcMar>
            <w:vAlign w:val="top"/>
          </w:tcPr>
          <w:p>
            <w:pPr>
              <w:spacing w:after="0"/>
            </w:pPr>
            <w:r>
              <w:rPr>
                <w:sz w:val="16"/>
              </w:rPr>
              <w:t>Propose mapping; still require approval for consequential changes</w:t>
            </w:r>
          </w:p>
        </w:tc>
      </w:tr>
      <w:tr>
        <w:trPr>
          <w:cantSplit/>
        </w:trPr>
        <w:tc>
          <w:tcPr>
            <w:tcW w:type="dxa" w:w="1728"/>
            <w:tcMar>
              <w:top w:w="75" w:type="dxa"/>
              <w:start w:w="85" w:type="dxa"/>
              <w:bottom w:w="75" w:type="dxa"/>
              <w:end w:w="85" w:type="dxa"/>
            </w:tcMar>
            <w:vAlign w:val="top"/>
          </w:tcPr>
          <w:p>
            <w:pPr>
              <w:spacing w:after="0"/>
            </w:pPr>
            <w:r>
              <w:rPr>
                <w:sz w:val="16"/>
              </w:rPr>
              <w:t>Medium</w:t>
            </w:r>
          </w:p>
        </w:tc>
        <w:tc>
          <w:tcPr>
            <w:tcW w:type="dxa" w:w="4608"/>
            <w:tcMar>
              <w:top w:w="75" w:type="dxa"/>
              <w:start w:w="85" w:type="dxa"/>
              <w:bottom w:w="75" w:type="dxa"/>
              <w:end w:w="85" w:type="dxa"/>
            </w:tcMar>
            <w:vAlign w:val="top"/>
          </w:tcPr>
          <w:p>
            <w:pPr>
              <w:spacing w:after="0"/>
            </w:pPr>
            <w:r>
              <w:rPr>
                <w:sz w:val="16"/>
              </w:rPr>
              <w:t>Strong contextual match but not explicit</w:t>
            </w:r>
          </w:p>
        </w:tc>
        <w:tc>
          <w:tcPr>
            <w:tcW w:type="dxa" w:w="3600"/>
            <w:tcMar>
              <w:top w:w="75" w:type="dxa"/>
              <w:start w:w="85" w:type="dxa"/>
              <w:bottom w:w="75" w:type="dxa"/>
              <w:end w:w="85" w:type="dxa"/>
            </w:tcMar>
            <w:vAlign w:val="top"/>
          </w:tcPr>
          <w:p>
            <w:pPr>
              <w:spacing w:after="0"/>
            </w:pPr>
            <w:r>
              <w:rPr>
                <w:sz w:val="16"/>
              </w:rPr>
              <w:t>Show rationale and alternatives; require review</w:t>
            </w:r>
          </w:p>
        </w:tc>
      </w:tr>
      <w:tr>
        <w:trPr>
          <w:cantSplit/>
        </w:trPr>
        <w:tc>
          <w:tcPr>
            <w:tcW w:type="dxa" w:w="1728"/>
            <w:tcMar>
              <w:top w:w="75" w:type="dxa"/>
              <w:start w:w="85" w:type="dxa"/>
              <w:bottom w:w="75" w:type="dxa"/>
              <w:end w:w="85" w:type="dxa"/>
            </w:tcMar>
            <w:vAlign w:val="top"/>
          </w:tcPr>
          <w:p>
            <w:pPr>
              <w:spacing w:after="0"/>
            </w:pPr>
            <w:r>
              <w:rPr>
                <w:sz w:val="16"/>
              </w:rPr>
              <w:t>Low</w:t>
            </w:r>
          </w:p>
        </w:tc>
        <w:tc>
          <w:tcPr>
            <w:tcW w:type="dxa" w:w="4608"/>
            <w:tcMar>
              <w:top w:w="75" w:type="dxa"/>
              <w:start w:w="85" w:type="dxa"/>
              <w:bottom w:w="75" w:type="dxa"/>
              <w:end w:w="85" w:type="dxa"/>
            </w:tcMar>
            <w:vAlign w:val="top"/>
          </w:tcPr>
          <w:p>
            <w:pPr>
              <w:spacing w:after="0"/>
            </w:pPr>
            <w:r>
              <w:rPr>
                <w:sz w:val="16"/>
              </w:rPr>
              <w:t>Ambiguous applicability or weak facility evidence</w:t>
            </w:r>
          </w:p>
        </w:tc>
        <w:tc>
          <w:tcPr>
            <w:tcW w:type="dxa" w:w="3600"/>
            <w:tcMar>
              <w:top w:w="75" w:type="dxa"/>
              <w:start w:w="85" w:type="dxa"/>
              <w:bottom w:w="75" w:type="dxa"/>
              <w:end w:w="85" w:type="dxa"/>
            </w:tcMar>
            <w:vAlign w:val="top"/>
          </w:tcPr>
          <w:p>
            <w:pPr>
              <w:spacing w:after="0"/>
            </w:pPr>
            <w:r>
              <w:rPr>
                <w:sz w:val="16"/>
              </w:rPr>
              <w:t>Do not create authoritative mapping; ask reviewer to resolve</w:t>
            </w:r>
          </w:p>
        </w:tc>
      </w:tr>
    </w:tbl>
    <w:p>
      <w:pPr>
        <w:spacing w:after="0"/>
      </w:pPr>
    </w:p>
    <w:p>
      <w:r>
        <w:t>A good prototype should visibly admit uncertainty. A wrong but confident compliance mapping is much worse than an honest unresolved item.</w:t>
      </w:r>
    </w:p>
    <w:p>
      <w:pPr>
        <w:pStyle w:val="Heading1"/>
        <w:keepNext/>
      </w:pPr>
      <w:r>
        <w:t>14. Evaluation Plan</w:t>
      </w:r>
    </w:p>
    <w:p>
      <w:r>
        <w:t>Build the synthetic dataset with known ground truth. Do not evaluate by asking whether the UI “looks smart.” Evaluate each stage.</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4464"/>
            <w:shd w:fill="12263A"/>
            <w:tcMar>
              <w:top w:w="85" w:type="dxa"/>
              <w:start w:w="90" w:type="dxa"/>
              <w:bottom w:w="85" w:type="dxa"/>
              <w:end w:w="90" w:type="dxa"/>
            </w:tcMar>
            <w:vAlign w:val="center"/>
          </w:tcPr>
          <w:p>
            <w:r>
              <w:rPr>
                <w:b/>
                <w:color w:val="FFFFFF"/>
                <w:sz w:val="17"/>
              </w:rPr>
              <w:t>Metric</w:t>
            </w:r>
          </w:p>
        </w:tc>
        <w:tc>
          <w:tcPr>
            <w:tcW w:type="dxa" w:w="5472"/>
            <w:shd w:fill="12263A"/>
            <w:tcMar>
              <w:top w:w="85" w:type="dxa"/>
              <w:start w:w="90" w:type="dxa"/>
              <w:bottom w:w="85" w:type="dxa"/>
              <w:end w:w="90" w:type="dxa"/>
            </w:tcMar>
            <w:vAlign w:val="center"/>
          </w:tcPr>
          <w:p>
            <w:r>
              <w:rPr>
                <w:b/>
                <w:color w:val="FFFFFF"/>
                <w:sz w:val="17"/>
              </w:rPr>
              <w:t>Target for demo</w:t>
            </w:r>
          </w:p>
        </w:tc>
      </w:tr>
      <w:tr>
        <w:trPr>
          <w:cantSplit/>
        </w:trPr>
        <w:tc>
          <w:tcPr>
            <w:tcW w:type="dxa" w:w="4464"/>
            <w:tcMar>
              <w:top w:w="75" w:type="dxa"/>
              <w:start w:w="85" w:type="dxa"/>
              <w:bottom w:w="75" w:type="dxa"/>
              <w:end w:w="85" w:type="dxa"/>
            </w:tcMar>
            <w:vAlign w:val="top"/>
          </w:tcPr>
          <w:p>
            <w:pPr>
              <w:spacing w:after="0"/>
            </w:pPr>
            <w:r>
              <w:rPr>
                <w:sz w:val="16"/>
              </w:rPr>
              <w:t>Requirement extraction recall</w:t>
            </w:r>
          </w:p>
        </w:tc>
        <w:tc>
          <w:tcPr>
            <w:tcW w:type="dxa" w:w="5472"/>
            <w:tcMar>
              <w:top w:w="75" w:type="dxa"/>
              <w:start w:w="85" w:type="dxa"/>
              <w:bottom w:w="75" w:type="dxa"/>
              <w:end w:w="85" w:type="dxa"/>
            </w:tcMar>
            <w:vAlign w:val="top"/>
          </w:tcPr>
          <w:p>
            <w:pPr>
              <w:spacing w:after="0"/>
            </w:pPr>
            <w:r>
              <w:rPr>
                <w:sz w:val="16"/>
              </w:rPr>
              <w:t>≥ 90% on seeded obligations</w:t>
            </w:r>
          </w:p>
        </w:tc>
      </w:tr>
      <w:tr>
        <w:trPr>
          <w:cantSplit/>
        </w:trPr>
        <w:tc>
          <w:tcPr>
            <w:tcW w:type="dxa" w:w="4464"/>
            <w:tcMar>
              <w:top w:w="75" w:type="dxa"/>
              <w:start w:w="85" w:type="dxa"/>
              <w:bottom w:w="75" w:type="dxa"/>
              <w:end w:w="85" w:type="dxa"/>
            </w:tcMar>
            <w:vAlign w:val="top"/>
          </w:tcPr>
          <w:p>
            <w:pPr>
              <w:spacing w:after="0"/>
            </w:pPr>
            <w:r>
              <w:rPr>
                <w:sz w:val="16"/>
              </w:rPr>
              <w:t>Numeric/frequency delta accuracy</w:t>
            </w:r>
          </w:p>
        </w:tc>
        <w:tc>
          <w:tcPr>
            <w:tcW w:type="dxa" w:w="5472"/>
            <w:tcMar>
              <w:top w:w="75" w:type="dxa"/>
              <w:start w:w="85" w:type="dxa"/>
              <w:bottom w:w="75" w:type="dxa"/>
              <w:end w:w="85" w:type="dxa"/>
            </w:tcMar>
            <w:vAlign w:val="top"/>
          </w:tcPr>
          <w:p>
            <w:pPr>
              <w:spacing w:after="0"/>
            </w:pPr>
            <w:r>
              <w:rPr>
                <w:sz w:val="16"/>
              </w:rPr>
              <w:t>100% on seeded deterministic changes</w:t>
            </w:r>
          </w:p>
        </w:tc>
      </w:tr>
      <w:tr>
        <w:trPr>
          <w:cantSplit/>
        </w:trPr>
        <w:tc>
          <w:tcPr>
            <w:tcW w:type="dxa" w:w="4464"/>
            <w:tcMar>
              <w:top w:w="75" w:type="dxa"/>
              <w:start w:w="85" w:type="dxa"/>
              <w:bottom w:w="75" w:type="dxa"/>
              <w:end w:w="85" w:type="dxa"/>
            </w:tcMar>
            <w:vAlign w:val="top"/>
          </w:tcPr>
          <w:p>
            <w:pPr>
              <w:spacing w:after="0"/>
            </w:pPr>
            <w:r>
              <w:rPr>
                <w:sz w:val="16"/>
              </w:rPr>
              <w:t>Correct old↔new clause pairing</w:t>
            </w:r>
          </w:p>
        </w:tc>
        <w:tc>
          <w:tcPr>
            <w:tcW w:type="dxa" w:w="5472"/>
            <w:tcMar>
              <w:top w:w="75" w:type="dxa"/>
              <w:start w:w="85" w:type="dxa"/>
              <w:bottom w:w="75" w:type="dxa"/>
              <w:end w:w="85" w:type="dxa"/>
            </w:tcMar>
            <w:vAlign w:val="top"/>
          </w:tcPr>
          <w:p>
            <w:pPr>
              <w:spacing w:after="0"/>
            </w:pPr>
            <w:r>
              <w:rPr>
                <w:sz w:val="16"/>
              </w:rPr>
              <w:t>≥ 90%</w:t>
            </w:r>
          </w:p>
        </w:tc>
      </w:tr>
      <w:tr>
        <w:trPr>
          <w:cantSplit/>
        </w:trPr>
        <w:tc>
          <w:tcPr>
            <w:tcW w:type="dxa" w:w="4464"/>
            <w:tcMar>
              <w:top w:w="75" w:type="dxa"/>
              <w:start w:w="85" w:type="dxa"/>
              <w:bottom w:w="75" w:type="dxa"/>
              <w:end w:w="85" w:type="dxa"/>
            </w:tcMar>
            <w:vAlign w:val="top"/>
          </w:tcPr>
          <w:p>
            <w:pPr>
              <w:spacing w:after="0"/>
            </w:pPr>
            <w:r>
              <w:rPr>
                <w:sz w:val="16"/>
              </w:rPr>
              <w:t>Correct asset mapping</w:t>
            </w:r>
          </w:p>
        </w:tc>
        <w:tc>
          <w:tcPr>
            <w:tcW w:type="dxa" w:w="5472"/>
            <w:tcMar>
              <w:top w:w="75" w:type="dxa"/>
              <w:start w:w="85" w:type="dxa"/>
              <w:bottom w:w="75" w:type="dxa"/>
              <w:end w:w="85" w:type="dxa"/>
            </w:tcMar>
            <w:vAlign w:val="top"/>
          </w:tcPr>
          <w:p>
            <w:pPr>
              <w:spacing w:after="0"/>
            </w:pPr>
            <w:r>
              <w:rPr>
                <w:sz w:val="16"/>
              </w:rPr>
              <w:t>≥ 85% overall; 100% on hero cases</w:t>
            </w:r>
          </w:p>
        </w:tc>
      </w:tr>
      <w:tr>
        <w:trPr>
          <w:cantSplit/>
        </w:trPr>
        <w:tc>
          <w:tcPr>
            <w:tcW w:type="dxa" w:w="4464"/>
            <w:tcMar>
              <w:top w:w="75" w:type="dxa"/>
              <w:start w:w="85" w:type="dxa"/>
              <w:bottom w:w="75" w:type="dxa"/>
              <w:end w:w="85" w:type="dxa"/>
            </w:tcMar>
            <w:vAlign w:val="top"/>
          </w:tcPr>
          <w:p>
            <w:pPr>
              <w:spacing w:after="0"/>
            </w:pPr>
            <w:r>
              <w:rPr>
                <w:sz w:val="16"/>
              </w:rPr>
              <w:t>Conflict detection</w:t>
            </w:r>
          </w:p>
        </w:tc>
        <w:tc>
          <w:tcPr>
            <w:tcW w:type="dxa" w:w="5472"/>
            <w:tcMar>
              <w:top w:w="75" w:type="dxa"/>
              <w:start w:w="85" w:type="dxa"/>
              <w:bottom w:w="75" w:type="dxa"/>
              <w:end w:w="85" w:type="dxa"/>
            </w:tcMar>
            <w:vAlign w:val="top"/>
          </w:tcPr>
          <w:p>
            <w:pPr>
              <w:spacing w:after="0"/>
            </w:pPr>
            <w:r>
              <w:rPr>
                <w:sz w:val="16"/>
              </w:rPr>
              <w:t>≥ 90% on deliberately seeded conflicts</w:t>
            </w:r>
          </w:p>
        </w:tc>
      </w:tr>
      <w:tr>
        <w:trPr>
          <w:cantSplit/>
        </w:trPr>
        <w:tc>
          <w:tcPr>
            <w:tcW w:type="dxa" w:w="4464"/>
            <w:tcMar>
              <w:top w:w="75" w:type="dxa"/>
              <w:start w:w="85" w:type="dxa"/>
              <w:bottom w:w="75" w:type="dxa"/>
              <w:end w:w="85" w:type="dxa"/>
            </w:tcMar>
            <w:vAlign w:val="top"/>
          </w:tcPr>
          <w:p>
            <w:pPr>
              <w:spacing w:after="0"/>
            </w:pPr>
            <w:r>
              <w:rPr>
                <w:sz w:val="16"/>
              </w:rPr>
              <w:t>Unsupported-claim rate</w:t>
            </w:r>
          </w:p>
        </w:tc>
        <w:tc>
          <w:tcPr>
            <w:tcW w:type="dxa" w:w="5472"/>
            <w:tcMar>
              <w:top w:w="75" w:type="dxa"/>
              <w:start w:w="85" w:type="dxa"/>
              <w:bottom w:w="75" w:type="dxa"/>
              <w:end w:w="85" w:type="dxa"/>
            </w:tcMar>
            <w:vAlign w:val="top"/>
          </w:tcPr>
          <w:p>
            <w:pPr>
              <w:spacing w:after="0"/>
            </w:pPr>
            <w:r>
              <w:rPr>
                <w:sz w:val="16"/>
              </w:rPr>
              <w:t>0% for high-impact findings</w:t>
            </w:r>
          </w:p>
        </w:tc>
      </w:tr>
      <w:tr>
        <w:trPr>
          <w:cantSplit/>
        </w:trPr>
        <w:tc>
          <w:tcPr>
            <w:tcW w:type="dxa" w:w="4464"/>
            <w:tcMar>
              <w:top w:w="75" w:type="dxa"/>
              <w:start w:w="85" w:type="dxa"/>
              <w:bottom w:w="75" w:type="dxa"/>
              <w:end w:w="85" w:type="dxa"/>
            </w:tcMar>
            <w:vAlign w:val="top"/>
          </w:tcPr>
          <w:p>
            <w:pPr>
              <w:spacing w:after="0"/>
            </w:pPr>
            <w:r>
              <w:rPr>
                <w:sz w:val="16"/>
              </w:rPr>
              <w:t>Human-review coverage</w:t>
            </w:r>
          </w:p>
        </w:tc>
        <w:tc>
          <w:tcPr>
            <w:tcW w:type="dxa" w:w="5472"/>
            <w:tcMar>
              <w:top w:w="75" w:type="dxa"/>
              <w:start w:w="85" w:type="dxa"/>
              <w:bottom w:w="75" w:type="dxa"/>
              <w:end w:w="85" w:type="dxa"/>
            </w:tcMar>
            <w:vAlign w:val="top"/>
          </w:tcPr>
          <w:p>
            <w:pPr>
              <w:spacing w:after="0"/>
            </w:pPr>
            <w:r>
              <w:rPr>
                <w:sz w:val="16"/>
              </w:rPr>
              <w:t>100% of high-impact changes</w:t>
            </w:r>
          </w:p>
        </w:tc>
      </w:tr>
    </w:tbl>
    <w:p>
      <w:pPr>
        <w:spacing w:after="0"/>
      </w:pPr>
    </w:p>
    <w:p>
      <w:pPr>
        <w:pStyle w:val="Heading2"/>
        <w:keepNext/>
      </w:pPr>
      <w:r>
        <w:t>Required test set</w:t>
      </w:r>
    </w:p>
    <w:p>
      <w:pPr>
        <w:pStyle w:val="ListBullet"/>
        <w:spacing w:after="50"/>
      </w:pPr>
      <w:r>
        <w:t>5 numeric-limit changes.</w:t>
      </w:r>
    </w:p>
    <w:p>
      <w:pPr>
        <w:pStyle w:val="ListBullet"/>
        <w:spacing w:after="50"/>
      </w:pPr>
      <w:r>
        <w:t>5 monitoring-frequency changes.</w:t>
      </w:r>
    </w:p>
    <w:p>
      <w:pPr>
        <w:pStyle w:val="ListBullet"/>
        <w:spacing w:after="50"/>
      </w:pPr>
      <w:r>
        <w:t>3 new requirements.</w:t>
      </w:r>
    </w:p>
    <w:p>
      <w:pPr>
        <w:pStyle w:val="ListBullet"/>
        <w:spacing w:after="50"/>
      </w:pPr>
      <w:r>
        <w:t>2 removed requirements.</w:t>
      </w:r>
    </w:p>
    <w:p>
      <w:pPr>
        <w:pStyle w:val="ListBullet"/>
        <w:spacing w:after="50"/>
      </w:pPr>
      <w:r>
        <w:t>3 ambiguous applicability changes.</w:t>
      </w:r>
    </w:p>
    <w:p>
      <w:pPr>
        <w:pStyle w:val="ListBullet"/>
        <w:spacing w:after="50"/>
      </w:pPr>
      <w:r>
        <w:t>At least 5 deliberately outdated internal controls.</w:t>
      </w:r>
    </w:p>
    <w:p>
      <w:pPr>
        <w:pStyle w:val="ListBullet"/>
        <w:spacing w:after="50"/>
      </w:pPr>
      <w:r>
        <w:t>At least 3 distractor SOPs that look semantically similar but belong to the wrong asset.</w:t>
      </w:r>
    </w:p>
    <w:p>
      <w:pPr>
        <w:pStyle w:val="Heading1"/>
        <w:keepNext/>
      </w:pPr>
      <w:r>
        <w:t>15. Build Plan</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304"/>
            <w:shd w:fill="12263A"/>
            <w:tcMar>
              <w:top w:w="85" w:type="dxa"/>
              <w:start w:w="90" w:type="dxa"/>
              <w:bottom w:w="85" w:type="dxa"/>
              <w:end w:w="90" w:type="dxa"/>
            </w:tcMar>
            <w:vAlign w:val="center"/>
          </w:tcPr>
          <w:p>
            <w:r>
              <w:rPr>
                <w:b/>
                <w:color w:val="FFFFFF"/>
                <w:sz w:val="17"/>
              </w:rPr>
              <w:t>Phase</w:t>
            </w:r>
          </w:p>
        </w:tc>
        <w:tc>
          <w:tcPr>
            <w:tcW w:type="dxa" w:w="7632"/>
            <w:shd w:fill="12263A"/>
            <w:tcMar>
              <w:top w:w="85" w:type="dxa"/>
              <w:start w:w="90" w:type="dxa"/>
              <w:bottom w:w="85" w:type="dxa"/>
              <w:end w:w="90" w:type="dxa"/>
            </w:tcMar>
            <w:vAlign w:val="center"/>
          </w:tcPr>
          <w:p>
            <w:r>
              <w:rPr>
                <w:b/>
                <w:color w:val="FFFFFF"/>
                <w:sz w:val="17"/>
              </w:rPr>
              <w:t>Deliverable</w:t>
            </w:r>
          </w:p>
        </w:tc>
      </w:tr>
      <w:tr>
        <w:trPr>
          <w:cantSplit/>
        </w:trPr>
        <w:tc>
          <w:tcPr>
            <w:tcW w:type="dxa" w:w="2304"/>
            <w:tcMar>
              <w:top w:w="75" w:type="dxa"/>
              <w:start w:w="85" w:type="dxa"/>
              <w:bottom w:w="75" w:type="dxa"/>
              <w:end w:w="85" w:type="dxa"/>
            </w:tcMar>
            <w:vAlign w:val="top"/>
          </w:tcPr>
          <w:p>
            <w:pPr>
              <w:spacing w:after="0"/>
            </w:pPr>
            <w:r>
              <w:rPr>
                <w:sz w:val="16"/>
              </w:rPr>
              <w:t>1 — Domain model</w:t>
            </w:r>
          </w:p>
        </w:tc>
        <w:tc>
          <w:tcPr>
            <w:tcW w:type="dxa" w:w="7632"/>
            <w:tcMar>
              <w:top w:w="75" w:type="dxa"/>
              <w:start w:w="85" w:type="dxa"/>
              <w:bottom w:w="75" w:type="dxa"/>
              <w:end w:w="85" w:type="dxa"/>
            </w:tcMar>
            <w:vAlign w:val="top"/>
          </w:tcPr>
          <w:p>
            <w:pPr>
              <w:spacing w:after="0"/>
            </w:pPr>
            <w:r>
              <w:rPr>
                <w:sz w:val="16"/>
              </w:rPr>
              <w:t>Synthetic refinery data, document set, ground-truth change list, database schema.</w:t>
            </w:r>
          </w:p>
        </w:tc>
      </w:tr>
      <w:tr>
        <w:trPr>
          <w:cantSplit/>
        </w:trPr>
        <w:tc>
          <w:tcPr>
            <w:tcW w:type="dxa" w:w="2304"/>
            <w:tcMar>
              <w:top w:w="75" w:type="dxa"/>
              <w:start w:w="85" w:type="dxa"/>
              <w:bottom w:w="75" w:type="dxa"/>
              <w:end w:w="85" w:type="dxa"/>
            </w:tcMar>
            <w:vAlign w:val="top"/>
          </w:tcPr>
          <w:p>
            <w:pPr>
              <w:spacing w:after="0"/>
            </w:pPr>
            <w:r>
              <w:rPr>
                <w:sz w:val="16"/>
              </w:rPr>
              <w:t>2 — Permit intelligence</w:t>
            </w:r>
          </w:p>
        </w:tc>
        <w:tc>
          <w:tcPr>
            <w:tcW w:type="dxa" w:w="7632"/>
            <w:tcMar>
              <w:top w:w="75" w:type="dxa"/>
              <w:start w:w="85" w:type="dxa"/>
              <w:bottom w:w="75" w:type="dxa"/>
              <w:end w:w="85" w:type="dxa"/>
            </w:tcMar>
            <w:vAlign w:val="top"/>
          </w:tcPr>
          <w:p>
            <w:pPr>
              <w:spacing w:after="0"/>
            </w:pPr>
            <w:r>
              <w:rPr>
                <w:sz w:val="16"/>
              </w:rPr>
              <w:t>Ingestion, structured extraction, old/new pairing, deterministic numeric/frequency diff.</w:t>
            </w:r>
          </w:p>
        </w:tc>
      </w:tr>
      <w:tr>
        <w:trPr>
          <w:cantSplit/>
        </w:trPr>
        <w:tc>
          <w:tcPr>
            <w:tcW w:type="dxa" w:w="2304"/>
            <w:tcMar>
              <w:top w:w="75" w:type="dxa"/>
              <w:start w:w="85" w:type="dxa"/>
              <w:bottom w:w="75" w:type="dxa"/>
              <w:end w:w="85" w:type="dxa"/>
            </w:tcMar>
            <w:vAlign w:val="top"/>
          </w:tcPr>
          <w:p>
            <w:pPr>
              <w:spacing w:after="0"/>
            </w:pPr>
            <w:r>
              <w:rPr>
                <w:sz w:val="16"/>
              </w:rPr>
              <w:t>3 — Facility impact</w:t>
            </w:r>
          </w:p>
        </w:tc>
        <w:tc>
          <w:tcPr>
            <w:tcW w:type="dxa" w:w="7632"/>
            <w:tcMar>
              <w:top w:w="75" w:type="dxa"/>
              <w:start w:w="85" w:type="dxa"/>
              <w:bottom w:w="75" w:type="dxa"/>
              <w:end w:w="85" w:type="dxa"/>
            </w:tcMar>
            <w:vAlign w:val="top"/>
          </w:tcPr>
          <w:p>
            <w:pPr>
              <w:spacing w:after="0"/>
            </w:pPr>
            <w:r>
              <w:rPr>
                <w:sz w:val="16"/>
              </w:rPr>
              <w:t>Asset/control retrieval, relationship model, conflict detection, evidence citations.</w:t>
            </w:r>
          </w:p>
        </w:tc>
      </w:tr>
      <w:tr>
        <w:trPr>
          <w:cantSplit/>
        </w:trPr>
        <w:tc>
          <w:tcPr>
            <w:tcW w:type="dxa" w:w="2304"/>
            <w:tcMar>
              <w:top w:w="75" w:type="dxa"/>
              <w:start w:w="85" w:type="dxa"/>
              <w:bottom w:w="75" w:type="dxa"/>
              <w:end w:w="85" w:type="dxa"/>
            </w:tcMar>
            <w:vAlign w:val="top"/>
          </w:tcPr>
          <w:p>
            <w:pPr>
              <w:spacing w:after="0"/>
            </w:pPr>
            <w:r>
              <w:rPr>
                <w:sz w:val="16"/>
              </w:rPr>
              <w:t>4 — Workflow</w:t>
            </w:r>
          </w:p>
        </w:tc>
        <w:tc>
          <w:tcPr>
            <w:tcW w:type="dxa" w:w="7632"/>
            <w:tcMar>
              <w:top w:w="75" w:type="dxa"/>
              <w:start w:w="85" w:type="dxa"/>
              <w:bottom w:w="75" w:type="dxa"/>
              <w:end w:w="85" w:type="dxa"/>
            </w:tcMar>
            <w:vAlign w:val="top"/>
          </w:tcPr>
          <w:p>
            <w:pPr>
              <w:spacing w:after="0"/>
            </w:pPr>
            <w:r>
              <w:rPr>
                <w:sz w:val="16"/>
              </w:rPr>
              <w:t>Implementation actions, owners, status machine, human review, evidence upload.</w:t>
            </w:r>
          </w:p>
        </w:tc>
      </w:tr>
      <w:tr>
        <w:trPr>
          <w:cantSplit/>
        </w:trPr>
        <w:tc>
          <w:tcPr>
            <w:tcW w:type="dxa" w:w="2304"/>
            <w:tcMar>
              <w:top w:w="75" w:type="dxa"/>
              <w:start w:w="85" w:type="dxa"/>
              <w:bottom w:w="75" w:type="dxa"/>
              <w:end w:w="85" w:type="dxa"/>
            </w:tcMar>
            <w:vAlign w:val="top"/>
          </w:tcPr>
          <w:p>
            <w:pPr>
              <w:spacing w:after="0"/>
            </w:pPr>
            <w:r>
              <w:rPr>
                <w:sz w:val="16"/>
              </w:rPr>
              <w:t>5 — Evaluation</w:t>
            </w:r>
          </w:p>
        </w:tc>
        <w:tc>
          <w:tcPr>
            <w:tcW w:type="dxa" w:w="7632"/>
            <w:tcMar>
              <w:top w:w="75" w:type="dxa"/>
              <w:start w:w="85" w:type="dxa"/>
              <w:bottom w:w="75" w:type="dxa"/>
              <w:end w:w="85" w:type="dxa"/>
            </w:tcMar>
            <w:vAlign w:val="top"/>
          </w:tcPr>
          <w:p>
            <w:pPr>
              <w:spacing w:after="0"/>
            </w:pPr>
            <w:r>
              <w:rPr>
                <w:sz w:val="16"/>
              </w:rPr>
              <w:t>Ground-truth tests, failure analysis, confidence behavior, audit trail.</w:t>
            </w:r>
          </w:p>
        </w:tc>
      </w:tr>
      <w:tr>
        <w:trPr>
          <w:cantSplit/>
        </w:trPr>
        <w:tc>
          <w:tcPr>
            <w:tcW w:type="dxa" w:w="2304"/>
            <w:tcMar>
              <w:top w:w="75" w:type="dxa"/>
              <w:start w:w="85" w:type="dxa"/>
              <w:bottom w:w="75" w:type="dxa"/>
              <w:end w:w="85" w:type="dxa"/>
            </w:tcMar>
            <w:vAlign w:val="top"/>
          </w:tcPr>
          <w:p>
            <w:pPr>
              <w:spacing w:after="0"/>
            </w:pPr>
            <w:r>
              <w:rPr>
                <w:sz w:val="16"/>
              </w:rPr>
              <w:t>6 — Presentation</w:t>
            </w:r>
          </w:p>
        </w:tc>
        <w:tc>
          <w:tcPr>
            <w:tcW w:type="dxa" w:w="7632"/>
            <w:tcMar>
              <w:top w:w="75" w:type="dxa"/>
              <w:start w:w="85" w:type="dxa"/>
              <w:bottom w:w="75" w:type="dxa"/>
              <w:end w:w="85" w:type="dxa"/>
            </w:tcMar>
            <w:vAlign w:val="top"/>
          </w:tcPr>
          <w:p>
            <w:pPr>
              <w:spacing w:after="0"/>
            </w:pPr>
            <w:r>
              <w:rPr>
                <w:sz w:val="16"/>
              </w:rPr>
              <w:t>Polished hero demo, architecture diagram, technical write-up, LinkedIn case study.</w:t>
            </w:r>
          </w:p>
        </w:tc>
      </w:tr>
    </w:tbl>
    <w:p>
      <w:pPr>
        <w:spacing w:after="0"/>
      </w:pPr>
    </w:p>
    <w:p>
      <w:pPr>
        <w:pStyle w:val="Heading2"/>
        <w:keepNext/>
      </w:pPr>
      <w:r>
        <w:t>Recommended sequence for the student</w:t>
      </w:r>
    </w:p>
    <w:p>
      <w:pPr>
        <w:spacing w:after="50"/>
        <w:ind w:left="0" w:firstLine="0"/>
      </w:pPr>
      <w:r>
        <w:rPr>
          <w:rFonts w:ascii="Arial" w:hAnsi="Arial"/>
          <w:sz w:val="18"/>
        </w:rPr>
        <w:t>1.  First make the data model work without AI.</w:t>
      </w:r>
    </w:p>
    <w:p>
      <w:pPr>
        <w:spacing w:after="50"/>
        <w:ind w:left="0" w:firstLine="0"/>
      </w:pPr>
      <w:r>
        <w:rPr>
          <w:rFonts w:ascii="Arial" w:hAnsi="Arial"/>
          <w:sz w:val="18"/>
        </w:rPr>
        <w:t>2.  Then make one permit clause extract correctly.</w:t>
      </w:r>
    </w:p>
    <w:p>
      <w:pPr>
        <w:spacing w:after="50"/>
        <w:ind w:left="0" w:firstLine="0"/>
      </w:pPr>
      <w:r>
        <w:rPr>
          <w:rFonts w:ascii="Arial" w:hAnsi="Arial"/>
          <w:sz w:val="18"/>
        </w:rPr>
        <w:t>3.  Then make one old/new pair compare correctly.</w:t>
      </w:r>
    </w:p>
    <w:p>
      <w:pPr>
        <w:spacing w:after="50"/>
        <w:ind w:left="0" w:firstLine="0"/>
      </w:pPr>
      <w:r>
        <w:rPr>
          <w:rFonts w:ascii="Arial" w:hAnsi="Arial"/>
          <w:sz w:val="18"/>
        </w:rPr>
        <w:t>4.  Then complete the full Boiler B-07 hero case manually with seeded relationships.</w:t>
      </w:r>
    </w:p>
    <w:p>
      <w:pPr>
        <w:spacing w:after="50"/>
        <w:ind w:left="0" w:firstLine="0"/>
      </w:pPr>
      <w:r>
        <w:rPr>
          <w:rFonts w:ascii="Arial" w:hAnsi="Arial"/>
          <w:sz w:val="18"/>
        </w:rPr>
        <w:t>5.  Only after the hero case works, generalize retrieval and relationship discovery.</w:t>
      </w:r>
    </w:p>
    <w:p>
      <w:pPr>
        <w:spacing w:after="50"/>
        <w:ind w:left="0" w:firstLine="0"/>
      </w:pPr>
      <w:r>
        <w:rPr>
          <w:rFonts w:ascii="Arial" w:hAnsi="Arial"/>
          <w:sz w:val="18"/>
        </w:rPr>
        <w:t>6.  Add the second Cooling Tower case.</w:t>
      </w:r>
    </w:p>
    <w:p>
      <w:pPr>
        <w:spacing w:after="50"/>
        <w:ind w:left="0" w:firstLine="0"/>
      </w:pPr>
      <w:r>
        <w:rPr>
          <w:rFonts w:ascii="Arial" w:hAnsi="Arial"/>
          <w:sz w:val="18"/>
        </w:rPr>
        <w:t>7.  Build the evaluation set before adding more features.</w:t>
      </w:r>
    </w:p>
    <w:p>
      <w:pPr>
        <w:spacing w:after="50"/>
        <w:ind w:left="0" w:firstLine="0"/>
      </w:pPr>
      <w:r>
        <w:rPr>
          <w:rFonts w:ascii="Arial" w:hAnsi="Arial"/>
          <w:sz w:val="18"/>
        </w:rPr>
        <w:t>8.  Polish UI last.</w:t>
      </w:r>
    </w:p>
    <w:p>
      <w:pPr>
        <w:pStyle w:val="Heading1"/>
        <w:keepNext/>
      </w:pPr>
      <w:r>
        <w:t>16. Definition of Done</w:t>
      </w:r>
    </w:p>
    <w:p>
      <w:r>
        <w:t>The project is done when a reviewer can perform this exact demo:</w:t>
      </w:r>
    </w:p>
    <w:p>
      <w:pPr>
        <w:spacing w:after="50"/>
        <w:ind w:left="0" w:firstLine="0"/>
      </w:pPr>
      <w:r>
        <w:rPr>
          <w:rFonts w:ascii="Arial" w:hAnsi="Arial"/>
          <w:sz w:val="18"/>
        </w:rPr>
        <w:t>1.  Open NorthRiver Refining.</w:t>
      </w:r>
    </w:p>
    <w:p>
      <w:pPr>
        <w:spacing w:after="50"/>
        <w:ind w:left="0" w:firstLine="0"/>
      </w:pPr>
      <w:r>
        <w:rPr>
          <w:rFonts w:ascii="Arial" w:hAnsi="Arial"/>
          <w:sz w:val="18"/>
        </w:rPr>
        <w:t>2.  Select Current Permit vs. Revised Permit.</w:t>
      </w:r>
    </w:p>
    <w:p>
      <w:pPr>
        <w:spacing w:after="50"/>
        <w:ind w:left="0" w:firstLine="0"/>
      </w:pPr>
      <w:r>
        <w:rPr>
          <w:rFonts w:ascii="Arial" w:hAnsi="Arial"/>
          <w:sz w:val="18"/>
        </w:rPr>
        <w:t>3.  Run / view the completed comparison.</w:t>
      </w:r>
    </w:p>
    <w:p>
      <w:pPr>
        <w:spacing w:after="50"/>
        <w:ind w:left="0" w:firstLine="0"/>
      </w:pPr>
      <w:r>
        <w:rPr>
          <w:rFonts w:ascii="Arial" w:hAnsi="Arial"/>
          <w:sz w:val="18"/>
        </w:rPr>
        <w:t>4.  See a ranked list of substantive changes.</w:t>
      </w:r>
    </w:p>
    <w:p>
      <w:pPr>
        <w:spacing w:after="50"/>
        <w:ind w:left="0" w:firstLine="0"/>
      </w:pPr>
      <w:r>
        <w:rPr>
          <w:rFonts w:ascii="Arial" w:hAnsi="Arial"/>
          <w:sz w:val="18"/>
        </w:rPr>
        <w:t>5.  Open Boiler B-07 NOx change.</w:t>
      </w:r>
    </w:p>
    <w:p>
      <w:pPr>
        <w:spacing w:after="50"/>
        <w:ind w:left="0" w:firstLine="0"/>
      </w:pPr>
      <w:r>
        <w:rPr>
          <w:rFonts w:ascii="Arial" w:hAnsi="Arial"/>
          <w:sz w:val="18"/>
        </w:rPr>
        <w:t>6.  Inspect old/new permit citations.</w:t>
      </w:r>
    </w:p>
    <w:p>
      <w:pPr>
        <w:spacing w:after="50"/>
        <w:ind w:left="0" w:firstLine="0"/>
      </w:pPr>
      <w:r>
        <w:rPr>
          <w:rFonts w:ascii="Arial" w:hAnsi="Arial"/>
          <w:sz w:val="18"/>
        </w:rPr>
        <w:t>7.  See the linked asset and affected SOP / monitoring control / calculation / training items.</w:t>
      </w:r>
    </w:p>
    <w:p>
      <w:pPr>
        <w:spacing w:after="50"/>
        <w:ind w:left="0" w:firstLine="0"/>
      </w:pPr>
      <w:r>
        <w:rPr>
          <w:rFonts w:ascii="Arial" w:hAnsi="Arial"/>
          <w:sz w:val="18"/>
        </w:rPr>
        <w:t>8.  See why each relationship was proposed and its confidence.</w:t>
      </w:r>
    </w:p>
    <w:p>
      <w:pPr>
        <w:spacing w:after="50"/>
        <w:ind w:left="0" w:firstLine="0"/>
      </w:pPr>
      <w:r>
        <w:rPr>
          <w:rFonts w:ascii="Arial" w:hAnsi="Arial"/>
          <w:sz w:val="18"/>
        </w:rPr>
        <w:t>9.  Open the generated implementation actions.</w:t>
      </w:r>
    </w:p>
    <w:p>
      <w:pPr>
        <w:spacing w:after="50"/>
        <w:ind w:left="0" w:firstLine="0"/>
      </w:pPr>
      <w:r>
        <w:rPr>
          <w:rFonts w:ascii="Arial" w:hAnsi="Arial"/>
          <w:sz w:val="18"/>
        </w:rPr>
        <w:t>10.  Upload or select simulated evidence for one completed action.</w:t>
      </w:r>
    </w:p>
    <w:p>
      <w:pPr>
        <w:spacing w:after="50"/>
        <w:ind w:left="0" w:firstLine="0"/>
      </w:pPr>
      <w:r>
        <w:rPr>
          <w:rFonts w:ascii="Arial" w:hAnsi="Arial"/>
          <w:sz w:val="18"/>
        </w:rPr>
        <w:t>11.  See the AI evidence check.</w:t>
      </w:r>
    </w:p>
    <w:p>
      <w:pPr>
        <w:spacing w:after="50"/>
        <w:ind w:left="0" w:firstLine="0"/>
      </w:pPr>
      <w:r>
        <w:rPr>
          <w:rFonts w:ascii="Arial" w:hAnsi="Arial"/>
          <w:sz w:val="18"/>
        </w:rPr>
        <w:t>12.  Approve the action as a human reviewer.</w:t>
      </w:r>
    </w:p>
    <w:p>
      <w:pPr>
        <w:spacing w:after="50"/>
        <w:ind w:left="0" w:firstLine="0"/>
      </w:pPr>
      <w:r>
        <w:rPr>
          <w:rFonts w:ascii="Arial" w:hAnsi="Arial"/>
          <w:sz w:val="18"/>
        </w:rPr>
        <w:t>13.  Open the audit trail and trace the full path from permit clause to approval.</w:t>
      </w:r>
    </w:p>
    <w:tbl>
      <w:tblPr>
        <w:tblW w:type="auto" w:w="0"/>
        <w:jc w:val="center"/>
        <w:tblLayout w:type="fixed"/>
        <w:tblLook w:firstColumn="1" w:firstRow="1" w:lastColumn="0" w:lastRow="0" w:noHBand="0" w:noVBand="1" w:val="04A0"/>
      </w:tblPr>
      <w:tblGrid>
        <w:gridCol w:w="115"/>
        <w:gridCol w:w="9936"/>
      </w:tblGrid>
      <w:tr>
        <w:trPr>
          <w:cantSplit/>
        </w:trPr>
        <w:tc>
          <w:tcPr>
            <w:tcW w:type="dxa" w:w="5112"/>
            <w:shd w:fill="B7791F"/>
          </w:tcPr>
          <w:p/>
        </w:tc>
        <w:tc>
          <w:tcPr>
            <w:tcW w:type="dxa" w:w="5112"/>
            <w:shd w:fill="FFF8E7"/>
            <w:tcMar>
              <w:top w:w="130" w:type="dxa"/>
              <w:start w:w="150" w:type="dxa"/>
              <w:bottom w:w="130" w:type="dxa"/>
              <w:end w:w="150" w:type="dxa"/>
            </w:tcMar>
          </w:tcPr>
          <w:p>
            <w:pPr>
              <w:spacing w:after="40"/>
            </w:pPr>
            <w:r>
              <w:rPr>
                <w:b/>
                <w:color w:val="12263A"/>
              </w:rPr>
              <w:t>Hard completion criterion</w:t>
            </w:r>
          </w:p>
          <w:p>
            <w:pPr>
              <w:spacing w:after="0"/>
            </w:pPr>
            <w:r>
              <w:t>If the demo still depends on the presenter explaining what the product is supposed to do, it is not finished. The UI must make the permit-change → facility-impact → implementation-evidence chain obvious.</w:t>
            </w:r>
          </w:p>
        </w:tc>
      </w:tr>
    </w:tbl>
    <w:p>
      <w:pPr>
        <w:pStyle w:val="Heading1"/>
        <w:keepNext/>
      </w:pPr>
      <w:r>
        <w:t>17. What to Publish on LinkedIn</w:t>
      </w:r>
    </w:p>
    <w:p>
      <w:r>
        <w:t>The project becomes far more valuable if the student documents engineering decisions instead of only posting the final screenshot.</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1008"/>
            <w:shd w:fill="12263A"/>
            <w:tcMar>
              <w:top w:w="85" w:type="dxa"/>
              <w:start w:w="90" w:type="dxa"/>
              <w:bottom w:w="85" w:type="dxa"/>
              <w:end w:w="90" w:type="dxa"/>
            </w:tcMar>
            <w:vAlign w:val="center"/>
          </w:tcPr>
          <w:p>
            <w:r>
              <w:rPr>
                <w:b/>
                <w:color w:val="FFFFFF"/>
                <w:sz w:val="17"/>
              </w:rPr>
              <w:t>Post</w:t>
            </w:r>
          </w:p>
        </w:tc>
        <w:tc>
          <w:tcPr>
            <w:tcW w:type="dxa" w:w="8928"/>
            <w:shd w:fill="12263A"/>
            <w:tcMar>
              <w:top w:w="85" w:type="dxa"/>
              <w:start w:w="90" w:type="dxa"/>
              <w:bottom w:w="85" w:type="dxa"/>
              <w:end w:w="90" w:type="dxa"/>
            </w:tcMar>
            <w:vAlign w:val="center"/>
          </w:tcPr>
          <w:p>
            <w:r>
              <w:rPr>
                <w:b/>
                <w:color w:val="FFFFFF"/>
                <w:sz w:val="17"/>
              </w:rPr>
              <w:t>Angle</w:t>
            </w:r>
          </w:p>
        </w:tc>
      </w:tr>
      <w:tr>
        <w:trPr>
          <w:cantSplit/>
        </w:trPr>
        <w:tc>
          <w:tcPr>
            <w:tcW w:type="dxa" w:w="1008"/>
            <w:tcMar>
              <w:top w:w="75" w:type="dxa"/>
              <w:start w:w="85" w:type="dxa"/>
              <w:bottom w:w="75" w:type="dxa"/>
              <w:end w:w="85" w:type="dxa"/>
            </w:tcMar>
            <w:vAlign w:val="top"/>
          </w:tcPr>
          <w:p>
            <w:pPr>
              <w:spacing w:after="0"/>
            </w:pPr>
            <w:r>
              <w:rPr>
                <w:sz w:val="16"/>
              </w:rPr>
              <w:t>1</w:t>
            </w:r>
          </w:p>
        </w:tc>
        <w:tc>
          <w:tcPr>
            <w:tcW w:type="dxa" w:w="8928"/>
            <w:tcMar>
              <w:top w:w="75" w:type="dxa"/>
              <w:start w:w="85" w:type="dxa"/>
              <w:bottom w:w="75" w:type="dxa"/>
              <w:end w:w="85" w:type="dxa"/>
            </w:tcMar>
            <w:vAlign w:val="top"/>
          </w:tcPr>
          <w:p>
            <w:pPr>
              <w:spacing w:after="0"/>
            </w:pPr>
            <w:r>
              <w:rPr>
                <w:sz w:val="16"/>
              </w:rPr>
              <w:t>Why reviewing a 1,500-page refinery permit is an interesting AI workflow.</w:t>
            </w:r>
          </w:p>
        </w:tc>
      </w:tr>
      <w:tr>
        <w:trPr>
          <w:cantSplit/>
        </w:trPr>
        <w:tc>
          <w:tcPr>
            <w:tcW w:type="dxa" w:w="1008"/>
            <w:tcMar>
              <w:top w:w="75" w:type="dxa"/>
              <w:start w:w="85" w:type="dxa"/>
              <w:bottom w:w="75" w:type="dxa"/>
              <w:end w:w="85" w:type="dxa"/>
            </w:tcMar>
            <w:vAlign w:val="top"/>
          </w:tcPr>
          <w:p>
            <w:pPr>
              <w:spacing w:after="0"/>
            </w:pPr>
            <w:r>
              <w:rPr>
                <w:sz w:val="16"/>
              </w:rPr>
              <w:t>2</w:t>
            </w:r>
          </w:p>
        </w:tc>
        <w:tc>
          <w:tcPr>
            <w:tcW w:type="dxa" w:w="8928"/>
            <w:tcMar>
              <w:top w:w="75" w:type="dxa"/>
              <w:start w:w="85" w:type="dxa"/>
              <w:bottom w:w="75" w:type="dxa"/>
              <w:end w:w="85" w:type="dxa"/>
            </w:tcMar>
            <w:vAlign w:val="top"/>
          </w:tcPr>
          <w:p>
            <w:pPr>
              <w:spacing w:after="0"/>
            </w:pPr>
            <w:r>
              <w:rPr>
                <w:sz w:val="16"/>
              </w:rPr>
              <w:t>Why text diff is not enough: operational impact is the harder problem.</w:t>
            </w:r>
          </w:p>
        </w:tc>
      </w:tr>
      <w:tr>
        <w:trPr>
          <w:cantSplit/>
        </w:trPr>
        <w:tc>
          <w:tcPr>
            <w:tcW w:type="dxa" w:w="1008"/>
            <w:tcMar>
              <w:top w:w="75" w:type="dxa"/>
              <w:start w:w="85" w:type="dxa"/>
              <w:bottom w:w="75" w:type="dxa"/>
              <w:end w:w="85" w:type="dxa"/>
            </w:tcMar>
            <w:vAlign w:val="top"/>
          </w:tcPr>
          <w:p>
            <w:pPr>
              <w:spacing w:after="0"/>
            </w:pPr>
            <w:r>
              <w:rPr>
                <w:sz w:val="16"/>
              </w:rPr>
              <w:t>3</w:t>
            </w:r>
          </w:p>
        </w:tc>
        <w:tc>
          <w:tcPr>
            <w:tcW w:type="dxa" w:w="8928"/>
            <w:tcMar>
              <w:top w:w="75" w:type="dxa"/>
              <w:start w:w="85" w:type="dxa"/>
              <w:bottom w:w="75" w:type="dxa"/>
              <w:end w:w="85" w:type="dxa"/>
            </w:tcMar>
            <w:vAlign w:val="top"/>
          </w:tcPr>
          <w:p>
            <w:pPr>
              <w:spacing w:after="0"/>
            </w:pPr>
            <w:r>
              <w:rPr>
                <w:sz w:val="16"/>
              </w:rPr>
              <w:t>Why pure RAG is weak for facility-specific compliance mapping.</w:t>
            </w:r>
          </w:p>
        </w:tc>
      </w:tr>
      <w:tr>
        <w:trPr>
          <w:cantSplit/>
        </w:trPr>
        <w:tc>
          <w:tcPr>
            <w:tcW w:type="dxa" w:w="1008"/>
            <w:tcMar>
              <w:top w:w="75" w:type="dxa"/>
              <w:start w:w="85" w:type="dxa"/>
              <w:bottom w:w="75" w:type="dxa"/>
              <w:end w:w="85" w:type="dxa"/>
            </w:tcMar>
            <w:vAlign w:val="top"/>
          </w:tcPr>
          <w:p>
            <w:pPr>
              <w:spacing w:after="0"/>
            </w:pPr>
            <w:r>
              <w:rPr>
                <w:sz w:val="16"/>
              </w:rPr>
              <w:t>4</w:t>
            </w:r>
          </w:p>
        </w:tc>
        <w:tc>
          <w:tcPr>
            <w:tcW w:type="dxa" w:w="8928"/>
            <w:tcMar>
              <w:top w:w="75" w:type="dxa"/>
              <w:start w:w="85" w:type="dxa"/>
              <w:bottom w:w="75" w:type="dxa"/>
              <w:end w:w="85" w:type="dxa"/>
            </w:tcMar>
            <w:vAlign w:val="top"/>
          </w:tcPr>
          <w:p>
            <w:pPr>
              <w:spacing w:after="0"/>
            </w:pPr>
            <w:r>
              <w:rPr>
                <w:sz w:val="16"/>
              </w:rPr>
              <w:t>How numeric changes are handled deterministically instead of trusting an LLM.</w:t>
            </w:r>
          </w:p>
        </w:tc>
      </w:tr>
      <w:tr>
        <w:trPr>
          <w:cantSplit/>
        </w:trPr>
        <w:tc>
          <w:tcPr>
            <w:tcW w:type="dxa" w:w="1008"/>
            <w:tcMar>
              <w:top w:w="75" w:type="dxa"/>
              <w:start w:w="85" w:type="dxa"/>
              <w:bottom w:w="75" w:type="dxa"/>
              <w:end w:w="85" w:type="dxa"/>
            </w:tcMar>
            <w:vAlign w:val="top"/>
          </w:tcPr>
          <w:p>
            <w:pPr>
              <w:spacing w:after="0"/>
            </w:pPr>
            <w:r>
              <w:rPr>
                <w:sz w:val="16"/>
              </w:rPr>
              <w:t>5</w:t>
            </w:r>
          </w:p>
        </w:tc>
        <w:tc>
          <w:tcPr>
            <w:tcW w:type="dxa" w:w="8928"/>
            <w:tcMar>
              <w:top w:w="75" w:type="dxa"/>
              <w:start w:w="85" w:type="dxa"/>
              <w:bottom w:w="75" w:type="dxa"/>
              <w:end w:w="85" w:type="dxa"/>
            </w:tcMar>
            <w:vAlign w:val="top"/>
          </w:tcPr>
          <w:p>
            <w:pPr>
              <w:spacing w:after="0"/>
            </w:pPr>
            <w:r>
              <w:rPr>
                <w:sz w:val="16"/>
              </w:rPr>
              <w:t>How confidence and human review prevent false certainty.</w:t>
            </w:r>
          </w:p>
        </w:tc>
      </w:tr>
      <w:tr>
        <w:trPr>
          <w:cantSplit/>
        </w:trPr>
        <w:tc>
          <w:tcPr>
            <w:tcW w:type="dxa" w:w="1008"/>
            <w:tcMar>
              <w:top w:w="75" w:type="dxa"/>
              <w:start w:w="85" w:type="dxa"/>
              <w:bottom w:w="75" w:type="dxa"/>
              <w:end w:w="85" w:type="dxa"/>
            </w:tcMar>
            <w:vAlign w:val="top"/>
          </w:tcPr>
          <w:p>
            <w:pPr>
              <w:spacing w:after="0"/>
            </w:pPr>
            <w:r>
              <w:rPr>
                <w:sz w:val="16"/>
              </w:rPr>
              <w:t>6</w:t>
            </w:r>
          </w:p>
        </w:tc>
        <w:tc>
          <w:tcPr>
            <w:tcW w:type="dxa" w:w="8928"/>
            <w:tcMar>
              <w:top w:w="75" w:type="dxa"/>
              <w:start w:w="85" w:type="dxa"/>
              <w:bottom w:w="75" w:type="dxa"/>
              <w:end w:w="85" w:type="dxa"/>
            </w:tcMar>
            <w:vAlign w:val="top"/>
          </w:tcPr>
          <w:p>
            <w:pPr>
              <w:spacing w:after="0"/>
            </w:pPr>
            <w:r>
              <w:rPr>
                <w:sz w:val="16"/>
              </w:rPr>
              <w:t>Evaluation results: where the system failed and what was changed.</w:t>
            </w:r>
          </w:p>
        </w:tc>
      </w:tr>
      <w:tr>
        <w:trPr>
          <w:cantSplit/>
        </w:trPr>
        <w:tc>
          <w:tcPr>
            <w:tcW w:type="dxa" w:w="1008"/>
            <w:tcMar>
              <w:top w:w="75" w:type="dxa"/>
              <w:start w:w="85" w:type="dxa"/>
              <w:bottom w:w="75" w:type="dxa"/>
              <w:end w:w="85" w:type="dxa"/>
            </w:tcMar>
            <w:vAlign w:val="top"/>
          </w:tcPr>
          <w:p>
            <w:pPr>
              <w:spacing w:after="0"/>
            </w:pPr>
            <w:r>
              <w:rPr>
                <w:sz w:val="16"/>
              </w:rPr>
              <w:t>7</w:t>
            </w:r>
          </w:p>
        </w:tc>
        <w:tc>
          <w:tcPr>
            <w:tcW w:type="dxa" w:w="8928"/>
            <w:tcMar>
              <w:top w:w="75" w:type="dxa"/>
              <w:start w:w="85" w:type="dxa"/>
              <w:bottom w:w="75" w:type="dxa"/>
              <w:end w:w="85" w:type="dxa"/>
            </w:tcMar>
            <w:vAlign w:val="top"/>
          </w:tcPr>
          <w:p>
            <w:pPr>
              <w:spacing w:after="0"/>
            </w:pPr>
            <w:r>
              <w:rPr>
                <w:sz w:val="16"/>
              </w:rPr>
              <w:t>Final architecture + five-minute demo.</w:t>
            </w:r>
          </w:p>
        </w:tc>
      </w:tr>
    </w:tbl>
    <w:p>
      <w:pPr>
        <w:spacing w:after="0"/>
      </w:pPr>
    </w:p>
    <w:p>
      <w:pPr>
        <w:pStyle w:val="Heading1"/>
        <w:keepNext/>
      </w:pPr>
      <w:r>
        <w:t>18. Research References</w:t>
      </w:r>
    </w:p>
    <w:p>
      <w:r>
        <w:rPr>
          <w:b/>
        </w:rPr>
        <w:t xml:space="preserve">1. Barr Engineering — Accelerating air permit review with AI. </w:t>
      </w:r>
      <w:hyperlink r:id="rId11">
        <w:r>
          <w:rPr>
            <w:color w:val="2563EB"/>
            <w:u w:val="single"/>
          </w:rPr>
          <w:t>Project page</w:t>
        </w:r>
      </w:hyperlink>
      <w:r>
        <w:t xml:space="preserve">  Real refinery case: 1,500-page draft permit, line-by-line AI-assisted comparison, expert review.</w:t>
      </w:r>
    </w:p>
    <w:p>
      <w:r>
        <w:rPr>
          <w:b/>
        </w:rPr>
        <w:t xml:space="preserve">2. U.S. EPA — Air Emissions Monitoring for Permits. </w:t>
      </w:r>
      <w:hyperlink r:id="rId12">
        <w:r>
          <w:rPr>
            <w:color w:val="2563EB"/>
            <w:u w:val="single"/>
          </w:rPr>
          <w:t>EPA page</w:t>
        </w:r>
      </w:hyperlink>
      <w:r>
        <w:t xml:space="preserve">  Background on Title V monitoring, recordkeeping, reporting, and enforceability.</w:t>
      </w:r>
    </w:p>
    <w:p>
      <w:r>
        <w:rPr>
          <w:b/>
        </w:rPr>
        <w:t xml:space="preserve">3. U.S. EPA — Monitoring, Recordkeeping, and Reporting. </w:t>
      </w:r>
      <w:hyperlink r:id="rId13">
        <w:r>
          <w:rPr>
            <w:color w:val="2563EB"/>
            <w:u w:val="single"/>
          </w:rPr>
          <w:t>EPA Title V page</w:t>
        </w:r>
      </w:hyperlink>
      <w:r>
        <w:t xml:space="preserve">  Official Title V program materials.</w:t>
      </w:r>
    </w:p>
    <w:p>
      <w:r>
        <w:rPr>
          <w:b/>
        </w:rPr>
        <w:t xml:space="preserve">4. U.S. EPA — 2025 HF Sinclair Navajo Clean Air Act Settlement. </w:t>
      </w:r>
      <w:hyperlink r:id="rId14">
        <w:r>
          <w:rPr>
            <w:color w:val="2563EB"/>
            <w:u w:val="single"/>
          </w:rPr>
          <w:t>Settlement summary</w:t>
        </w:r>
      </w:hyperlink>
      <w:r>
        <w:t xml:space="preserve">  Example of significant refinery air-compliance enforcement consequences.</w:t>
      </w:r>
    </w:p>
    <w:p>
      <w:pPr>
        <w:pStyle w:val="Heading1"/>
        <w:keepNext/>
      </w:pPr>
      <w:r>
        <w:t>19. Final Instruction to the Builder</w:t>
      </w:r>
    </w:p>
    <w:tbl>
      <w:tblPr>
        <w:tblW w:type="auto" w:w="0"/>
        <w:jc w:val="center"/>
        <w:tblLayout w:type="fixed"/>
        <w:tblLook w:firstColumn="1" w:firstRow="1" w:lastColumn="0" w:lastRow="0" w:noHBand="0" w:noVBand="1" w:val="04A0"/>
      </w:tblPr>
      <w:tblGrid>
        <w:gridCol w:w="115"/>
        <w:gridCol w:w="9936"/>
      </w:tblGrid>
      <w:tr>
        <w:trPr>
          <w:cantSplit/>
        </w:trPr>
        <w:tc>
          <w:tcPr>
            <w:tcW w:type="dxa" w:w="5112"/>
            <w:shd w:fill="007F7B"/>
          </w:tcPr>
          <w:p/>
        </w:tc>
        <w:tc>
          <w:tcPr>
            <w:tcW w:type="dxa" w:w="5112"/>
            <w:shd w:fill="EEF7F7"/>
            <w:tcMar>
              <w:top w:w="130" w:type="dxa"/>
              <w:start w:w="150" w:type="dxa"/>
              <w:bottom w:w="130" w:type="dxa"/>
              <w:end w:w="150" w:type="dxa"/>
            </w:tcMar>
          </w:tcPr>
          <w:p>
            <w:pPr>
              <w:spacing w:after="40"/>
            </w:pPr>
            <w:r>
              <w:rPr>
                <w:b/>
                <w:color w:val="12263A"/>
              </w:rPr>
              <w:t>Build the workflow, not the buzzwords.</w:t>
            </w:r>
          </w:p>
          <w:p>
            <w:pPr>
              <w:spacing w:after="0"/>
            </w:pPr>
            <w:r>
              <w:t>The goal is not to say “I used agents, RAG, vectors, and a knowledge graph.” The goal is to make one realistic permit change travel through a believable refinery model until the reviewer can see exactly what must change, why, and what evidence proves it was handled.</w:t>
            </w:r>
          </w:p>
        </w:tc>
      </w:tr>
    </w:tbl>
    <w:p>
      <w:r>
        <w:t>Start with the Boiler B-07 case. Make that single chain excellent. Then generalize. One deep, defensible workflow is more valuable than twenty shallow AI features.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4"/>
      </w:rPr>
      <w:t>Portfolio prototype • Human-reviewed environmental compliance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3"/>
        <w:sz w:val="15"/>
      </w:rPr>
      <w:t>PermitImpact AI  •  Product Specification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2263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7F7B"/>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226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rial" w:hAnsi="Arial"/>
      <w:b w:val="0"/>
      <w:color w:val="5B6573"/>
      <w:sz w:val="16"/>
    </w:rPr>
  </w:style>
  <w:style w:type="paragraph" w:customStyle="1" w:styleId="Callout">
    <w:name w:val="Callout"/>
    <w:pPr>
      <w:spacing w:after="60"/>
    </w:pPr>
    <w:rPr>
      <w:rFonts w:ascii="Arial" w:hAnsi="Arial"/>
      <w:b/>
      <w:color w:val="12263A"/>
      <w:sz w:val="19"/>
    </w:rPr>
  </w:style>
  <w:style w:type="paragraph" w:customStyle="1" w:styleId="CodeText">
    <w:name w:val="CodeText"/>
    <w:pPr>
      <w:spacing w:after="60"/>
    </w:pPr>
    <w:rPr>
      <w:rFonts w:ascii="Arial" w:hAnsi="Arial"/>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arr.com/project/accelerating-air-permit-review-with-ai/" TargetMode="External"/><Relationship Id="rId12" Type="http://schemas.openxmlformats.org/officeDocument/2006/relationships/hyperlink" Target="https://www.epa.gov/air-emissions-monitoring-knowledge-base/air-emissions-monitoring-permits" TargetMode="External"/><Relationship Id="rId13" Type="http://schemas.openxmlformats.org/officeDocument/2006/relationships/hyperlink" Target="https://www.epa.gov/title-v-operating-permits/monitoring-recordkeeping-and-reporting" TargetMode="External"/><Relationship Id="rId14" Type="http://schemas.openxmlformats.org/officeDocument/2006/relationships/hyperlink" Target="https://www.epa.gov/enforcement/2025-hf-sinclair-navajo-clean-air-act-settlement-agreement-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