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5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Cisplatin Timing in Oral and Head-and-Neck Cancer: Organ-Specific</w:t>
      </w:r>
      <w:r>
        <w:t xml:space="preserve"> </w:t>
      </w:r>
      <w:r>
        <w:t xml:space="preserve">Toxicity Mechanisms, Clinical Delivery Constraints, and the Rationale</w:t>
      </w:r>
      <w:r>
        <w:t xml:space="preserve"> </w:t>
      </w:r>
      <w:r>
        <w:t xml:space="preserve">for Chronotherapy</w:t>
      </w:r>
    </w:p>
    <w:p>
      <w:pPr>
        <w:pStyle w:val="Author"/>
      </w:pPr>
      <w:r>
        <w:t xml:space="preserve">[First Author]</w:t>
      </w:r>
    </w:p>
    <w:p>
      <w:pPr>
        <w:pStyle w:val="Author"/>
      </w:pPr>
      <w:r>
        <w:t xml:space="preserve">[Second Author]</w:t>
      </w:r>
    </w:p>
    <w:p>
      <w:pPr>
        <w:pStyle w:val="Author"/>
      </w:pPr>
      <w:r>
        <w:t xml:space="preserve">[Third Author]</w:t>
      </w:r>
    </w:p>
    <w:p>
      <w:pPr>
        <w:pStyle w:val="AbstractTitle"/>
      </w:pPr>
      <w:r>
        <w:t xml:space="preserve">Abstract</w:t>
      </w:r>
    </w:p>
    <w:p>
      <w:pPr>
        <w:pStyle w:val="Abstract"/>
      </w:pPr>
      <w:r>
        <w:t xml:space="preserve">Cisplatin-based concurrent chemoradiotherapy is the standard of care for</w:t>
      </w:r>
      <w:r>
        <w:t xml:space="preserve"> </w:t>
      </w:r>
      <w:r>
        <w:t xml:space="preserve">locally advanced oral squamous cell carcinoma (OSCC) and head and neck</w:t>
      </w:r>
      <w:r>
        <w:t xml:space="preserve"> </w:t>
      </w:r>
      <w:r>
        <w:t xml:space="preserve">squamous cell carcinoma (HNSCC), but nephrotoxicity, ototoxicity, oral</w:t>
      </w:r>
      <w:r>
        <w:t xml:space="preserve"> </w:t>
      </w:r>
      <w:r>
        <w:t xml:space="preserve">mucositis, nausea and vomiting, and peripheral neuropathy limit dose</w:t>
      </w:r>
      <w:r>
        <w:t xml:space="preserve"> </w:t>
      </w:r>
      <w:r>
        <w:t xml:space="preserve">delivery in a substantial proportion of patients. These toxicities are</w:t>
      </w:r>
      <w:r>
        <w:t xml:space="preserve"> </w:t>
      </w:r>
      <w:r>
        <w:t xml:space="preserve">organ-specific: each reflects a distinct biology of transporter-mediated</w:t>
      </w:r>
      <w:r>
        <w:t xml:space="preserve"> </w:t>
      </w:r>
      <w:r>
        <w:t xml:space="preserve">platinum uptake, DNA adduct accumulation, repair capacity, and</w:t>
      </w:r>
      <w:r>
        <w:t xml:space="preserve"> </w:t>
      </w:r>
      <w:r>
        <w:t xml:space="preserve">tissue-specific apoptotic response. An emerging body of molecular evidence</w:t>
      </w:r>
      <w:r>
        <w:t xml:space="preserve"> </w:t>
      </w:r>
      <w:r>
        <w:t xml:space="preserve">indicates that several determinants of cisplatin organ toxicity — including</w:t>
      </w:r>
      <w:r>
        <w:t xml:space="preserve"> </w:t>
      </w:r>
      <w:r>
        <w:t xml:space="preserve">OCT2-mediated renal tubular uptake, XPA-dependent nucleotide excision</w:t>
      </w:r>
      <w:r>
        <w:t xml:space="preserve"> </w:t>
      </w:r>
      <w:r>
        <w:t xml:space="preserve">repair activity, glutathione redox buffering, and mucosal epithelial</w:t>
      </w:r>
      <w:r>
        <w:t xml:space="preserve"> </w:t>
      </w:r>
      <w:r>
        <w:t xml:space="preserve">proliferative rate — oscillate with circadian periodicity under the control</w:t>
      </w:r>
      <w:r>
        <w:t xml:space="preserve"> </w:t>
      </w:r>
      <w:r>
        <w:t xml:space="preserve">of the molecular clock. Mechanistic studies, a small OSCC pilot study, and</w:t>
      </w:r>
      <w:r>
        <w:t xml:space="preserve"> </w:t>
      </w:r>
      <w:r>
        <w:t xml:space="preserve">a phase II randomised trial in nasopharyngeal carcinoma support the hypothesis</w:t>
      </w:r>
      <w:r>
        <w:t xml:space="preserve"> </w:t>
      </w:r>
      <w:r>
        <w:t xml:space="preserve">that the circadian time of cisplatin administration modulates toxicity</w:t>
      </w:r>
      <w:r>
        <w:t xml:space="preserve"> </w:t>
      </w:r>
      <w:r>
        <w:t xml:space="preserve">outcomes; however, no chronotherapy study in head-and-neck cancer has been</w:t>
      </w:r>
      <w:r>
        <w:t xml:space="preserve"> </w:t>
      </w:r>
      <w:r>
        <w:t xml:space="preserve">powered for survival, and the sex</w:t>
      </w:r>
      <m:oMath>
        <m:r>
          <m:rPr>
            <m:sty m:val="p"/>
          </m:rPr>
          <m:t>×</m:t>
        </m:r>
      </m:oMath>
      <w:r>
        <w:t xml:space="preserve">timing interaction documented in</w:t>
      </w:r>
      <w:r>
        <w:t xml:space="preserve"> </w:t>
      </w:r>
      <w:r>
        <w:t xml:space="preserve">colorectal cancer trials demands sex-stratified design. This review synthesises the organ-specific toxicity mechanisms, circadian</w:t>
      </w:r>
      <w:r>
        <w:t xml:space="preserve"> </w:t>
      </w:r>
      <w:r>
        <w:t xml:space="preserve">timing gates, and clinical evidence relevant to OSCC/HNSCC. We propose</w:t>
      </w:r>
      <w:r>
        <w:t xml:space="preserve"> </w:t>
      </w:r>
      <w:r>
        <w:t xml:space="preserve">a chronotype-aware phase II trial framework in which the primary endpoint</w:t>
      </w:r>
      <w:r>
        <w:t xml:space="preserve"> </w:t>
      </w:r>
      <w:r>
        <w:t xml:space="preserve">is Grade </w:t>
      </w:r>
      <m:oMath>
        <m:r>
          <m:rPr>
            <m:sty m:val="p"/>
          </m:rPr>
          <m:t>≥</m:t>
        </m:r>
      </m:oMath>
      <w:r>
        <w:t xml:space="preserve">3 mucositis or Grade </w:t>
      </w:r>
      <m:oMath>
        <m:r>
          <m:rPr>
            <m:sty m:val="p"/>
          </m:rPr>
          <m:t>≥</m:t>
        </m:r>
      </m:oMath>
      <w:r>
        <w:t xml:space="preserve">3 nephrotoxicity within six</w:t>
      </w:r>
      <w:r>
        <w:t xml:space="preserve"> </w:t>
      </w:r>
      <w:r>
        <w:t xml:space="preserve">weeks of first cisplatin, with mandatory sex stratification and prospective</w:t>
      </w:r>
      <w:r>
        <w:t xml:space="preserve"> </w:t>
      </w:r>
      <w:r>
        <w:t xml:space="preserve">circadian function index (CFI) monitoring, as the most defensible near-term</w:t>
      </w:r>
      <w:r>
        <w:t xml:space="preserve"> </w:t>
      </w:r>
      <w:r>
        <w:t xml:space="preserve">translational step.</w:t>
      </w:r>
    </w:p>
    <w:p>
      <w:pPr>
        <w:pStyle w:val="FirstParagraph"/>
      </w:pPr>
      <w:r>
        <w:t xml:space="preserve">cisplatin ,oral squamous cell carcinoma ,head and neck cancer ,</w:t>
      </w:r>
      <w:r>
        <w:t xml:space="preserve"> </w:t>
      </w:r>
      <w:r>
        <w:t xml:space="preserve">chronotherapy ,organ-specific toxicity ,circadian clock ,</w:t>
      </w:r>
      <w:r>
        <w:t xml:space="preserve"> </w:t>
      </w:r>
      <w:r>
        <w:t xml:space="preserve">nucleotide excision repair ,chronotype</w:t>
      </w:r>
    </w:p>
    <w:bookmarkStart w:id="9" w:name="sec:intro"/>
    <w:p>
      <w:pPr>
        <w:pStyle w:val="Heading1"/>
      </w:pPr>
      <w:r>
        <w:t xml:space="preserve">Introduction</w:t>
      </w:r>
    </w:p>
    <w:p>
      <w:pPr>
        <w:pStyle w:val="FirstParagraph"/>
      </w:pPr>
      <w:r>
        <w:t xml:space="preserve">Oral squamous cell carcinoma (OSCC) and the broader category of head and</w:t>
      </w:r>
      <w:r>
        <w:t xml:space="preserve"> </w:t>
      </w:r>
      <w:r>
        <w:t xml:space="preserve">neck squamous cell carcinomas (HNSCC) collectively affect more than</w:t>
      </w:r>
      <w:r>
        <w:t xml:space="preserve"> </w:t>
      </w:r>
      <w:r>
        <w:t xml:space="preserve">900,000 patients each year and carry a five-year survival rate of</w:t>
      </w:r>
      <w:r>
        <w:t xml:space="preserve"> </w:t>
      </w:r>
      <w:r>
        <w:t xml:space="preserve">approximately 50% for locally advanced disease despite advances in</w:t>
      </w:r>
      <w:r>
        <w:t xml:space="preserve"> </w:t>
      </w:r>
      <w:r>
        <w:t xml:space="preserve">surgical technique and intensity-modulated radiotherapy </w:t>
      </w:r>
      <w:r>
        <w:t xml:space="preserve">(Kelland 2007)</w:t>
      </w:r>
      <w:r>
        <w:t xml:space="preserve">.</w:t>
      </w:r>
      <w:r>
        <w:t xml:space="preserve"> </w:t>
      </w:r>
      <w:r>
        <w:t xml:space="preserve">Cisplatin has occupied the central chemotherapeutic position in these</w:t>
      </w:r>
      <w:r>
        <w:t xml:space="preserve"> </w:t>
      </w:r>
      <w:r>
        <w:t xml:space="preserve">cancers for more than four decades, forming the backbone of concurrent</w:t>
      </w:r>
      <w:r>
        <w:t xml:space="preserve"> </w:t>
      </w:r>
      <w:r>
        <w:t xml:space="preserve">chemoradiotherapy for definitive and postoperative treatment of</w:t>
      </w:r>
      <w:r>
        <w:t xml:space="preserve"> </w:t>
      </w:r>
      <w:r>
        <w:t xml:space="preserve">stage III–IV disease and of platinum-based induction regimens for</w:t>
      </w:r>
      <w:r>
        <w:t xml:space="preserve"> </w:t>
      </w:r>
      <w:r>
        <w:t xml:space="preserve">selected patients. Its continued predominance reflects both demonstrated</w:t>
      </w:r>
      <w:r>
        <w:t xml:space="preserve"> </w:t>
      </w:r>
      <w:r>
        <w:t xml:space="preserve">survival benefit and the absence of a well-tolerated oral or parenteral</w:t>
      </w:r>
      <w:r>
        <w:t xml:space="preserve"> </w:t>
      </w:r>
      <w:r>
        <w:t xml:space="preserve">alternative of equivalent efficacy.</w:t>
      </w:r>
    </w:p>
    <w:p>
      <w:pPr>
        <w:pStyle w:val="BodyText"/>
      </w:pPr>
      <w:r>
        <w:t xml:space="preserve">Cisplatin’s effectiveness is constrained by a narrow therapeutic window.</w:t>
      </w:r>
      <w:r>
        <w:t xml:space="preserve"> </w:t>
      </w:r>
      <w:r>
        <w:t xml:space="preserve">At the doses required for radiosensitisation — typically</w:t>
      </w:r>
      <w:r>
        <w:t xml:space="preserve"> </w:t>
      </w:r>
      <w:r>
        <w:t xml:space="preserve">100 mg m</w:t>
      </w:r>
      <m:oMath>
        <m:sSup>
          <m:e>
            <m:r>
              <m:t>​</m:t>
            </m:r>
          </m:e>
          <m:sup>
            <m:r>
              <m:rPr>
                <m:sty m:val="p"/>
              </m:rPr>
              <m:t>−</m:t>
            </m:r>
            <m:r>
              <m:t>2</m:t>
            </m:r>
          </m:sup>
        </m:sSup>
      </m:oMath>
      <w:r>
        <w:t xml:space="preserve"> </w:t>
      </w:r>
      <w:r>
        <w:t xml:space="preserve">every three weeks or 40 mg m</w:t>
      </w:r>
      <m:oMath>
        <m:sSup>
          <m:e>
            <m:r>
              <m:t>​</m:t>
            </m:r>
          </m:e>
          <m:sup>
            <m:r>
              <m:rPr>
                <m:sty m:val="p"/>
              </m:rPr>
              <m:t>−</m:t>
            </m:r>
            <m:r>
              <m:t>2</m:t>
            </m:r>
          </m:sup>
        </m:sSup>
      </m:oMath>
      <w:r>
        <w:t xml:space="preserve"> </w:t>
      </w:r>
      <w:r>
        <w:t xml:space="preserve">weekly —</w:t>
      </w:r>
      <w:r>
        <w:t xml:space="preserve"> </w:t>
      </w:r>
      <w:r>
        <w:t xml:space="preserve">cisplatin consistently causes nephrotoxicity, high-frequency sensorineural</w:t>
      </w:r>
      <w:r>
        <w:t xml:space="preserve"> </w:t>
      </w:r>
      <w:r>
        <w:t xml:space="preserve">hearing loss, oral mucositis, nausea and vomiting, peripheral neuropathy,</w:t>
      </w:r>
      <w:r>
        <w:t xml:space="preserve"> </w:t>
      </w:r>
      <w:r>
        <w:t xml:space="preserve">and myelosuppression. Clinically significant acute kidney injury occurs in approximately</w:t>
      </w:r>
      <w:r>
        <w:t xml:space="preserve"> </w:t>
      </w:r>
      <w:r>
        <w:t xml:space="preserve">20–30% of patients receiving high-dose cisplatin under contemporary</w:t>
      </w:r>
      <w:r>
        <w:t xml:space="preserve"> </w:t>
      </w:r>
      <w:r>
        <w:t xml:space="preserve">hydration protocols, and cochlear platinum retention persists for months</w:t>
      </w:r>
      <w:r>
        <w:t xml:space="preserve"> </w:t>
      </w:r>
      <w:r>
        <w:t xml:space="preserve">to years after the final treatment cycle </w:t>
      </w:r>
      <w:r>
        <w:t xml:space="preserve">(Karasawa and Steyger 2015)</w:t>
      </w:r>
      <w:r>
        <w:t xml:space="preserve">.</w:t>
      </w:r>
      <w:r>
        <w:t xml:space="preserve"> </w:t>
      </w:r>
      <w:r>
        <w:t xml:space="preserve">Separately, up to 40% of patients enrolled in landmark postoperative</w:t>
      </w:r>
      <w:r>
        <w:t xml:space="preserve"> </w:t>
      </w:r>
      <w:r>
        <w:t xml:space="preserve">chemoradiotherapy trials were unable to complete all three planned</w:t>
      </w:r>
      <w:r>
        <w:t xml:space="preserve"> </w:t>
      </w:r>
      <w:r>
        <w:t xml:space="preserve">high-dose cisplatin cycles </w:t>
      </w:r>
      <w:r>
        <w:t xml:space="preserve">(Bernier et al. 2004; Strojan et al. 2016)</w:t>
      </w:r>
      <w:r>
        <w:t xml:space="preserve">. These are</w:t>
      </w:r>
      <w:r>
        <w:t xml:space="preserve"> </w:t>
      </w:r>
      <w:r>
        <w:t xml:space="preserve">not merely discomforting side-effects: dose reductions, treatment</w:t>
      </w:r>
      <w:r>
        <w:t xml:space="preserve"> </w:t>
      </w:r>
      <w:r>
        <w:t xml:space="preserve">interruptions, and premature cisplatin discontinuation each independently</w:t>
      </w:r>
      <w:r>
        <w:t xml:space="preserve"> </w:t>
      </w:r>
      <w:r>
        <w:t xml:space="preserve">compromise locoregional disease control and survival.</w:t>
      </w:r>
    </w:p>
    <w:p>
      <w:pPr>
        <w:pStyle w:val="BodyText"/>
      </w:pPr>
      <w:r>
        <w:t xml:space="preserve">The distribution of cisplatin toxicity across organs is not random.</w:t>
      </w:r>
      <w:r>
        <w:t xml:space="preserve"> </w:t>
      </w:r>
      <w:r>
        <w:t xml:space="preserve">Each affected tissue accumulates platinum through a specific transporter</w:t>
      </w:r>
      <w:r>
        <w:t xml:space="preserve"> </w:t>
      </w:r>
      <w:r>
        <w:t xml:space="preserve">biology, sustains DNA damage at a characteristic rate governed by local</w:t>
      </w:r>
      <w:r>
        <w:t xml:space="preserve"> </w:t>
      </w:r>
      <w:r>
        <w:t xml:space="preserve">repair capacity, and responds through tissue-specific apoptotic cascades.</w:t>
      </w:r>
      <w:r>
        <w:t xml:space="preserve"> </w:t>
      </w:r>
      <w:r>
        <w:t xml:space="preserve">The kidney is vulnerable because OCT2-mediated influx concentrates</w:t>
      </w:r>
      <w:r>
        <w:t xml:space="preserve"> </w:t>
      </w:r>
      <w:r>
        <w:t xml:space="preserve">platinum in proximal tubular cells; the cochlea because platinum</w:t>
      </w:r>
      <w:r>
        <w:t xml:space="preserve"> </w:t>
      </w:r>
      <w:r>
        <w:t xml:space="preserve">accumulates in the stria vascularis and organ of Corti in cells that do</w:t>
      </w:r>
      <w:r>
        <w:t xml:space="preserve"> </w:t>
      </w:r>
      <w:r>
        <w:t xml:space="preserve">not regenerate; the oral mucosa because high epithelial turnover maximises</w:t>
      </w:r>
      <w:r>
        <w:t xml:space="preserve"> </w:t>
      </w:r>
      <w:r>
        <w:t xml:space="preserve">S-phase DNA damage; and dorsal root ganglia neurons because they</w:t>
      </w:r>
      <w:r>
        <w:t xml:space="preserve"> </w:t>
      </w:r>
      <w:r>
        <w:t xml:space="preserve">accumulate cisplatin without the protection of the blood–brain barrier.</w:t>
      </w:r>
      <w:r>
        <w:t xml:space="preserve"> </w:t>
      </w:r>
      <w:r>
        <w:t xml:space="preserve">Understanding these organ-specific mechanisms is a prerequisite for any</w:t>
      </w:r>
      <w:r>
        <w:t xml:space="preserve"> </w:t>
      </w:r>
      <w:r>
        <w:t xml:space="preserve">rational timing-based intervention.</w:t>
      </w:r>
    </w:p>
    <w:p>
      <w:pPr>
        <w:pStyle w:val="BodyText"/>
      </w:pPr>
      <w:r>
        <w:t xml:space="preserve">An emerging body of evidence indicates that several determinants of</w:t>
      </w:r>
      <w:r>
        <w:t xml:space="preserve"> </w:t>
      </w:r>
      <w:r>
        <w:t xml:space="preserve">cisplatin toxicity — notably OCT2 expression in renal tubular cells,</w:t>
      </w:r>
      <w:r>
        <w:t xml:space="preserve"> </w:t>
      </w:r>
      <w:r>
        <w:t xml:space="preserve">the rate of nucleotide excision repair mediated by XPA, and the</w:t>
      </w:r>
      <w:r>
        <w:t xml:space="preserve"> </w:t>
      </w:r>
      <w:r>
        <w:t xml:space="preserve">glutathione redox buffering capacity — oscillate with circadian periodicity</w:t>
      </w:r>
      <w:r>
        <w:t xml:space="preserve"> </w:t>
      </w:r>
      <w:r>
        <w:t xml:space="preserve">under the control of the molecular clock. If these oscillations are of</w:t>
      </w:r>
      <w:r>
        <w:t xml:space="preserve"> </w:t>
      </w:r>
      <w:r>
        <w:t xml:space="preserve">sufficient amplitude and phase-coherence in vivo, the time of cisplatin</w:t>
      </w:r>
      <w:r>
        <w:t xml:space="preserve"> </w:t>
      </w:r>
      <w:r>
        <w:t xml:space="preserve">administration within the 24-hour cycle could systematically shift the</w:t>
      </w:r>
      <w:r>
        <w:t xml:space="preserve"> </w:t>
      </w:r>
      <w:r>
        <w:t xml:space="preserve">balance between platinum accumulation, DNA repair capacity, and apoptotic</w:t>
      </w:r>
      <w:r>
        <w:t xml:space="preserve"> </w:t>
      </w:r>
      <w:r>
        <w:t xml:space="preserve">threshold in normal tissues — offering a route to toxicity reduction without</w:t>
      </w:r>
      <w:r>
        <w:t xml:space="preserve"> </w:t>
      </w:r>
      <w:r>
        <w:t xml:space="preserve">dose modification and without the biological cost of a dose reduction.</w:t>
      </w:r>
    </w:p>
    <w:p>
      <w:pPr>
        <w:pStyle w:val="BodyText"/>
      </w:pPr>
      <w:r>
        <w:t xml:space="preserve">This review synthesises the evidence bearing on this hypothesis in the</w:t>
      </w:r>
      <w:r>
        <w:t xml:space="preserve"> </w:t>
      </w:r>
      <w:r>
        <w:t xml:space="preserve">context of OSCC/HNSCC. We describe the clinical role of cisplatin in</w:t>
      </w:r>
      <w:r>
        <w:t xml:space="preserve"> </w:t>
      </w:r>
      <w:r>
        <w:t xml:space="preserve">treatment pathways (Section </w:t>
      </w:r>
      <w:hyperlink w:anchor="sec:clinical">
        <w:r>
          <w:rPr>
            <w:rStyle w:val="Hyperlink"/>
          </w:rPr>
          <w:t xml:space="preserve">3</w:t>
        </w:r>
      </w:hyperlink>
      <w:r>
        <w:t xml:space="preserve">), the organ-specific</w:t>
      </w:r>
      <w:r>
        <w:t xml:space="preserve"> </w:t>
      </w:r>
      <w:r>
        <w:t xml:space="preserve">mechanisms of its principal toxicities (Section </w:t>
      </w:r>
      <w:hyperlink w:anchor="sec:toxicity">
        <w:r>
          <w:rPr>
            <w:rStyle w:val="Hyperlink"/>
          </w:rPr>
          <w:t xml:space="preserve">4</w:t>
        </w:r>
      </w:hyperlink>
      <w:r>
        <w:t xml:space="preserve">),</w:t>
      </w:r>
      <w:r>
        <w:t xml:space="preserve"> </w:t>
      </w:r>
      <w:r>
        <w:t xml:space="preserve">the circadian timing gates most relevant to those mechanisms</w:t>
      </w:r>
      <w:r>
        <w:t xml:space="preserve"> </w:t>
      </w:r>
      <w:r>
        <w:t xml:space="preserve">(Section </w:t>
      </w:r>
      <w:hyperlink w:anchor="sec:gates">
        <w:r>
          <w:rPr>
            <w:rStyle w:val="Hyperlink"/>
          </w:rPr>
          <w:t xml:space="preserve">5</w:t>
        </w:r>
      </w:hyperlink>
      <w:r>
        <w:t xml:space="preserve">), and the current clinical and preclinical</w:t>
      </w:r>
      <w:r>
        <w:t xml:space="preserve"> </w:t>
      </w:r>
      <w:r>
        <w:t xml:space="preserve">evidence for cisplatin chronotherapy (Section </w:t>
      </w:r>
      <w:hyperlink w:anchor="sec:evidence">
        <w:r>
          <w:rPr>
            <w:rStyle w:val="Hyperlink"/>
          </w:rPr>
          <w:t xml:space="preserve">6</w:t>
        </w:r>
      </w:hyperlink>
      <w:r>
        <w:t xml:space="preserve">).</w:t>
      </w:r>
      <w:r>
        <w:t xml:space="preserve"> </w:t>
      </w:r>
      <w:r>
        <w:t xml:space="preserve">We then propose a chronotype-aware trial framework in which toxicity</w:t>
      </w:r>
      <w:r>
        <w:t xml:space="preserve"> </w:t>
      </w:r>
      <w:r>
        <w:t xml:space="preserve">reduction — not survival improvement — is the primary research hypothesis</w:t>
      </w:r>
      <w:r>
        <w:t xml:space="preserve"> </w:t>
      </w:r>
      <w:r>
        <w:t xml:space="preserve">(Section </w:t>
      </w:r>
      <w:hyperlink w:anchor="sec:future">
        <w:r>
          <w:rPr>
            <w:rStyle w:val="Hyperlink"/>
          </w:rPr>
          <w:t xml:space="preserve">7</w:t>
        </w:r>
      </w:hyperlink>
      <w:r>
        <w:t xml:space="preserve">). The core argument is that cisplatin toxicity</w:t>
      </w:r>
      <w:r>
        <w:t xml:space="preserve"> </w:t>
      </w:r>
      <w:r>
        <w:t xml:space="preserve">in OSCC/HNSCC is not merely dose-dependent, but organ-specific,</w:t>
      </w:r>
      <w:r>
        <w:t xml:space="preserve"> </w:t>
      </w:r>
      <w:r>
        <w:t xml:space="preserve">pathway-specific, and potentially time-dependent, and that</w:t>
      </w:r>
      <w:r>
        <w:t xml:space="preserve"> </w:t>
      </w:r>
      <w:r>
        <w:t xml:space="preserve">chronotype-aware cisplatin scheduling represents a testable,</w:t>
      </w:r>
      <w:r>
        <w:t xml:space="preserve"> </w:t>
      </w:r>
      <w:r>
        <w:t xml:space="preserve">mechanistically plausible strategy for reducing the toxicity burden</w:t>
      </w:r>
      <w:r>
        <w:t xml:space="preserve"> </w:t>
      </w:r>
      <w:r>
        <w:t xml:space="preserve">that limits treatment completion in this population.</w:t>
      </w:r>
    </w:p>
    <w:bookmarkEnd w:id="9"/>
    <w:bookmarkStart w:id="13" w:name="sec:mechanism"/>
    <w:p>
      <w:pPr>
        <w:pStyle w:val="Heading1"/>
      </w:pPr>
      <w:r>
        <w:t xml:space="preserve">Cisplatin chemistry and DNA damage: a timing-sensitive injury cascade</w:t>
      </w:r>
    </w:p>
    <w:p>
      <w:pPr>
        <w:pStyle w:val="FirstParagraph"/>
      </w:pPr>
      <w:r>
        <w:t xml:space="preserve">Cisplatin (</w:t>
      </w:r>
      <w:r>
        <w:rPr>
          <w:i/>
          <w:iCs/>
        </w:rPr>
        <w:t xml:space="preserve">cis</w:t>
      </w:r>
      <w:r>
        <w:t xml:space="preserve">-diamminedichloroplatinum(II)) is a square-planar</w:t>
      </w:r>
      <w:r>
        <w:t xml:space="preserve"> </w:t>
      </w:r>
      <w:r>
        <w:t xml:space="preserve">platinum(II) coordination compound whose cytotoxic activity depends</w:t>
      </w:r>
      <w:r>
        <w:t xml:space="preserve"> </w:t>
      </w:r>
      <w:r>
        <w:t xml:space="preserve">fundamentally on its</w:t>
      </w:r>
      <w:r>
        <w:t xml:space="preserve"> </w:t>
      </w:r>
      <w:r>
        <w:rPr>
          <w:i/>
          <w:iCs/>
        </w:rPr>
        <w:t xml:space="preserve">cis</w:t>
      </w:r>
      <w:r>
        <w:t xml:space="preserve"> </w:t>
      </w:r>
      <w:r>
        <w:t xml:space="preserve">geometry: the</w:t>
      </w:r>
      <w:r>
        <w:t xml:space="preserve"> </w:t>
      </w:r>
      <w:r>
        <w:rPr>
          <w:i/>
          <w:iCs/>
        </w:rPr>
        <w:t xml:space="preserve">trans</w:t>
      </w:r>
      <w:r>
        <w:t xml:space="preserve"> </w:t>
      </w:r>
      <w:r>
        <w:t xml:space="preserve">isomer fails to</w:t>
      </w:r>
      <w:r>
        <w:t xml:space="preserve"> </w:t>
      </w:r>
      <w:r>
        <w:t xml:space="preserve">cross-link DNA and has no clinical antitumour activity </w:t>
      </w:r>
      <w:r>
        <w:t xml:space="preserve">(Kelland 2007)</w:t>
      </w:r>
      <w:r>
        <w:t xml:space="preserve">.</w:t>
      </w:r>
      <w:r>
        <w:t xml:space="preserve"> </w:t>
      </w:r>
      <w:r>
        <w:t xml:space="preserve">At the high chloride concentrations found in plasma (approximately</w:t>
      </w:r>
      <w:r>
        <w:t xml:space="preserve"> </w:t>
      </w:r>
      <w:r>
        <w:t xml:space="preserve">100 mmol L</w:t>
      </w:r>
      <m:oMath>
        <m:sSup>
          <m:e>
            <m:r>
              <m:t>​</m:t>
            </m:r>
          </m:e>
          <m:sup>
            <m:r>
              <m:rPr>
                <m:sty m:val="p"/>
              </m:rPr>
              <m:t>−</m:t>
            </m:r>
            <m:r>
              <m:t>1</m:t>
            </m:r>
          </m:sup>
        </m:sSup>
      </m:oMath>
      <w:r>
        <w:t xml:space="preserve">), cisplatin is relatively stable. Once inside cells, where</w:t>
      </w:r>
      <w:r>
        <w:t xml:space="preserve"> </w:t>
      </w:r>
      <w:r>
        <w:t xml:space="preserve">intracellular chloride activity is substantially lower, sequential hydrolytic</w:t>
      </w:r>
      <w:r>
        <w:t xml:space="preserve"> </w:t>
      </w:r>
      <w:r>
        <w:t xml:space="preserve">displacement of the two chloride ligands generates reactive mono- and</w:t>
      </w:r>
      <w:r>
        <w:t xml:space="preserve"> </w:t>
      </w:r>
      <w:r>
        <w:t xml:space="preserve">di-aquated platinum species </w:t>
      </w:r>
      <w:r>
        <w:t xml:space="preserve">(Pabla and Dong 2008)</w:t>
      </w:r>
      <w:r>
        <w:t xml:space="preserve">. These electrophilic intermediates</w:t>
      </w:r>
      <w:r>
        <w:t xml:space="preserve"> </w:t>
      </w:r>
      <w:r>
        <w:t xml:space="preserve">have high affinity for nucleophilic sites on DNA, and the intracellular</w:t>
      </w:r>
      <w:r>
        <w:t xml:space="preserve"> </w:t>
      </w:r>
      <w:r>
        <w:t xml:space="preserve">platinum burden that results from this activation is governed by the balance</w:t>
      </w:r>
      <w:r>
        <w:t xml:space="preserve"> </w:t>
      </w:r>
      <w:r>
        <w:t xml:space="preserve">among cellular uptake, sequestration, detoxification, and efflux.</w:t>
      </w:r>
    </w:p>
    <w:bookmarkStart w:id="10" w:name="cellular-uptake-and-efflux-transporters"/>
    <w:p>
      <w:pPr>
        <w:pStyle w:val="Heading2"/>
      </w:pPr>
      <w:r>
        <w:t xml:space="preserve">Cellular uptake and efflux transporters</w:t>
      </w:r>
    </w:p>
    <w:p>
      <w:pPr>
        <w:pStyle w:val="FirstParagraph"/>
      </w:pPr>
      <w:r>
        <w:t xml:space="preserve">The copper transporter CTR1 (SLC31A1) is the principal influx route for</w:t>
      </w:r>
      <w:r>
        <w:t xml:space="preserve"> </w:t>
      </w:r>
      <w:r>
        <w:t xml:space="preserve">cisplatin in most cell types </w:t>
      </w:r>
      <w:r>
        <w:t xml:space="preserve">(Yoshizawa et al. 2007)</w:t>
      </w:r>
      <w:r>
        <w:t xml:space="preserve">. Of particular clinical</w:t>
      </w:r>
      <w:r>
        <w:t xml:space="preserve"> </w:t>
      </w:r>
      <w:r>
        <w:t xml:space="preserve">relevance is the organic cation transporter 2, OCT2 (SLC22A2), highly</w:t>
      </w:r>
      <w:r>
        <w:t xml:space="preserve"> </w:t>
      </w:r>
      <w:r>
        <w:t xml:space="preserve">expressed at the basolateral membrane of renal proximal tubular cells</w:t>
      </w:r>
      <w:r>
        <w:t xml:space="preserve"> </w:t>
      </w:r>
      <w:r>
        <w:t xml:space="preserve">and in cochlear stria vascularis cells </w:t>
      </w:r>
      <w:r>
        <w:t xml:space="preserve">(Pabla and Dong 2008)</w:t>
      </w:r>
      <w:r>
        <w:t xml:space="preserve">: OCT2 mediates</w:t>
      </w:r>
      <w:r>
        <w:t xml:space="preserve"> </w:t>
      </w:r>
      <w:r>
        <w:t xml:space="preserve">high-capacity platinum accumulation specifically in these tissues, which</w:t>
      </w:r>
      <w:r>
        <w:t xml:space="preserve"> </w:t>
      </w:r>
      <w:r>
        <w:t xml:space="preserve">explains why cisplatin — unlike carboplatin or oxaliplatin — preferentially</w:t>
      </w:r>
      <w:r>
        <w:t xml:space="preserve"> </w:t>
      </w:r>
      <w:r>
        <w:t xml:space="preserve">damages the kidney and cochlea </w:t>
      </w:r>
      <w:r>
        <w:t xml:space="preserve">(Pabla and Dong 2008; Karasawa and Steyger 2015)</w:t>
      </w:r>
      <w:r>
        <w:t xml:space="preserve">. Intracellular</w:t>
      </w:r>
      <w:r>
        <w:t xml:space="preserve"> </w:t>
      </w:r>
      <w:r>
        <w:t xml:space="preserve">platinum is exported by the copper-transporting P-type ATPases ATP7A and</w:t>
      </w:r>
      <w:r>
        <w:t xml:space="preserve"> </w:t>
      </w:r>
      <w:r>
        <w:t xml:space="preserve">ATP7B; in OSCC, ATP7B overexpression is the dominant acquired resistance</w:t>
      </w:r>
      <w:r>
        <w:t xml:space="preserve"> </w:t>
      </w:r>
      <w:r>
        <w:t xml:space="preserve">mechanism </w:t>
      </w:r>
      <w:r>
        <w:t xml:space="preserve">(Yoshizawa et al. 2007)</w:t>
      </w:r>
      <w:r>
        <w:t xml:space="preserve">. All three transport axes are documented</w:t>
      </w:r>
      <w:r>
        <w:t xml:space="preserve"> </w:t>
      </w:r>
      <w:r>
        <w:t xml:space="preserve">or plausible targets of circadian regulation (Section </w:t>
      </w:r>
      <w:hyperlink w:anchor="sec:gates">
        <w:r>
          <w:rPr>
            <w:rStyle w:val="Hyperlink"/>
          </w:rPr>
          <w:t xml:space="preserve">5</w:t>
        </w:r>
      </w:hyperlink>
      <w:r>
        <w:t xml:space="preserve">).</w:t>
      </w:r>
    </w:p>
    <w:bookmarkEnd w:id="10"/>
    <w:bookmarkStart w:id="11" w:name="dna-adduct-formation"/>
    <w:p>
      <w:pPr>
        <w:pStyle w:val="Heading2"/>
      </w:pPr>
      <w:r>
        <w:t xml:space="preserve">DNA adduct formation</w:t>
      </w:r>
    </w:p>
    <w:p>
      <w:pPr>
        <w:pStyle w:val="FirstParagraph"/>
      </w:pPr>
      <w:r>
        <w:t xml:space="preserve">Once activated, aquated cisplatin reacts preferentially with the N7 positions</w:t>
      </w:r>
      <w:r>
        <w:t xml:space="preserve"> </w:t>
      </w:r>
      <w:r>
        <w:t xml:space="preserve">of purine bases, forming covalent platinum-DNA adducts. The dominant lesion</w:t>
      </w:r>
      <w:r>
        <w:t xml:space="preserve"> </w:t>
      </w:r>
      <w:r>
        <w:t xml:space="preserve">is the 1,2-intrastrand d(GpG) crosslink, in which two adjacent guanine</w:t>
      </w:r>
      <w:r>
        <w:t xml:space="preserve"> </w:t>
      </w:r>
      <w:r>
        <w:t xml:space="preserve">residues on the same DNA strand are bridged by a single platinum</w:t>
      </w:r>
      <w:r>
        <w:t xml:space="preserve"> </w:t>
      </w:r>
      <w:r>
        <w:t xml:space="preserve">atom </w:t>
      </w:r>
      <w:r>
        <w:t xml:space="preserve">(Jamieson and Lippard 1999)</w:t>
      </w:r>
      <w:r>
        <w:t xml:space="preserve">. Additional</w:t>
      </w:r>
      <w:r>
        <w:t xml:space="preserve"> </w:t>
      </w:r>
      <w:r>
        <w:t xml:space="preserve">adducts include 1,2-d(ApG) intrastrand crosslinks and, less frequently,</w:t>
      </w:r>
      <w:r>
        <w:t xml:space="preserve"> </w:t>
      </w:r>
      <w:r>
        <w:t xml:space="preserve">1,3-intrastrand and interstrand adducts </w:t>
      </w:r>
      <w:r>
        <w:t xml:space="preserve">(Jamieson and Lippard 1999)</w:t>
      </w:r>
      <w:r>
        <w:t xml:space="preserve">.</w:t>
      </w:r>
      <w:r>
        <w:t xml:space="preserve"> </w:t>
      </w:r>
      <w:r>
        <w:t xml:space="preserve">All platinum-DNA adducts introduce local helix distortion that is efficiently</w:t>
      </w:r>
      <w:r>
        <w:t xml:space="preserve"> </w:t>
      </w:r>
      <w:r>
        <w:t xml:space="preserve">recognised by the DNA damage surveillance machinery </w:t>
      </w:r>
      <w:r>
        <w:t xml:space="preserve">(Kang et al. 2009)</w:t>
      </w:r>
      <w:r>
        <w:t xml:space="preserve">. The</w:t>
      </w:r>
      <w:r>
        <w:t xml:space="preserve"> </w:t>
      </w:r>
      <w:r>
        <w:t xml:space="preserve">1,2-d(GpG) crosslink and the 1,3-d(GpXpG) intrastrand diadduct are the</w:t>
      </w:r>
      <w:r>
        <w:t xml:space="preserve"> </w:t>
      </w:r>
      <w:r>
        <w:t xml:space="preserve">principal cisplatin lesions processed by nucleotide excision repair, and they</w:t>
      </w:r>
      <w:r>
        <w:t xml:space="preserve"> </w:t>
      </w:r>
      <w:r>
        <w:t xml:space="preserve">are the adducts responsible for both the cytotoxic efficacy of cisplatin</w:t>
      </w:r>
      <w:r>
        <w:t xml:space="preserve"> </w:t>
      </w:r>
      <w:r>
        <w:t xml:space="preserve">and the DNA-damage burden that drives normal-tissue injury when repair is</w:t>
      </w:r>
      <w:r>
        <w:t xml:space="preserve"> </w:t>
      </w:r>
      <w:r>
        <w:t xml:space="preserve">overwhelmed.</w:t>
      </w:r>
    </w:p>
    <w:bookmarkEnd w:id="11"/>
    <w:bookmarkStart w:id="12" w:name="X8f0c08d021d947629ca6b35584102dfedbd66dd"/>
    <w:p>
      <w:pPr>
        <w:pStyle w:val="Heading2"/>
      </w:pPr>
      <w:r>
        <w:t xml:space="preserve">Nucleotide excision repair, checkpoint signalling, and apoptosis</w:t>
      </w:r>
    </w:p>
    <w:p>
      <w:pPr>
        <w:pStyle w:val="FirstParagraph"/>
      </w:pPr>
      <w:r>
        <w:t xml:space="preserve">Nucleotide excision repair (NER) is the sole mammalian pathway for removing</w:t>
      </w:r>
      <w:r>
        <w:t xml:space="preserve"> </w:t>
      </w:r>
      <w:r>
        <w:t xml:space="preserve">bulky platinum-DNA adducts </w:t>
      </w:r>
      <w:r>
        <w:t xml:space="preserve">(Kang et al. 2009)</w:t>
      </w:r>
      <w:r>
        <w:t xml:space="preserve">. XPA serves as the</w:t>
      </w:r>
      <w:r>
        <w:t xml:space="preserve"> </w:t>
      </w:r>
      <w:r>
        <w:t xml:space="preserve">damage-verification scaffold, recruiting the incision complex (XPC, TFIIH,</w:t>
      </w:r>
      <w:r>
        <w:t xml:space="preserve"> </w:t>
      </w:r>
      <w:r>
        <w:t xml:space="preserve">RPA, ERCC1-XPF/XPG) </w:t>
      </w:r>
      <w:r>
        <w:t xml:space="preserve">(Kang et al. 2009;</w:t>
      </w:r>
      <w:r>
        <w:t xml:space="preserve"> </w:t>
      </w:r>
      <w:r>
        <w:t xml:space="preserve">Li et al.</w:t>
      </w:r>
      <w:r>
        <w:t xml:space="preserve"> </w:t>
      </w:r>
      <w:r>
        <w:t xml:space="preserve">2011)</w:t>
      </w:r>
      <w:r>
        <w:t xml:space="preserve">; XPA abundance is the</w:t>
      </w:r>
      <w:r>
        <w:t xml:space="preserve"> </w:t>
      </w:r>
      <w:r>
        <w:t xml:space="preserve">rate-limiting determinant of NER capacity and, critically, oscillates with</w:t>
      </w:r>
      <w:r>
        <w:t xml:space="preserve"> </w:t>
      </w:r>
      <w:r>
        <w:t xml:space="preserve">robust circadian periodicity (Section </w:t>
      </w:r>
      <w:hyperlink w:anchor="sec:gates">
        <w:r>
          <w:rPr>
            <w:rStyle w:val="Hyperlink"/>
          </w:rPr>
          <w:t xml:space="preserve">5</w:t>
        </w:r>
      </w:hyperlink>
      <w:r>
        <w:t xml:space="preserve">). When adduct burden</w:t>
      </w:r>
      <w:r>
        <w:t xml:space="preserve"> </w:t>
      </w:r>
      <w:r>
        <w:t xml:space="preserve">exceeds repair capacity, ATR–CHK1/ATM–CHK2 checkpoint cascades stabilise</w:t>
      </w:r>
      <w:r>
        <w:t xml:space="preserve"> </w:t>
      </w:r>
      <w:r>
        <w:t xml:space="preserve">p53, which transactivates the pro-apoptotic effector PUMA-</w:t>
      </w:r>
      <m:oMath>
        <m:r>
          <m:t>α</m:t>
        </m:r>
      </m:oMath>
      <w:r>
        <w:t xml:space="preserve">.</w:t>
      </w:r>
      <w:r>
        <w:t xml:space="preserve"> </w:t>
      </w:r>
      <w:r>
        <w:t xml:space="preserve">PUMA-</w:t>
      </w:r>
      <m:oMath>
        <m:r>
          <m:t>α</m:t>
        </m:r>
      </m:oMath>
      <w:r>
        <w:t xml:space="preserve"> </w:t>
      </w:r>
      <w:r>
        <w:t xml:space="preserve">liberates BAX to permeabilise the outer mitochondrial</w:t>
      </w:r>
      <w:r>
        <w:t xml:space="preserve"> </w:t>
      </w:r>
      <w:r>
        <w:t xml:space="preserve">membrane, releasing cytochrome </w:t>
      </w:r>
      <w:r>
        <w:rPr>
          <w:i/>
          <w:iCs/>
        </w:rPr>
        <w:t xml:space="preserve">c</w:t>
      </w:r>
      <w:r>
        <w:t xml:space="preserve"> </w:t>
      </w:r>
      <w:r>
        <w:t xml:space="preserve">and activating caspase-9-dependent</w:t>
      </w:r>
      <w:r>
        <w:t xml:space="preserve"> </w:t>
      </w:r>
      <w:r>
        <w:t xml:space="preserve">intrinsic apoptosis </w:t>
      </w:r>
      <w:r>
        <w:t xml:space="preserve">(Pabla and Dong 2008)</w:t>
      </w:r>
      <w:r>
        <w:t xml:space="preserve">. The resulting injury cascade — from</w:t>
      </w:r>
      <w:r>
        <w:t xml:space="preserve"> </w:t>
      </w:r>
      <w:r>
        <w:t xml:space="preserve">platinum adduct formation through NER engagement, oxidative amplification,</w:t>
      </w:r>
      <w:r>
        <w:t xml:space="preserve"> </w:t>
      </w:r>
      <w:r>
        <w:t xml:space="preserve">and apoptotic execution — depends on multiple molecular processes, several</w:t>
      </w:r>
      <w:r>
        <w:t xml:space="preserve"> </w:t>
      </w:r>
      <w:r>
        <w:t xml:space="preserve">of which show circadian oscillation; the extent of normal-tissue injury</w:t>
      </w:r>
      <w:r>
        <w:t xml:space="preserve"> </w:t>
      </w:r>
      <w:r>
        <w:t xml:space="preserve">produced by a given dose therefore potentially depends on</w:t>
      </w:r>
      <w:r>
        <w:t xml:space="preserve"> </w:t>
      </w:r>
      <w:r>
        <w:rPr>
          <w:i/>
          <w:iCs/>
        </w:rPr>
        <w:t xml:space="preserve">when</w:t>
      </w:r>
      <w:r>
        <w:t xml:space="preserve"> </w:t>
      </w:r>
      <w:r>
        <w:t xml:space="preserve">that</w:t>
      </w:r>
      <w:r>
        <w:t xml:space="preserve"> </w:t>
      </w:r>
      <w:r>
        <w:t xml:space="preserve">dose is administered.</w:t>
      </w:r>
    </w:p>
    <w:p>
      <w:pPr>
        <w:pStyle w:val="BodyText"/>
      </w:pPr>
      <w:r>
        <w:t xml:space="preserve">Section </w:t>
      </w:r>
      <w:hyperlink w:anchor="sec:toxicity">
        <w:r>
          <w:rPr>
            <w:rStyle w:val="Hyperlink"/>
          </w:rPr>
          <w:t xml:space="preserve">4</w:t>
        </w:r>
      </w:hyperlink>
      <w:r>
        <w:t xml:space="preserve"> </w:t>
      </w:r>
      <w:r>
        <w:t xml:space="preserve">examines how these mechanisms manifest as</w:t>
      </w:r>
      <w:r>
        <w:t xml:space="preserve"> </w:t>
      </w:r>
      <w:r>
        <w:t xml:space="preserve">organ-specific toxicities before Section </w:t>
      </w:r>
      <w:hyperlink w:anchor="sec:gates">
        <w:r>
          <w:rPr>
            <w:rStyle w:val="Hyperlink"/>
          </w:rPr>
          <w:t xml:space="preserve">5</w:t>
        </w:r>
      </w:hyperlink>
      <w:r>
        <w:t xml:space="preserve"> </w:t>
      </w:r>
      <w:r>
        <w:t xml:space="preserve">returns to the</w:t>
      </w:r>
      <w:r>
        <w:t xml:space="preserve"> </w:t>
      </w:r>
      <w:r>
        <w:t xml:space="preserve">question of circadian timing.</w:t>
      </w:r>
    </w:p>
    <w:bookmarkEnd w:id="12"/>
    <w:bookmarkEnd w:id="13"/>
    <w:bookmarkStart w:id="18" w:name="sec:clinical"/>
    <w:p>
      <w:pPr>
        <w:pStyle w:val="Heading1"/>
      </w:pPr>
      <w:r>
        <w:t xml:space="preserve">Cisplatin entry points in OSCC/HNSCC treatment pathways: staging,</w:t>
      </w:r>
      <w:r>
        <w:t xml:space="preserve"> </w:t>
      </w:r>
      <w:r>
        <w:t xml:space="preserve">treatment intent, practice patterns, and timing constraints</w:t>
      </w:r>
    </w:p>
    <w:p>
      <w:pPr>
        <w:pStyle w:val="FirstParagraph"/>
      </w:pPr>
      <w:r>
        <w:t xml:space="preserve">Oral squamous cell carcinoma (OSCC) and the broader group of head and neck</w:t>
      </w:r>
      <w:r>
        <w:t xml:space="preserve"> </w:t>
      </w:r>
      <w:r>
        <w:t xml:space="preserve">squamous cell carcinomas (HNSCC) encompassing oropharynx, hypopharynx, and</w:t>
      </w:r>
      <w:r>
        <w:t xml:space="preserve"> </w:t>
      </w:r>
      <w:r>
        <w:t xml:space="preserve">larynx primaries share a treatment framework anchored in TNM staging and the</w:t>
      </w:r>
      <w:r>
        <w:t xml:space="preserve"> </w:t>
      </w:r>
      <w:r>
        <w:t xml:space="preserve">determination of surgical resectability. Cisplatin enters this framework at</w:t>
      </w:r>
      <w:r>
        <w:t xml:space="preserve"> </w:t>
      </w:r>
      <w:r>
        <w:t xml:space="preserve">multiple decision nodes: as concurrent systemic sensitisation during</w:t>
      </w:r>
      <w:r>
        <w:t xml:space="preserve"> </w:t>
      </w:r>
      <w:r>
        <w:t xml:space="preserve">radiation therapy in both postoperative and definitive settings, and as the</w:t>
      </w:r>
      <w:r>
        <w:t xml:space="preserve"> </w:t>
      </w:r>
      <w:r>
        <w:t xml:space="preserve">backbone of induction chemotherapy in selected high-burden cases.</w:t>
      </w:r>
    </w:p>
    <w:bookmarkStart w:id="14" w:name="X144442abece6597ed0cda9a35cf3d2f1d33d7f7"/>
    <w:p>
      <w:pPr>
        <w:pStyle w:val="Heading2"/>
      </w:pPr>
      <w:r>
        <w:t xml:space="preserve">Surgery-first paradigm and the postoperative cisplatin entry</w:t>
      </w:r>
      <w:r>
        <w:t xml:space="preserve"> </w:t>
      </w:r>
      <w:r>
        <w:t xml:space="preserve">point</w:t>
      </w:r>
    </w:p>
    <w:p>
      <w:pPr>
        <w:pStyle w:val="FirstParagraph"/>
      </w:pPr>
      <w:r>
        <w:t xml:space="preserve">For resectable OSCC and HNSCC, surgery remains the definitive treatment for</w:t>
      </w:r>
      <w:r>
        <w:t xml:space="preserve"> </w:t>
      </w:r>
      <w:r>
        <w:t xml:space="preserve">the primary tumour and regional lymph nodes. Locoregional recurrence rates</w:t>
      </w:r>
      <w:r>
        <w:t xml:space="preserve"> </w:t>
      </w:r>
      <w:r>
        <w:t xml:space="preserve">following surgery alone were historically 30–40% in stage III–IV disease,</w:t>
      </w:r>
      <w:r>
        <w:t xml:space="preserve"> </w:t>
      </w:r>
      <w:r>
        <w:t xml:space="preserve">driving evaluation of adjuvant strategies. Two landmark phase III randomised</w:t>
      </w:r>
      <w:r>
        <w:t xml:space="preserve"> </w:t>
      </w:r>
      <w:r>
        <w:t xml:space="preserve">trials — the European Organisation for Research and Treatment of Cancer</w:t>
      </w:r>
      <w:r>
        <w:t xml:space="preserve"> </w:t>
      </w:r>
      <w:r>
        <w:t xml:space="preserve">(EORTC trial #22931; </w:t>
      </w:r>
      <w:r>
        <w:t xml:space="preserve">(Bernier et al. 2004)</w:t>
      </w:r>
      <w:r>
        <w:t xml:space="preserve">) and the</w:t>
      </w:r>
      <w:r>
        <w:t xml:space="preserve"> </w:t>
      </w:r>
      <w:r>
        <w:t xml:space="preserve">Radiation Therapy Oncology Group (RTOG trial #9501; </w:t>
      </w:r>
      <w:r>
        <w:t xml:space="preserve">(Cooper et al. 2004)</w:t>
      </w:r>
      <w:r>
        <w:t xml:space="preserve">) —</w:t>
      </w:r>
      <w:r>
        <w:t xml:space="preserve"> </w:t>
      </w:r>
      <w:r>
        <w:t xml:space="preserve">independently demonstrated that cisplatin at 100 mg m</w:t>
      </w:r>
      <m:oMath>
        <m:sSup>
          <m:e>
            <m:r>
              <m:t>​</m:t>
            </m:r>
          </m:e>
          <m:sup>
            <m:r>
              <m:rPr>
                <m:sty m:val="p"/>
              </m:rPr>
              <m:t>−</m:t>
            </m:r>
            <m:r>
              <m:t>2</m:t>
            </m:r>
          </m:sup>
        </m:sSup>
      </m:oMath>
      <w:r>
        <w:t xml:space="preserve"> </w:t>
      </w:r>
      <w:r>
        <w:t xml:space="preserve">on days 1,</w:t>
      </w:r>
      <w:r>
        <w:t xml:space="preserve"> </w:t>
      </w:r>
      <w:r>
        <w:t xml:space="preserve">22, and 43 concurrent with postoperative radiotherapy (60–66 Gy) improved</w:t>
      </w:r>
      <w:r>
        <w:t xml:space="preserve"> </w:t>
      </w:r>
      <w:r>
        <w:t xml:space="preserve">locoregional control and disease-free survival compared with radiotherapy</w:t>
      </w:r>
      <w:r>
        <w:t xml:space="preserve"> </w:t>
      </w:r>
      <w:r>
        <w:t xml:space="preserve">alone. A joint comparative analysis of the two trials identified two</w:t>
      </w:r>
      <w:r>
        <w:t xml:space="preserve"> </w:t>
      </w:r>
      <w:r>
        <w:t xml:space="preserve">histopathological features as the primary determinants of benefit:</w:t>
      </w:r>
      <w:r>
        <w:t xml:space="preserve"> </w:t>
      </w:r>
      <w:r>
        <w:t xml:space="preserve">microscopically involved resection margins and extracapsular extension (ECE)</w:t>
      </w:r>
      <w:r>
        <w:t xml:space="preserve"> </w:t>
      </w:r>
      <w:r>
        <w:t xml:space="preserve">of nodal disease. In the subset of patients with one or both of these</w:t>
      </w:r>
      <w:r>
        <w:t xml:space="preserve"> </w:t>
      </w:r>
      <w:r>
        <w:t xml:space="preserve">high-risk features, pooled analysis demonstrated a 42% reduction in the</w:t>
      </w:r>
      <w:r>
        <w:t xml:space="preserve"> </w:t>
      </w:r>
      <w:r>
        <w:t xml:space="preserve">risk of locoregional treatment failure (HR 0.546) </w:t>
      </w:r>
      <w:r>
        <w:t xml:space="preserve">(Bernier et al. 2005)</w:t>
      </w:r>
      <w:r>
        <w:t xml:space="preserve">.</w:t>
      </w:r>
      <w:r>
        <w:t xml:space="preserve"> </w:t>
      </w:r>
      <w:r>
        <w:t xml:space="preserve">Patients without either risk factor derived no statistically significant</w:t>
      </w:r>
      <w:r>
        <w:t xml:space="preserve"> </w:t>
      </w:r>
      <w:r>
        <w:t xml:space="preserve">survival advantage from the addition of chemotherapy, establishing a</w:t>
      </w:r>
      <w:r>
        <w:t xml:space="preserve"> </w:t>
      </w:r>
      <w:r>
        <w:t xml:space="preserve">risk-stratified framework for postoperative cisplatin use that remains</w:t>
      </w:r>
      <w:r>
        <w:t xml:space="preserve"> </w:t>
      </w:r>
      <w:r>
        <w:t xml:space="preserve">current guideline practice </w:t>
      </w:r>
      <w:r>
        <w:t xml:space="preserve">(Bernier et al. 2005)</w:t>
      </w:r>
      <w:r>
        <w:t xml:space="preserve">.</w:t>
      </w:r>
    </w:p>
    <w:bookmarkEnd w:id="14"/>
    <w:bookmarkStart w:id="15" w:name="X9ae1ed092ad4fb54a5b143ff457a6b561c0379d"/>
    <w:p>
      <w:pPr>
        <w:pStyle w:val="Heading2"/>
      </w:pPr>
      <w:r>
        <w:t xml:space="preserve">Definitive chemoradiotherapy and organ-preservation settings</w:t>
      </w:r>
    </w:p>
    <w:p>
      <w:pPr>
        <w:pStyle w:val="FirstParagraph"/>
      </w:pPr>
      <w:r>
        <w:t xml:space="preserve">For locally advanced HNSCC judged unresectable, or where organ preservation</w:t>
      </w:r>
      <w:r>
        <w:t xml:space="preserve"> </w:t>
      </w:r>
      <w:r>
        <w:t xml:space="preserve">is the stated intent, concurrent cisplatin-based chemoradiotherapy is the</w:t>
      </w:r>
      <w:r>
        <w:t xml:space="preserve"> </w:t>
      </w:r>
      <w:r>
        <w:t xml:space="preserve">first-line approach. Adelstein and colleagues established the superiority of</w:t>
      </w:r>
      <w:r>
        <w:t xml:space="preserve"> </w:t>
      </w:r>
      <w:r>
        <w:t xml:space="preserve">cisplatin-based definitive concurrent chemoradiotherapy over radiotherapy</w:t>
      </w:r>
      <w:r>
        <w:t xml:space="preserve"> </w:t>
      </w:r>
      <w:r>
        <w:t xml:space="preserve">alone for unresectable disease in a three-arm phase III trial</w:t>
      </w:r>
      <w:r>
        <w:t xml:space="preserve"> </w:t>
      </w:r>
      <w:r>
        <w:t xml:space="preserve">(</w:t>
      </w:r>
      <w:r>
        <w:t xml:space="preserve">(Adelstein et al. 2003)</w:t>
      </w:r>
      <w:r>
        <w:t xml:space="preserve">).</w:t>
      </w:r>
      <w:r>
        <w:t xml:space="preserve"> </w:t>
      </w:r>
      <w:r>
        <w:t xml:space="preserve">The RTOG 91-11 trial confirmed concurrent cisplatin as the preferred</w:t>
      </w:r>
      <w:r>
        <w:t xml:space="preserve"> </w:t>
      </w:r>
      <w:r>
        <w:t xml:space="preserve">systemic component for larynx preservation compared with sequential</w:t>
      </w:r>
      <w:r>
        <w:t xml:space="preserve"> </w:t>
      </w:r>
      <w:r>
        <w:t xml:space="preserve">chemotherapy–radiotherapy or radiotherapy alone</w:t>
      </w:r>
      <w:r>
        <w:t xml:space="preserve"> </w:t>
      </w:r>
      <w:r>
        <w:t xml:space="preserve">(</w:t>
      </w:r>
      <w:r>
        <w:t xml:space="preserve">(Forastiere et al. 2003)</w:t>
      </w:r>
      <w:r>
        <w:t xml:space="preserve">).</w:t>
      </w:r>
      <w:r>
        <w:t xml:space="preserve"> </w:t>
      </w:r>
      <w:r>
        <w:t xml:space="preserve">For patients with very high nodal or tumour burden where induction</w:t>
      </w:r>
      <w:r>
        <w:t xml:space="preserve"> </w:t>
      </w:r>
      <w:r>
        <w:t xml:space="preserve">chemotherapy is considered, the TAX 324 and TAX 323 phase III trials</w:t>
      </w:r>
      <w:r>
        <w:t xml:space="preserve"> </w:t>
      </w:r>
      <w:r>
        <w:t xml:space="preserve">established TPF (docetaxel, cisplatin, fluorouracil) induction as superior</w:t>
      </w:r>
      <w:r>
        <w:t xml:space="preserve"> </w:t>
      </w:r>
      <w:r>
        <w:t xml:space="preserve">to PF (cisplatin, fluorouracil) alone</w:t>
      </w:r>
      <w:r>
        <w:t xml:space="preserve"> </w:t>
      </w:r>
      <w:r>
        <w:t xml:space="preserve">(</w:t>
      </w:r>
      <w:r>
        <w:t xml:space="preserve">(Posner et al. 2007)</w:t>
      </w:r>
      <w:r>
        <w:t xml:space="preserve">;</w:t>
      </w:r>
      <w:r>
        <w:t xml:space="preserve"> </w:t>
      </w:r>
      <w:r>
        <w:t xml:space="preserve">(Vermorken et al. 2007)</w:t>
      </w:r>
      <w:r>
        <w:t xml:space="preserve">).</w:t>
      </w:r>
      <w:r>
        <w:t xml:space="preserve"> </w:t>
      </w:r>
      <w:r>
        <w:t xml:space="preserve">Across all concurrent settings, the MACH-NC collaborative group</w:t>
      </w:r>
      <w:r>
        <w:t xml:space="preserve"> </w:t>
      </w:r>
      <w:r>
        <w:t xml:space="preserve">meta-analysis quantified the population benefit: adding concomitant</w:t>
      </w:r>
      <w:r>
        <w:t xml:space="preserve"> </w:t>
      </w:r>
      <w:r>
        <w:t xml:space="preserve">platinum-based chemotherapy to radiotherapy conferred an absolute overall</w:t>
      </w:r>
      <w:r>
        <w:t xml:space="preserve"> </w:t>
      </w:r>
      <w:r>
        <w:t xml:space="preserve">survival gain of approximately 6.5 percentage points at 5 years, with a</w:t>
      </w:r>
      <w:r>
        <w:t xml:space="preserve"> </w:t>
      </w:r>
      <w:r>
        <w:t xml:space="preserve">consistent effect across oropharyngeal, oral cavity, laryngeal, and</w:t>
      </w:r>
      <w:r>
        <w:t xml:space="preserve"> </w:t>
      </w:r>
      <w:r>
        <w:t xml:space="preserve">hypopharyngeal primaries (</w:t>
      </w:r>
      <w:r>
        <w:t xml:space="preserve">(Pignon et al. 2009)</w:t>
      </w:r>
      <w:r>
        <w:t xml:space="preserve">).</w:t>
      </w:r>
    </w:p>
    <w:p>
      <w:pPr>
        <w:pStyle w:val="BodyText"/>
      </w:pPr>
      <w:r>
        <w:t xml:space="preserve">The development of cetuximab, an anti-EGFR monoclonal antibody, introduced</w:t>
      </w:r>
      <w:r>
        <w:t xml:space="preserve"> </w:t>
      </w:r>
      <w:r>
        <w:t xml:space="preserve">the first serious challenge to cisplatin’s position as the concurrent</w:t>
      </w:r>
      <w:r>
        <w:t xml:space="preserve"> </w:t>
      </w:r>
      <w:r>
        <w:t xml:space="preserve">radiosensitiser of choice. Bonner and colleagues demonstrated that</w:t>
      </w:r>
      <w:r>
        <w:t xml:space="preserve"> </w:t>
      </w:r>
      <w:r>
        <w:t xml:space="preserve">cetuximab plus radiotherapy significantly improved locoregional control and</w:t>
      </w:r>
      <w:r>
        <w:t xml:space="preserve"> </w:t>
      </w:r>
      <w:r>
        <w:t xml:space="preserve">overall survival versus radiotherapy alone in locally advanced HNSCC</w:t>
      </w:r>
      <w:r>
        <w:t xml:space="preserve"> </w:t>
      </w:r>
      <w:r>
        <w:t xml:space="preserve">(</w:t>
      </w:r>
      <w:r>
        <w:t xml:space="preserve">(Bonner et al. 2006)</w:t>
      </w:r>
      <w:r>
        <w:t xml:space="preserve">), establishing cetuximab as an alternative concurrent</w:t>
      </w:r>
      <w:r>
        <w:t xml:space="preserve"> </w:t>
      </w:r>
      <w:r>
        <w:t xml:space="preserve">agent. However, two subsequent phase III trials have firmly restored</w:t>
      </w:r>
      <w:r>
        <w:t xml:space="preserve"> </w:t>
      </w:r>
      <w:r>
        <w:t xml:space="preserve">cisplatin as the preferred partner for radiotherapy in the HPV-positive</w:t>
      </w:r>
      <w:r>
        <w:t xml:space="preserve"> </w:t>
      </w:r>
      <w:r>
        <w:t xml:space="preserve">oropharyngeal subgroup that might otherwise be considered for</w:t>
      </w:r>
      <w:r>
        <w:t xml:space="preserve"> </w:t>
      </w:r>
      <w:r>
        <w:t xml:space="preserve">de-intensification. The NRG RTOG 1016 trial demonstrated that</w:t>
      </w:r>
      <w:r>
        <w:t xml:space="preserve"> </w:t>
      </w:r>
      <w:r>
        <w:t xml:space="preserve">radiotherapy plus cetuximab was inferior to radiotherapy plus cisplatin</w:t>
      </w:r>
      <w:r>
        <w:t xml:space="preserve"> </w:t>
      </w:r>
      <w:r>
        <w:t xml:space="preserve">for overall survival in HPV-positive oropharyngeal cancer</w:t>
      </w:r>
      <w:r>
        <w:t xml:space="preserve"> </w:t>
      </w:r>
      <w:r>
        <w:t xml:space="preserve">(</w:t>
      </w:r>
      <w:r>
        <w:t xml:space="preserve">(</w:t>
      </w:r>
      <w:r>
        <w:t xml:space="preserve">Gillison et al.</w:t>
      </w:r>
      <w:r>
        <w:t xml:space="preserve"> </w:t>
      </w:r>
      <w:r>
        <w:t xml:space="preserve">2019)</w:t>
      </w:r>
      <w:r>
        <w:t xml:space="preserve">), and the contemporaneous De-ESCALaTE HPV trial</w:t>
      </w:r>
      <w:r>
        <w:t xml:space="preserve"> </w:t>
      </w:r>
      <w:r>
        <w:t xml:space="preserve">reached the same conclusion, showing significantly lower overall and</w:t>
      </w:r>
      <w:r>
        <w:t xml:space="preserve"> </w:t>
      </w:r>
      <w:r>
        <w:t xml:space="preserve">progression-free survival in the cetuximab arm (</w:t>
      </w:r>
      <w:r>
        <w:t xml:space="preserve">(</w:t>
      </w:r>
      <w:r>
        <w:t xml:space="preserve">Mehanna et al.</w:t>
      </w:r>
      <w:r>
        <w:t xml:space="preserve"> </w:t>
      </w:r>
      <w:r>
        <w:t xml:space="preserve">2019)</w:t>
      </w:r>
      <w:r>
        <w:t xml:space="preserve">).</w:t>
      </w:r>
      <w:r>
        <w:t xml:space="preserve"> </w:t>
      </w:r>
      <w:r>
        <w:t xml:space="preserve">Taken together, these trials confirm that cisplatin remains the mandatory</w:t>
      </w:r>
      <w:r>
        <w:t xml:space="preserve"> </w:t>
      </w:r>
      <w:r>
        <w:t xml:space="preserve">concurrent radiosensitiser in HPV-positive oropharyngeal cancer at standard</w:t>
      </w:r>
      <w:r>
        <w:t xml:space="preserve"> </w:t>
      </w:r>
      <w:r>
        <w:t xml:space="preserve">risk and re-established the cisplatin backbone across HNSCC.</w:t>
      </w:r>
    </w:p>
    <w:p>
      <w:pPr>
        <w:pStyle w:val="BodyText"/>
      </w:pPr>
      <w:r>
        <w:t xml:space="preserve">The argument for incorporating checkpoint immunotherapy into concurrent</w:t>
      </w:r>
      <w:r>
        <w:t xml:space="preserve"> </w:t>
      </w:r>
      <w:r>
        <w:t xml:space="preserve">chemoradiotherapy was tested in two large phase III trials, both of which</w:t>
      </w:r>
      <w:r>
        <w:t xml:space="preserve"> </w:t>
      </w:r>
      <w:r>
        <w:t xml:space="preserve">failed to meet their primary endpoints. Neither KEYNOTE-412 (pembrolizumab</w:t>
      </w:r>
      <w:r>
        <w:t xml:space="preserve"> </w:t>
      </w:r>
      <w:r>
        <w:t xml:space="preserve">plus cisplatin-based CRT) (</w:t>
      </w:r>
      <w:r>
        <w:t xml:space="preserve">(</w:t>
      </w:r>
      <w:r>
        <w:t xml:space="preserve">Machiels et al.</w:t>
      </w:r>
      <w:r>
        <w:t xml:space="preserve"> </w:t>
      </w:r>
      <w:r>
        <w:t xml:space="preserve">2023)</w:t>
      </w:r>
      <w:r>
        <w:t xml:space="preserve">) nor JAVELIN Head and</w:t>
      </w:r>
      <w:r>
        <w:t xml:space="preserve"> </w:t>
      </w:r>
      <w:r>
        <w:t xml:space="preserve">Neck 100 (avelumab plus cisplatin-based CRT) (</w:t>
      </w:r>
      <w:r>
        <w:t xml:space="preserve">(</w:t>
      </w:r>
      <w:r>
        <w:t xml:space="preserve">Lee et al.</w:t>
      </w:r>
      <w:r>
        <w:t xml:space="preserve"> </w:t>
      </w:r>
      <w:r>
        <w:t xml:space="preserve">2021)</w:t>
      </w:r>
      <w:r>
        <w:t xml:space="preserve">) improved</w:t>
      </w:r>
      <w:r>
        <w:t xml:space="preserve"> </w:t>
      </w:r>
      <w:r>
        <w:t xml:space="preserve">event-free or progression-free survival over cisplatin-based CRT alone.</w:t>
      </w:r>
      <w:r>
        <w:t xml:space="preserve"> </w:t>
      </w:r>
      <w:r>
        <w:t xml:space="preserve">These negative results confirm that cisplatin-based concurrent</w:t>
      </w:r>
      <w:r>
        <w:t xml:space="preserve"> </w:t>
      </w:r>
      <w:r>
        <w:t xml:space="preserve">chemoradiotherapy remains the standard of care against which toxicity</w:t>
      </w:r>
      <w:r>
        <w:t xml:space="preserve"> </w:t>
      </w:r>
      <w:r>
        <w:t xml:space="preserve">reduction strategies, including chronotherapy, must be evaluated.</w:t>
      </w:r>
    </w:p>
    <w:bookmarkEnd w:id="15"/>
    <w:bookmarkStart w:id="16" w:name="X09752d162766d12d5f7a3dd69f62bacf0a7c5b0"/>
    <w:p>
      <w:pPr>
        <w:pStyle w:val="Heading2"/>
      </w:pPr>
      <w:r>
        <w:t xml:space="preserve">Weekly versus three-weekly scheduling: an unresolved debate with</w:t>
      </w:r>
      <w:r>
        <w:t xml:space="preserve"> </w:t>
      </w:r>
      <w:r>
        <w:t xml:space="preserve">direct relevance to toxicity</w:t>
      </w:r>
    </w:p>
    <w:p>
      <w:pPr>
        <w:pStyle w:val="FirstParagraph"/>
      </w:pPr>
      <w:r>
        <w:t xml:space="preserve">The cisplatin dose schedule that established the evidence base described</w:t>
      </w:r>
      <w:r>
        <w:t xml:space="preserve"> </w:t>
      </w:r>
      <w:r>
        <w:t xml:space="preserve">above — 100 mg m</w:t>
      </w:r>
      <m:oMath>
        <m:sSup>
          <m:e>
            <m:r>
              <m:t>​</m:t>
            </m:r>
          </m:e>
          <m:sup>
            <m:r>
              <m:rPr>
                <m:sty m:val="p"/>
              </m:rPr>
              <m:t>−</m:t>
            </m:r>
            <m:r>
              <m:t>2</m:t>
            </m:r>
          </m:sup>
        </m:sSup>
      </m:oMath>
      <w:r>
        <w:t xml:space="preserve"> </w:t>
      </w:r>
      <w:r>
        <w:t xml:space="preserve">intravenously on days 1, 22, and 43 concurrent</w:t>
      </w:r>
      <w:r>
        <w:t xml:space="preserve"> </w:t>
      </w:r>
      <w:r>
        <w:t xml:space="preserve">with radiotherapy — remains the regulatory and guideline standard. However,</w:t>
      </w:r>
      <w:r>
        <w:t xml:space="preserve"> </w:t>
      </w:r>
      <w:r>
        <w:t xml:space="preserve">this regimen generates substantial acute toxicity: up to 40% of patients</w:t>
      </w:r>
      <w:r>
        <w:t xml:space="preserve"> </w:t>
      </w:r>
      <w:r>
        <w:t xml:space="preserve">in the landmark postoperative trials could not complete all three planned</w:t>
      </w:r>
      <w:r>
        <w:t xml:space="preserve"> </w:t>
      </w:r>
      <w:r>
        <w:t xml:space="preserve">high-dose cycles </w:t>
      </w:r>
      <w:r>
        <w:t xml:space="preserve">(Bernier et al. 2004; Strojan et al. 2016)</w:t>
      </w:r>
      <w:r>
        <w:t xml:space="preserve">. Consequently, lower-dose</w:t>
      </w:r>
      <w:r>
        <w:t xml:space="preserve"> </w:t>
      </w:r>
      <w:r>
        <w:t xml:space="preserve">weekly cisplatin</w:t>
      </w:r>
      <w:r>
        <w:t xml:space="preserve"> </w:t>
      </w:r>
      <w:r>
        <w:t xml:space="preserve">schedules (typically 30–40 mg m</w:t>
      </w:r>
      <m:oMath>
        <m:sSup>
          <m:e>
            <m:r>
              <m:t>​</m:t>
            </m:r>
          </m:e>
          <m:sup>
            <m:r>
              <m:rPr>
                <m:sty m:val="p"/>
              </m:rPr>
              <m:t>−</m:t>
            </m:r>
            <m:r>
              <m:t>2</m:t>
            </m:r>
          </m:sup>
        </m:sSup>
      </m:oMath>
      <w:r>
        <w:t xml:space="preserve"> </w:t>
      </w:r>
      <w:r>
        <w:t xml:space="preserve">per week for six or seven cycles)</w:t>
      </w:r>
      <w:r>
        <w:t xml:space="preserve"> </w:t>
      </w:r>
      <w:r>
        <w:t xml:space="preserve">entered widespread institutional practice on the assumption of comparable</w:t>
      </w:r>
      <w:r>
        <w:t xml:space="preserve"> </w:t>
      </w:r>
      <w:r>
        <w:t xml:space="preserve">efficacy with reduced toxicity </w:t>
      </w:r>
      <w:r>
        <w:t xml:space="preserve">(Szturz et al. 2017)</w:t>
      </w:r>
      <w:r>
        <w:t xml:space="preserve">.</w:t>
      </w:r>
    </w:p>
    <w:p>
      <w:pPr>
        <w:pStyle w:val="BodyText"/>
      </w:pPr>
      <w:r>
        <w:t xml:space="preserve">The evidence for schedule equivalence has been vigorously contested. A</w:t>
      </w:r>
      <w:r>
        <w:t xml:space="preserve"> </w:t>
      </w:r>
      <w:r>
        <w:t xml:space="preserve">systematic review and meta-analysis of 52 prospective studies comprising</w:t>
      </w:r>
      <w:r>
        <w:t xml:space="preserve"> </w:t>
      </w:r>
      <w:r>
        <w:t xml:space="preserve">4,209 patients found no overall survival difference between weekly and</w:t>
      </w:r>
      <w:r>
        <w:t xml:space="preserve"> </w:t>
      </w:r>
      <w:r>
        <w:t xml:space="preserve">three-weekly cisplatin regimens in either the postoperative or the definitive</w:t>
      </w:r>
      <w:r>
        <w:t xml:space="preserve"> </w:t>
      </w:r>
      <w:r>
        <w:t xml:space="preserve">setting; the weekly approach was significantly less nephrotoxic and</w:t>
      </w:r>
      <w:r>
        <w:t xml:space="preserve"> </w:t>
      </w:r>
      <w:r>
        <w:t xml:space="preserve">myelosuppressive in the definitive setting, but was associated with more</w:t>
      </w:r>
      <w:r>
        <w:t xml:space="preserve"> </w:t>
      </w:r>
      <w:r>
        <w:t xml:space="preserve">dysphagia and weight loss in the postoperative setting </w:t>
      </w:r>
      <w:r>
        <w:t xml:space="preserve">(Szturz et al. 2017)</w:t>
      </w:r>
      <w:r>
        <w:t xml:space="preserve">.</w:t>
      </w:r>
      <w:r>
        <w:t xml:space="preserve"> </w:t>
      </w:r>
      <w:r>
        <w:t xml:space="preserve">The Japanese JCOG1008 phase III randomised trial found weekly cisplatin at</w:t>
      </w:r>
      <w:r>
        <w:t xml:space="preserve"> </w:t>
      </w:r>
      <w:r>
        <w:t xml:space="preserve">40 mg m</w:t>
      </w:r>
      <m:oMath>
        <m:sSup>
          <m:e>
            <m:r>
              <m:t>​</m:t>
            </m:r>
          </m:e>
          <m:sup>
            <m:r>
              <m:rPr>
                <m:sty m:val="p"/>
              </m:rPr>
              <m:t>−</m:t>
            </m:r>
            <m:r>
              <m:t>2</m:t>
            </m:r>
          </m:sup>
        </m:sSup>
      </m:oMath>
      <w:r>
        <w:t xml:space="preserve"> </w:t>
      </w:r>
      <w:r>
        <w:t xml:space="preserve">non-inferior to three-weekly 100 mg m</w:t>
      </w:r>
      <m:oMath>
        <m:sSup>
          <m:e>
            <m:r>
              <m:t>​</m:t>
            </m:r>
          </m:e>
          <m:sup>
            <m:r>
              <m:rPr>
                <m:sty m:val="p"/>
              </m:rPr>
              <m:t>−</m:t>
            </m:r>
            <m:r>
              <m:t>2</m:t>
            </m:r>
          </m:sup>
        </m:sSup>
      </m:oMath>
      <w:r>
        <w:t xml:space="preserve"> </w:t>
      </w:r>
      <w:r>
        <w:t xml:space="preserve">for overall</w:t>
      </w:r>
      <w:r>
        <w:t xml:space="preserve"> </w:t>
      </w:r>
      <w:r>
        <w:t xml:space="preserve">survival in postoperative high-risk HNSCC (HR 0.69; 99.1% CI 0.37–1.27,</w:t>
      </w:r>
      <w:r>
        <w:t xml:space="preserve"> </w:t>
      </w:r>
      <w:r>
        <w:t xml:space="preserve">within the pre-specified non-inferiority margin of HR </w:t>
      </w:r>
      <m:oMath>
        <m:r>
          <m:rPr>
            <m:sty m:val="p"/>
          </m:rPr>
          <m:t>≤</m:t>
        </m:r>
      </m:oMath>
      <w:r>
        <w:t xml:space="preserve"> 1.54) with</w:t>
      </w:r>
      <w:r>
        <w:t xml:space="preserve"> </w:t>
      </w:r>
      <w:r>
        <w:t xml:space="preserve">less grade </w:t>
      </w:r>
      <m:oMath>
        <m:r>
          <m:rPr>
            <m:sty m:val="p"/>
          </m:rPr>
          <m:t>≥</m:t>
        </m:r>
      </m:oMath>
      <w:r>
        <w:t xml:space="preserve">3 neutropenia and renal impairment in the weekly</w:t>
      </w:r>
      <w:r>
        <w:t xml:space="preserve"> </w:t>
      </w:r>
      <w:r>
        <w:t xml:space="preserve">arm </w:t>
      </w:r>
      <w:r>
        <w:t xml:space="preserve">(</w:t>
      </w:r>
      <w:r>
        <w:t xml:space="preserve">Kiyota et al.</w:t>
      </w:r>
      <w:r>
        <w:t xml:space="preserve"> </w:t>
      </w:r>
      <w:r>
        <w:t xml:space="preserve">2022)</w:t>
      </w:r>
      <w:r>
        <w:t xml:space="preserve">. By contrast, a phase III randomised trial from Tata</w:t>
      </w:r>
      <w:r>
        <w:t xml:space="preserve"> </w:t>
      </w:r>
      <w:r>
        <w:t xml:space="preserve">Memorial Hospital comparing weekly 30 mg m</w:t>
      </w:r>
      <m:oMath>
        <m:sSup>
          <m:e>
            <m:r>
              <m:t>​</m:t>
            </m:r>
          </m:e>
          <m:sup>
            <m:r>
              <m:rPr>
                <m:sty m:val="p"/>
              </m:rPr>
              <m:t>−</m:t>
            </m:r>
            <m:r>
              <m:t>2</m:t>
            </m:r>
          </m:sup>
        </m:sSup>
      </m:oMath>
      <w:r>
        <w:t xml:space="preserve"> </w:t>
      </w:r>
      <w:r>
        <w:t xml:space="preserve">with three-weekly</w:t>
      </w:r>
      <w:r>
        <w:t xml:space="preserve"> </w:t>
      </w:r>
      <w:r>
        <w:t xml:space="preserve">100 mg m</w:t>
      </w:r>
      <m:oMath>
        <m:sSup>
          <m:e>
            <m:r>
              <m:t>​</m:t>
            </m:r>
          </m:e>
          <m:sup>
            <m:r>
              <m:rPr>
                <m:sty m:val="p"/>
              </m:rPr>
              <m:t>−</m:t>
            </m:r>
            <m:r>
              <m:t>2</m:t>
            </m:r>
          </m:sup>
        </m:sSup>
      </m:oMath>
      <w:r>
        <w:t xml:space="preserve"> </w:t>
      </w:r>
      <w:r>
        <w:t xml:space="preserve">in a predominantly oral cavity adjuvant cohort found</w:t>
      </w:r>
      <w:r>
        <w:t xml:space="preserve"> </w:t>
      </w:r>
      <w:r>
        <w:t xml:space="preserve">three-weekly cisplatin superior for 2-year locoregional control</w:t>
      </w:r>
      <w:r>
        <w:t xml:space="preserve"> </w:t>
      </w:r>
      <w:r>
        <w:t xml:space="preserve">(73.1% vs 58.5%; HR 1.76;</w:t>
      </w:r>
      <w:r>
        <w:t xml:space="preserve"> </w:t>
      </w:r>
      <m:oMath>
        <m:r>
          <m:t>p</m:t>
        </m:r>
        <m:r>
          <m:rPr>
            <m:sty m:val="p"/>
          </m:rPr>
          <m:t>=</m:t>
        </m:r>
        <m:r>
          <m:t>0.014</m:t>
        </m:r>
      </m:oMath>
      <w:r>
        <w:t xml:space="preserve">) </w:t>
      </w:r>
      <w:r>
        <w:t xml:space="preserve">(</w:t>
      </w:r>
      <w:r>
        <w:t xml:space="preserve">Noronha et al.</w:t>
      </w:r>
      <w:r>
        <w:t xml:space="preserve"> </w:t>
      </w:r>
      <w:r>
        <w:t xml:space="preserve">2018)</w:t>
      </w:r>
      <w:r>
        <w:t xml:space="preserve">, demonstrating</w:t>
      </w:r>
      <w:r>
        <w:t xml:space="preserve"> </w:t>
      </w:r>
      <w:r>
        <w:t xml:space="preserve">that weekly cisplatin at 30 mg m</w:t>
      </w:r>
      <m:oMath>
        <m:sSup>
          <m:e>
            <m:r>
              <m:t>​</m:t>
            </m:r>
          </m:e>
          <m:sup>
            <m:r>
              <m:rPr>
                <m:sty m:val="p"/>
              </m:rPr>
              <m:t>−</m:t>
            </m:r>
            <m:r>
              <m:t>2</m:t>
            </m:r>
          </m:sup>
        </m:sSup>
      </m:oMath>
      <w:r>
        <w:t xml:space="preserve"> </w:t>
      </w:r>
      <w:r>
        <w:t xml:space="preserve">does not reliably substitute for</w:t>
      </w:r>
      <w:r>
        <w:t xml:space="preserve"> </w:t>
      </w:r>
      <w:r>
        <w:t xml:space="preserve">the standard schedule in all OSCC contexts. Importantly, the cumulative</w:t>
      </w:r>
      <w:r>
        <w:t xml:space="preserve"> </w:t>
      </w:r>
      <w:r>
        <w:t xml:space="preserve">cisplatin dose — regardless of schedule — is a dose-limiting toxicity</w:t>
      </w:r>
      <w:r>
        <w:t xml:space="preserve"> </w:t>
      </w:r>
      <w:r>
        <w:t xml:space="preserve">predictor: a systematic review identified 200 mg m</w:t>
      </w:r>
      <m:oMath>
        <m:sSup>
          <m:e>
            <m:r>
              <m:t>​</m:t>
            </m:r>
          </m:e>
          <m:sup>
            <m:r>
              <m:rPr>
                <m:sty m:val="p"/>
              </m:rPr>
              <m:t>−</m:t>
            </m:r>
            <m:r>
              <m:t>2</m:t>
            </m:r>
          </m:sup>
        </m:sSup>
      </m:oMath>
      <w:r>
        <w:t xml:space="preserve"> </w:t>
      </w:r>
      <w:r>
        <w:t xml:space="preserve">as the</w:t>
      </w:r>
      <w:r>
        <w:t xml:space="preserve"> </w:t>
      </w:r>
      <w:r>
        <w:t xml:space="preserve">threshold above which nephrotoxicity and ototoxicity rates rise</w:t>
      </w:r>
      <w:r>
        <w:t xml:space="preserve"> </w:t>
      </w:r>
      <w:r>
        <w:t xml:space="preserve">markedly </w:t>
      </w:r>
      <w:r>
        <w:t xml:space="preserve">(Strojan et al. 2016)</w:t>
      </w:r>
      <w:r>
        <w:t xml:space="preserve">, providing an additional scheduling constraint</w:t>
      </w:r>
      <w:r>
        <w:t xml:space="preserve"> </w:t>
      </w:r>
      <w:r>
        <w:t xml:space="preserve">that is independent of and complementary to circadian timing. The divergent</w:t>
      </w:r>
      <w:r>
        <w:t xml:space="preserve"> </w:t>
      </w:r>
      <w:r>
        <w:t xml:space="preserve">results of these trials underline that toxicity management, not schedule</w:t>
      </w:r>
      <w:r>
        <w:t xml:space="preserve"> </w:t>
      </w:r>
      <w:r>
        <w:t xml:space="preserve">optimisation alone, remains a first-order clinical problem — and that</w:t>
      </w:r>
      <w:r>
        <w:t xml:space="preserve"> </w:t>
      </w:r>
      <w:r>
        <w:t xml:space="preserve">weekly schedules, by providing six to seven potential timing-intervention</w:t>
      </w:r>
      <w:r>
        <w:t xml:space="preserve"> </w:t>
      </w:r>
      <w:r>
        <w:t xml:space="preserve">windows rather than three, may actually offer an advantage for chronotherapy</w:t>
      </w:r>
      <w:r>
        <w:t xml:space="preserve"> </w:t>
      </w:r>
      <w:r>
        <w:t xml:space="preserve">implementation.</w:t>
      </w:r>
    </w:p>
    <w:bookmarkEnd w:id="16"/>
    <w:bookmarkStart w:id="17" w:name="Xbff1a177a1d893d7b05cf7b95303b6e35c91f55"/>
    <w:p>
      <w:pPr>
        <w:pStyle w:val="Heading2"/>
      </w:pPr>
      <w:r>
        <w:t xml:space="preserve">Delivery logistics and the chronobiological blind spot</w:t>
      </w:r>
    </w:p>
    <w:p>
      <w:pPr>
        <w:pStyle w:val="FirstParagraph"/>
      </w:pPr>
      <w:r>
        <w:t xml:space="preserve">In practice, cisplatin administration within a chemoradiotherapy programme</w:t>
      </w:r>
      <w:r>
        <w:t xml:space="preserve"> </w:t>
      </w:r>
      <w:r>
        <w:t xml:space="preserve">is constrained by clinically rational parameters: creatinine clearance</w:t>
      </w:r>
      <w:r>
        <w:t xml:space="preserve"> </w:t>
      </w:r>
      <w:r>
        <w:t xml:space="preserve">threshold, baseline and on-treatment audiometry, haematological reserve, and</w:t>
      </w:r>
      <w:r>
        <w:t xml:space="preserve"> </w:t>
      </w:r>
      <w:r>
        <w:t xml:space="preserve">the logistics of intravenous infusion with hyperhydration and antiemetic</w:t>
      </w:r>
      <w:r>
        <w:t xml:space="preserve"> </w:t>
      </w:r>
      <w:r>
        <w:t xml:space="preserve">prophylaxis. For the three-weekly regimen, the three infusions on days 1, 22,</w:t>
      </w:r>
      <w:r>
        <w:t xml:space="preserve"> </w:t>
      </w:r>
      <w:r>
        <w:t xml:space="preserve">and 43 of the radiation course are determined by the treatment calendar; for</w:t>
      </w:r>
      <w:r>
        <w:t xml:space="preserve"> </w:t>
      </w:r>
      <w:r>
        <w:t xml:space="preserve">weekly schedules, timing aligns with the radiotherapy fraction timetable of</w:t>
      </w:r>
      <w:r>
        <w:t xml:space="preserve"> </w:t>
      </w:r>
      <w:r>
        <w:t xml:space="preserve">the treating institution.</w:t>
      </w:r>
    </w:p>
    <w:p>
      <w:pPr>
        <w:pStyle w:val="BodyText"/>
      </w:pPr>
      <w:r>
        <w:t xml:space="preserve">None of these constraints incorporate any consideration of when, within the</w:t>
      </w:r>
      <w:r>
        <w:t xml:space="preserve"> </w:t>
      </w:r>
      <w:r>
        <w:t xml:space="preserve">24-hour biological cycle, a patient is best positioned to receive cisplatin.</w:t>
      </w:r>
      <w:r>
        <w:t xml:space="preserve"> </w:t>
      </w:r>
      <w:r>
        <w:t xml:space="preserve">The NER capacity of the patient’s normal tissues is not assessed at the time</w:t>
      </w:r>
      <w:r>
        <w:t xml:space="preserve"> </w:t>
      </w:r>
      <w:r>
        <w:t xml:space="preserve">of scheduling. The circadian peak of OCT2 expression in the renal tubule and</w:t>
      </w:r>
      <w:r>
        <w:t xml:space="preserve"> </w:t>
      </w:r>
      <w:r>
        <w:t xml:space="preserve">cochlea is not documented. The hour of cisplatin infusion is determined by</w:t>
      </w:r>
      <w:r>
        <w:t xml:space="preserve"> </w:t>
      </w:r>
      <w:r>
        <w:t xml:space="preserve">ward schedule, infusion-centre capacity, and radiotherapy appointment</w:t>
      </w:r>
      <w:r>
        <w:t xml:space="preserve"> </w:t>
      </w:r>
      <w:r>
        <w:t xml:space="preserve">time — not by patient biology. Current cisplatin protocols are</w:t>
      </w:r>
      <w:r>
        <w:t xml:space="preserve"> </w:t>
      </w:r>
      <w:r>
        <w:t xml:space="preserve">operationally precise but chronobiologically silent.</w:t>
      </w:r>
    </w:p>
    <w:bookmarkEnd w:id="17"/>
    <w:bookmarkEnd w:id="18"/>
    <w:bookmarkStart w:id="26" w:name="sec:toxicity"/>
    <w:p>
      <w:pPr>
        <w:pStyle w:val="Heading1"/>
      </w:pPr>
      <w:r>
        <w:t xml:space="preserve">Why cisplatin injures specific organs: tissue uptake, DNA damage,</w:t>
      </w:r>
      <w:r>
        <w:t xml:space="preserve"> </w:t>
      </w:r>
      <w:r>
        <w:t xml:space="preserve">oxidative stress, and repair failure</w:t>
      </w:r>
    </w:p>
    <w:p>
      <w:pPr>
        <w:pStyle w:val="FirstParagraph"/>
      </w:pPr>
      <w:r>
        <w:t xml:space="preserve">Although cisplatin distributes systemically, its toxicities concentrate in a</w:t>
      </w:r>
      <w:r>
        <w:t xml:space="preserve"> </w:t>
      </w:r>
      <w:r>
        <w:t xml:space="preserve">small number of tissues that share three features: disproportionately high</w:t>
      </w:r>
      <w:r>
        <w:t xml:space="preserve"> </w:t>
      </w:r>
      <w:r>
        <w:t xml:space="preserve">platinum uptake via specific transporters, elevated metabolic demand that</w:t>
      </w:r>
      <w:r>
        <w:t xml:space="preserve"> </w:t>
      </w:r>
      <w:r>
        <w:t xml:space="preserve">amplifies oxidative injury, and limited regenerative capacity once a damage</w:t>
      </w:r>
      <w:r>
        <w:t xml:space="preserve"> </w:t>
      </w:r>
      <w:r>
        <w:t xml:space="preserve">threshold is exceeded. The kidney proximal tubule, cochlear outer hair cells,</w:t>
      </w:r>
      <w:r>
        <w:t xml:space="preserve"> </w:t>
      </w:r>
      <w:r>
        <w:t xml:space="preserve">oral mucosa, dorsal root ganglion neurons, and the upper gastrointestinal tract</w:t>
      </w:r>
      <w:r>
        <w:t xml:space="preserve"> </w:t>
      </w:r>
      <w:r>
        <w:t xml:space="preserve">each exemplify a different combination of these vulnerabilities.</w:t>
      </w:r>
      <w:r>
        <w:t xml:space="preserve"> </w:t>
      </w:r>
      <w:r>
        <w:t xml:space="preserve">Table </w:t>
      </w:r>
      <w:hyperlink w:anchor="tab:toxicity">
        <w:r>
          <w:rPr>
            <w:rStyle w:val="Hyperlink"/>
          </w:rPr>
          <w:t xml:space="preserve">[tab:toxicity]</w:t>
        </w:r>
      </w:hyperlink>
      <w:r>
        <w:t xml:space="preserve"> </w:t>
      </w:r>
      <w:r>
        <w:t xml:space="preserve">summarises the principal injury mechanisms and</w:t>
      </w:r>
      <w:r>
        <w:t xml:space="preserve"> </w:t>
      </w:r>
      <w:r>
        <w:t xml:space="preserve">potential circadian timing gates for each toxicity category.</w:t>
      </w:r>
    </w:p>
    <w:bookmarkStart w:id="19" w:name="nephrotoxicity"/>
    <w:p>
      <w:pPr>
        <w:pStyle w:val="Heading2"/>
      </w:pPr>
      <w:r>
        <w:t xml:space="preserve">Nephrotoxicity</w:t>
      </w:r>
    </w:p>
    <w:p>
      <w:pPr>
        <w:pStyle w:val="FirstParagraph"/>
      </w:pPr>
      <w:r>
        <w:t xml:space="preserve">Nephrotoxicity is the dose-limiting toxicity of cisplatin </w:t>
      </w:r>
      <w:r>
        <w:t xml:space="preserve">(Manohar and Leung 2018)</w:t>
      </w:r>
      <w:r>
        <w:t xml:space="preserve">.</w:t>
      </w:r>
      <w:r>
        <w:t xml:space="preserve"> </w:t>
      </w:r>
      <w:r>
        <w:t xml:space="preserve">Acute kidney injury (AKI) occurs in approximately 20–30% of treated patients</w:t>
      </w:r>
      <w:r>
        <w:t xml:space="preserve"> </w:t>
      </w:r>
      <w:r>
        <w:t xml:space="preserve">under contemporary hydration protocols; before the introduction of forced saline</w:t>
      </w:r>
      <w:r>
        <w:t xml:space="preserve"> </w:t>
      </w:r>
      <w:r>
        <w:t xml:space="preserve">diuresis, the incidence approached 100% </w:t>
      </w:r>
      <w:r>
        <w:t xml:space="preserve">(Manohar and Leung 2018)</w:t>
      </w:r>
      <w:r>
        <w:t xml:space="preserve">. Hypomagnesaemia,</w:t>
      </w:r>
      <w:r>
        <w:t xml:space="preserve"> </w:t>
      </w:r>
      <w:r>
        <w:t xml:space="preserve">reflecting injury to tubular resorption machinery, affects 40–100% of</w:t>
      </w:r>
      <w:r>
        <w:t xml:space="preserve"> </w:t>
      </w:r>
      <w:r>
        <w:t xml:space="preserve">patients </w:t>
      </w:r>
      <w:r>
        <w:t xml:space="preserve">(Manohar and Leung 2018)</w:t>
      </w:r>
      <w:r>
        <w:t xml:space="preserve">.</w:t>
      </w:r>
    </w:p>
    <w:p>
      <w:pPr>
        <w:pStyle w:val="BodyText"/>
      </w:pPr>
      <w:r>
        <w:t xml:space="preserve">The kidney concentrates cisplatin substantially above plasma levels because CTR1</w:t>
      </w:r>
      <w:r>
        <w:t xml:space="preserve"> </w:t>
      </w:r>
      <w:r>
        <w:t xml:space="preserve">and OCT2 are co-expressed at the basolateral membrane of proximal tubular cells.</w:t>
      </w:r>
      <w:r>
        <w:t xml:space="preserve"> </w:t>
      </w:r>
      <w:r>
        <w:t xml:space="preserve">Genetic deletion of OCT2 in mice produced an approximately four-fold reduction</w:t>
      </w:r>
      <w:r>
        <w:t xml:space="preserve"> </w:t>
      </w:r>
      <w:r>
        <w:t xml:space="preserve">in renal platinum accumulation and conferred near-complete protection from</w:t>
      </w:r>
      <w:r>
        <w:t xml:space="preserve"> </w:t>
      </w:r>
      <w:r>
        <w:t xml:space="preserve">clinically significant nephrotoxicity </w:t>
      </w:r>
      <w:r>
        <w:t xml:space="preserve">(Manohar and Leung 2018)</w:t>
      </w:r>
      <w:r>
        <w:t xml:space="preserve">. The S3 segment of the</w:t>
      </w:r>
      <w:r>
        <w:t xml:space="preserve"> </w:t>
      </w:r>
      <w:r>
        <w:t xml:space="preserve">proximal tubule is the most vulnerable compartment, partly because its</w:t>
      </w:r>
      <w:r>
        <w:t xml:space="preserve"> </w:t>
      </w:r>
      <w:r>
        <w:t xml:space="preserve">exceptional mitochondrial density creates an environment of intense oxidative</w:t>
      </w:r>
      <w:r>
        <w:t xml:space="preserve"> </w:t>
      </w:r>
      <w:r>
        <w:t xml:space="preserve">metabolism </w:t>
      </w:r>
      <w:r>
        <w:t xml:space="preserve">(Manohar and Leung 2018; Karasawa and Steyger 2015)</w:t>
      </w:r>
      <w:r>
        <w:t xml:space="preserve">. A pharmacokinetically important</w:t>
      </w:r>
      <w:r>
        <w:t xml:space="preserve"> </w:t>
      </w:r>
      <w:r>
        <w:t xml:space="preserve">observation is that only approximately 1% of intracellular cisplatin reaches</w:t>
      </w:r>
      <w:r>
        <w:t xml:space="preserve"> </w:t>
      </w:r>
      <w:r>
        <w:t xml:space="preserve">the nucleus; lanthanide-based immunoassays consistently detect four- to</w:t>
      </w:r>
      <w:r>
        <w:t xml:space="preserve"> </w:t>
      </w:r>
      <w:r>
        <w:t xml:space="preserve">six-fold higher platinum adduct burdens in mitochondrial than in nuclear</w:t>
      </w:r>
      <w:r>
        <w:t xml:space="preserve"> </w:t>
      </w:r>
      <w:r>
        <w:t xml:space="preserve">DNA, identifying the mitochondrion as a disproportionate cisplatin damage</w:t>
      </w:r>
      <w:r>
        <w:t xml:space="preserve"> </w:t>
      </w:r>
      <w:r>
        <w:t xml:space="preserve">target </w:t>
      </w:r>
      <w:r>
        <w:t xml:space="preserve">(Manohar and Leung 2018)</w:t>
      </w:r>
      <w:r>
        <w:t xml:space="preserve">.</w:t>
      </w:r>
    </w:p>
    <w:p>
      <w:pPr>
        <w:pStyle w:val="BodyText"/>
      </w:pPr>
      <w:r>
        <w:t xml:space="preserve">Intracellular injury converges on multiple death-signalling cascades. DNA damage</w:t>
      </w:r>
      <w:r>
        <w:t xml:space="preserve"> </w:t>
      </w:r>
      <w:r>
        <w:t xml:space="preserve">stabilises p53, which transactivates PUMA-</w:t>
      </w:r>
      <m:oMath>
        <m:r>
          <m:t>α</m:t>
        </m:r>
      </m:oMath>
      <w:r>
        <w:t xml:space="preserve">; PUMA-</w:t>
      </w:r>
      <m:oMath>
        <m:r>
          <m:t>α</m:t>
        </m:r>
      </m:oMath>
      <w:r>
        <w:t xml:space="preserve"> </w:t>
      </w:r>
      <w:r>
        <w:t xml:space="preserve">sequesters</w:t>
      </w:r>
      <w:r>
        <w:t xml:space="preserve"> </w:t>
      </w:r>
      <w:r>
        <w:t xml:space="preserve">the antiapoptotic proteins Bcl-2 and Bcl-X</w:t>
      </w:r>
      <w:r>
        <w:rPr>
          <w:vertAlign w:val="subscript"/>
        </w:rPr>
        <w:t xml:space="preserve">L</w:t>
      </w:r>
      <w:r>
        <w:t xml:space="preserve">, releasing BAX to</w:t>
      </w:r>
      <w:r>
        <w:t xml:space="preserve"> </w:t>
      </w:r>
      <w:r>
        <w:t xml:space="preserve">permeabilise the outer mitochondrial membrane and initiate cytochrome </w:t>
      </w:r>
      <w:r>
        <w:rPr>
          <w:i/>
          <w:iCs/>
        </w:rPr>
        <w:t xml:space="preserve">c</w:t>
      </w:r>
      <w:r>
        <w:t xml:space="preserve"> </w:t>
      </w:r>
      <w:r>
        <w:t xml:space="preserve">– caspase-9 apoptosis </w:t>
      </w:r>
      <w:r>
        <w:t xml:space="preserve">(Pabla and Dong 2008; Karasawa and Steyger 2015)</w:t>
      </w:r>
      <w:r>
        <w:t xml:space="preserve">. In parallel, p53-induced</w:t>
      </w:r>
      <w:r>
        <w:t xml:space="preserve"> </w:t>
      </w:r>
      <w:r>
        <w:t xml:space="preserve">protein with a death domain (PIDD) activates caspase 2 and releases</w:t>
      </w:r>
      <w:r>
        <w:t xml:space="preserve"> </w:t>
      </w:r>
      <w:r>
        <w:t xml:space="preserve">apoptosis-inducing factor (AIF) from mitochondria </w:t>
      </w:r>
      <w:r>
        <w:t xml:space="preserve">(Karasawa and Steyger 2015)</w:t>
      </w:r>
      <w:r>
        <w:t xml:space="preserve">. Reactive</w:t>
      </w:r>
      <w:r>
        <w:t xml:space="preserve"> </w:t>
      </w:r>
      <w:r>
        <w:t xml:space="preserve">oxygen species generated by impaired mitochondrial respiration and cytochrome</w:t>
      </w:r>
      <w:r>
        <w:t xml:space="preserve"> </w:t>
      </w:r>
      <w:r>
        <w:t xml:space="preserve">P450 microsomal activity further amplify this injury </w:t>
      </w:r>
      <w:r>
        <w:t xml:space="preserve">(Karasawa and Steyger 2015; Manohar and Leung 2018)</w:t>
      </w:r>
      <w:r>
        <w:t xml:space="preserve">. Cisplatin additionally triggers an innate inflammatory response:</w:t>
      </w:r>
      <w:r>
        <w:t xml:space="preserve"> </w:t>
      </w:r>
      <w:r>
        <w:t xml:space="preserve">damage-associated molecular patterns (DAMPs) engage Toll-like receptor 4,</w:t>
      </w:r>
      <w:r>
        <w:t xml:space="preserve"> </w:t>
      </w:r>
      <w:r>
        <w:t xml:space="preserve">activating NF-</w:t>
      </w:r>
      <m:oMath>
        <m:r>
          <m:t>κ</m:t>
        </m:r>
      </m:oMath>
      <w:r>
        <w:t xml:space="preserve">B and driving TNF-</w:t>
      </w:r>
      <m:oMath>
        <m:r>
          <m:t>α</m:t>
        </m:r>
      </m:oMath>
      <w:r>
        <w:t xml:space="preserve">-mediated cytokine</w:t>
      </w:r>
      <w:r>
        <w:t xml:space="preserve"> </w:t>
      </w:r>
      <w:r>
        <w:t xml:space="preserve">and chemokine production that sustains tubular injury beyond the initial</w:t>
      </w:r>
      <w:r>
        <w:t xml:space="preserve"> </w:t>
      </w:r>
      <w:r>
        <w:t xml:space="preserve">platinum insult </w:t>
      </w:r>
      <w:r>
        <w:t xml:space="preserve">(Manohar and Leung 2018)</w:t>
      </w:r>
      <w:r>
        <w:t xml:space="preserve">.</w:t>
      </w:r>
    </w:p>
    <w:bookmarkEnd w:id="19"/>
    <w:bookmarkStart w:id="20" w:name="ototoxicity"/>
    <w:p>
      <w:pPr>
        <w:pStyle w:val="Heading2"/>
      </w:pPr>
      <w:r>
        <w:t xml:space="preserve">Ototoxicity</w:t>
      </w:r>
    </w:p>
    <w:p>
      <w:pPr>
        <w:pStyle w:val="FirstParagraph"/>
      </w:pPr>
      <w:r>
        <w:t xml:space="preserve">Cisplatin causes permanent, predominantly high-frequency sensorineural hearing</w:t>
      </w:r>
      <w:r>
        <w:t xml:space="preserve"> </w:t>
      </w:r>
      <w:r>
        <w:t xml:space="preserve">loss in 40–80% of adult patients and in at least 50% of</w:t>
      </w:r>
      <w:r>
        <w:t xml:space="preserve"> </w:t>
      </w:r>
      <w:r>
        <w:t xml:space="preserve">children </w:t>
      </w:r>
      <w:r>
        <w:t xml:space="preserve">(</w:t>
      </w:r>
      <w:r>
        <w:t xml:space="preserve">Breglio et al.</w:t>
      </w:r>
      <w:r>
        <w:t xml:space="preserve"> </w:t>
      </w:r>
      <w:r>
        <w:t xml:space="preserve">2017)</w:t>
      </w:r>
      <w:r>
        <w:t xml:space="preserve">. Cochlear outer hair cells of the basal turn are</w:t>
      </w:r>
      <w:r>
        <w:t xml:space="preserve"> </w:t>
      </w:r>
      <w:r>
        <w:t xml:space="preserve">the primary targets, but damage to the stria vascularis — the structure</w:t>
      </w:r>
      <w:r>
        <w:t xml:space="preserve"> </w:t>
      </w:r>
      <w:r>
        <w:t xml:space="preserve">responsible for maintaining the endolymphatic potential — contributes</w:t>
      </w:r>
      <w:r>
        <w:t xml:space="preserve"> </w:t>
      </w:r>
      <w:r>
        <w:t xml:space="preserve">substantially to auditory dysfunction </w:t>
      </w:r>
      <w:r>
        <w:t xml:space="preserve">(</w:t>
      </w:r>
      <w:r>
        <w:t xml:space="preserve">Breglio et al.</w:t>
      </w:r>
      <w:r>
        <w:t xml:space="preserve"> </w:t>
      </w:r>
      <w:r>
        <w:t xml:space="preserve">2017; Karasawa and Steyger 2015)</w:t>
      </w:r>
      <w:r>
        <w:t xml:space="preserve">.</w:t>
      </w:r>
    </w:p>
    <w:p>
      <w:pPr>
        <w:pStyle w:val="BodyText"/>
      </w:pPr>
      <w:r>
        <w:t xml:space="preserve">A pharmacokinetic property unique to the cochlea explains its exceptional</w:t>
      </w:r>
      <w:r>
        <w:t xml:space="preserve"> </w:t>
      </w:r>
      <w:r>
        <w:t xml:space="preserve">vulnerability. Using inductively coupled plasma mass spectrometry (ICP-MS),</w:t>
      </w:r>
      <w:r>
        <w:t xml:space="preserve"> </w:t>
      </w:r>
      <w:r>
        <w:t xml:space="preserve">Breglio and colleagues demonstrated that, whereas cisplatin is detected in most</w:t>
      </w:r>
      <w:r>
        <w:t xml:space="preserve"> </w:t>
      </w:r>
      <w:r>
        <w:t xml:space="preserve">organs within one hour and cleared over days to weeks, the cochlea retains</w:t>
      </w:r>
      <w:r>
        <w:t xml:space="preserve"> </w:t>
      </w:r>
      <w:r>
        <w:t xml:space="preserve">platinum species for months to years after the end of</w:t>
      </w:r>
      <w:r>
        <w:t xml:space="preserve"> </w:t>
      </w:r>
      <w:r>
        <w:t xml:space="preserve">chemotherapy </w:t>
      </w:r>
      <w:r>
        <w:t xml:space="preserve">(</w:t>
      </w:r>
      <w:r>
        <w:t xml:space="preserve">Breglio et al.</w:t>
      </w:r>
      <w:r>
        <w:t xml:space="preserve"> </w:t>
      </w:r>
      <w:r>
        <w:t xml:space="preserve">2017)</w:t>
      </w:r>
      <w:r>
        <w:t xml:space="preserve">. During a three-cycle clinical-model regimen,</w:t>
      </w:r>
      <w:r>
        <w:t xml:space="preserve"> </w:t>
      </w:r>
      <w:r>
        <w:t xml:space="preserve">platinum accumulated progressively in the cochlea with each cycle without</w:t>
      </w:r>
      <w:r>
        <w:t xml:space="preserve"> </w:t>
      </w:r>
      <w:r>
        <w:t xml:space="preserve">intercycle clearance </w:t>
      </w:r>
      <w:r>
        <w:t xml:space="preserve">(</w:t>
      </w:r>
      <w:r>
        <w:t xml:space="preserve">Breglio et al.</w:t>
      </w:r>
      <w:r>
        <w:t xml:space="preserve"> </w:t>
      </w:r>
      <w:r>
        <w:t xml:space="preserve">2017)</w:t>
      </w:r>
      <w:r>
        <w:t xml:space="preserve">. At 60 days after the final cycle,</w:t>
      </w:r>
      <w:r>
        <w:t xml:space="preserve"> </w:t>
      </w:r>
      <w:r>
        <w:t xml:space="preserve">serum platinum had fallen by 89%, yet platinum in the stria vascularis had</w:t>
      </w:r>
      <w:r>
        <w:t xml:space="preserve"> </w:t>
      </w:r>
      <w:r>
        <w:t xml:space="preserve">decreased by only approximately 50%, the organ of Corti by approximately 39%,</w:t>
      </w:r>
      <w:r>
        <w:t xml:space="preserve"> </w:t>
      </w:r>
      <w:r>
        <w:t xml:space="preserve">and the spiral ganglion by approximately 25% </w:t>
      </w:r>
      <w:r>
        <w:t xml:space="preserve">(</w:t>
      </w:r>
      <w:r>
        <w:t xml:space="preserve">Breglio et al.</w:t>
      </w:r>
      <w:r>
        <w:t xml:space="preserve"> </w:t>
      </w:r>
      <w:r>
        <w:t xml:space="preserve">2017)</w:t>
      </w:r>
      <w:r>
        <w:t xml:space="preserve">. Postmortem</w:t>
      </w:r>
      <w:r>
        <w:t xml:space="preserve"> </w:t>
      </w:r>
      <w:r>
        <w:t xml:space="preserve">human cochlear sections retained detectable platinum at least 18 months after</w:t>
      </w:r>
      <w:r>
        <w:t xml:space="preserve"> </w:t>
      </w:r>
      <w:r>
        <w:t xml:space="preserve">the final cisplatin cycle </w:t>
      </w:r>
      <w:r>
        <w:t xml:space="preserve">(</w:t>
      </w:r>
      <w:r>
        <w:t xml:space="preserve">Breglio et al.</w:t>
      </w:r>
      <w:r>
        <w:t xml:space="preserve"> </w:t>
      </w:r>
      <w:r>
        <w:t xml:space="preserve">2017)</w:t>
      </w:r>
      <w:r>
        <w:t xml:space="preserve">. Endocochlear potentials were</w:t>
      </w:r>
      <w:r>
        <w:t xml:space="preserve"> </w:t>
      </w:r>
      <w:r>
        <w:t xml:space="preserve">significantly reduced after the first treatment cycle and remained impaired</w:t>
      </w:r>
      <w:r>
        <w:t xml:space="preserve"> </w:t>
      </w:r>
      <w:r>
        <w:t xml:space="preserve">60 days post-regimen, demonstrating that stria vascularis dysfunction precedes</w:t>
      </w:r>
      <w:r>
        <w:t xml:space="preserve"> </w:t>
      </w:r>
      <w:r>
        <w:t xml:space="preserve">and outlasts acute hair-cell loss </w:t>
      </w:r>
      <w:r>
        <w:t xml:space="preserve">(</w:t>
      </w:r>
      <w:r>
        <w:t xml:space="preserve">Breglio et al.</w:t>
      </w:r>
      <w:r>
        <w:t xml:space="preserve"> </w:t>
      </w:r>
      <w:r>
        <w:t xml:space="preserve">2017)</w:t>
      </w:r>
      <w:r>
        <w:t xml:space="preserve">.</w:t>
      </w:r>
    </w:p>
    <w:p>
      <w:pPr>
        <w:pStyle w:val="BodyText"/>
      </w:pPr>
      <w:r>
        <w:t xml:space="preserve">The molecular injury cascade within the cochlea relies heavily on oxidative</w:t>
      </w:r>
      <w:r>
        <w:t xml:space="preserve"> </w:t>
      </w:r>
      <w:r>
        <w:t xml:space="preserve">rather than direct DNA-adduct cytotoxicity: cisplatin inhibits glutathione</w:t>
      </w:r>
      <w:r>
        <w:t xml:space="preserve"> </w:t>
      </w:r>
      <w:r>
        <w:t xml:space="preserve">peroxidase, glutathione S-transferase, and superoxide dismutase, shifting the</w:t>
      </w:r>
      <w:r>
        <w:t xml:space="preserve"> </w:t>
      </w:r>
      <w:r>
        <w:t xml:space="preserve">cochlear redox state; lipid peroxidation generates 4-hydroxynonenal (4-HNE),</w:t>
      </w:r>
      <w:r>
        <w:t xml:space="preserve"> </w:t>
      </w:r>
      <w:r>
        <w:t xml:space="preserve">which induces pathological Ca</w:t>
      </w:r>
      <w:r>
        <w:rPr>
          <w:vertAlign w:val="superscript"/>
        </w:rPr>
        <w:t xml:space="preserve">2+</w:t>
      </w:r>
      <w:r>
        <w:t xml:space="preserve"> </w:t>
      </w:r>
      <w:r>
        <w:t xml:space="preserve">influx in outer hair cells</w:t>
      </w:r>
      <w:r>
        <w:t xml:space="preserve"> </w:t>
      </w:r>
      <w:r>
        <w:t xml:space="preserve">and triggers mitochondria-dependent apoptosis </w:t>
      </w:r>
      <w:r>
        <w:t xml:space="preserve">(Karasawa and Steyger 2015)</w:t>
      </w:r>
      <w:r>
        <w:t xml:space="preserve">. Hearing loss</w:t>
      </w:r>
      <w:r>
        <w:t xml:space="preserve"> </w:t>
      </w:r>
      <w:r>
        <w:t xml:space="preserve">is permanent because post-natal cochlear outer hair cells lack regenerative</w:t>
      </w:r>
      <w:r>
        <w:t xml:space="preserve"> </w:t>
      </w:r>
      <w:r>
        <w:t xml:space="preserve">capacity.</w:t>
      </w:r>
    </w:p>
    <w:p>
      <w:pPr>
        <w:pStyle w:val="BodyText"/>
      </w:pPr>
      <w:r>
        <w:t xml:space="preserve">Otoprotective strategies are under active clinical development.</w:t>
      </w:r>
      <w:r>
        <w:t xml:space="preserve"> </w:t>
      </w:r>
      <w:r>
        <w:t xml:space="preserve">The COG ACCL0431 phase III trial established that sodium thiosulfate (STS),</w:t>
      </w:r>
      <w:r>
        <w:t xml:space="preserve"> </w:t>
      </w:r>
      <w:r>
        <w:t xml:space="preserve">administered 6 hours post-cisplatin, significantly reduced hearing loss in</w:t>
      </w:r>
      <w:r>
        <w:t xml:space="preserve"> </w:t>
      </w:r>
      <w:r>
        <w:t xml:space="preserve">paediatric patients receiving cisplatin-based therapy compared with</w:t>
      </w:r>
      <w:r>
        <w:t xml:space="preserve"> </w:t>
      </w:r>
      <w:r>
        <w:t xml:space="preserve">observation </w:t>
      </w:r>
      <w:r>
        <w:t xml:space="preserve">(Freyer et al. 2017)</w:t>
      </w:r>
      <w:r>
        <w:t xml:space="preserve">. The SIOPEL 6 trial subsequently confirmed</w:t>
      </w:r>
      <w:r>
        <w:t xml:space="preserve"> </w:t>
      </w:r>
      <w:r>
        <w:t xml:space="preserve">that STS otoprotection was achievable without compromising antitumour</w:t>
      </w:r>
      <w:r>
        <w:t xml:space="preserve"> </w:t>
      </w:r>
      <w:r>
        <w:t xml:space="preserve">efficacy specifically in children with hepatoblastoma </w:t>
      </w:r>
      <w:r>
        <w:t xml:space="preserve">(Brock et al. 2018)</w:t>
      </w:r>
      <w:r>
        <w:t xml:space="preserve">,</w:t>
      </w:r>
      <w:r>
        <w:t xml:space="preserve"> </w:t>
      </w:r>
      <w:r>
        <w:t xml:space="preserve">supporting FDA approval of STS (Pedmark) for this indication in September</w:t>
      </w:r>
      <w:r>
        <w:t xml:space="preserve"> </w:t>
      </w:r>
      <w:r>
        <w:t xml:space="preserve">2022. However, direct extrapolation to adult HNSCC raises a substantive</w:t>
      </w:r>
      <w:r>
        <w:t xml:space="preserve"> </w:t>
      </w:r>
      <w:r>
        <w:t xml:space="preserve">concern: STS binds and inactivates extracellular cisplatin, and preclinical</w:t>
      </w:r>
      <w:r>
        <w:t xml:space="preserve"> </w:t>
      </w:r>
      <w:r>
        <w:t xml:space="preserve">data suggest that systemic STS may reduce tumour cisplatin exposure. In</w:t>
      </w:r>
      <w:r>
        <w:t xml:space="preserve"> </w:t>
      </w:r>
      <w:r>
        <w:t xml:space="preserve">adult HNSCC — where cisplatin serves as a radiosensitiser against</w:t>
      </w:r>
      <w:r>
        <w:t xml:space="preserve"> </w:t>
      </w:r>
      <w:r>
        <w:t xml:space="preserve">locoregional disease rather than a solely systemic agent — the risk of</w:t>
      </w:r>
      <w:r>
        <w:t xml:space="preserve"> </w:t>
      </w:r>
      <w:r>
        <w:t xml:space="preserve">antitumour antagonism has substantially limited STS adoption and explains</w:t>
      </w:r>
      <w:r>
        <w:t xml:space="preserve"> </w:t>
      </w:r>
      <w:r>
        <w:t xml:space="preserve">why the cochlear platinum retention documented by Breglio et al. remains</w:t>
      </w:r>
      <w:r>
        <w:t xml:space="preserve"> </w:t>
      </w:r>
      <w:r>
        <w:t xml:space="preserve">an unresolved clinical problem in this population </w:t>
      </w:r>
      <w:r>
        <w:t xml:space="preserve">(</w:t>
      </w:r>
      <w:r>
        <w:t xml:space="preserve">Breglio et al.</w:t>
      </w:r>
      <w:r>
        <w:t xml:space="preserve"> </w:t>
      </w:r>
      <w:r>
        <w:t xml:space="preserve">2017)</w:t>
      </w:r>
      <w:r>
        <w:t xml:space="preserve">.</w:t>
      </w:r>
    </w:p>
    <w:bookmarkEnd w:id="20"/>
    <w:bookmarkStart w:id="21" w:name="oral-mucositis"/>
    <w:p>
      <w:pPr>
        <w:pStyle w:val="Heading2"/>
      </w:pPr>
      <w:r>
        <w:t xml:space="preserve">Oral mucositis</w:t>
      </w:r>
    </w:p>
    <w:p>
      <w:pPr>
        <w:pStyle w:val="FirstParagraph"/>
      </w:pPr>
      <w:r>
        <w:t xml:space="preserve">Oral mucositis is the toxicity most directly visible in the OSCC/HNSCC</w:t>
      </w:r>
      <w:r>
        <w:t xml:space="preserve"> </w:t>
      </w:r>
      <w:r>
        <w:t xml:space="preserve">treatment field. It occurs in approximately 20–40% of patients receiving</w:t>
      </w:r>
      <w:r>
        <w:t xml:space="preserve"> </w:t>
      </w:r>
      <w:r>
        <w:t xml:space="preserve">conventional chemotherapy and in nearly all patients undergoing head and neck</w:t>
      </w:r>
      <w:r>
        <w:t xml:space="preserve"> </w:t>
      </w:r>
      <w:r>
        <w:t xml:space="preserve">radiation therapy </w:t>
      </w:r>
      <w:r>
        <w:t xml:space="preserve">(</w:t>
      </w:r>
      <w:r>
        <w:t xml:space="preserve">Lalla et al.</w:t>
      </w:r>
      <w:r>
        <w:t xml:space="preserve"> </w:t>
      </w:r>
      <w:r>
        <w:t xml:space="preserve">2014)</w:t>
      </w:r>
      <w:r>
        <w:t xml:space="preserve">. Its clinical impact is disproportionate:</w:t>
      </w:r>
      <w:r>
        <w:t xml:space="preserve"> </w:t>
      </w:r>
      <w:r>
        <w:t xml:space="preserve">pain requiring parenteral opioids, dysphagia mandating enteral nutrition, and</w:t>
      </w:r>
      <w:r>
        <w:t xml:space="preserve"> </w:t>
      </w:r>
      <w:r>
        <w:t xml:space="preserve">mucositis-driven treatment interruptions are consistent predictors of inferior</w:t>
      </w:r>
      <w:r>
        <w:t xml:space="preserve"> </w:t>
      </w:r>
      <w:r>
        <w:t xml:space="preserve">treatment completion and adverse outcomes in HNSCC </w:t>
      </w:r>
      <w:r>
        <w:t xml:space="preserve">(Sonis 2004;</w:t>
      </w:r>
      <w:r>
        <w:t xml:space="preserve"> </w:t>
      </w:r>
      <w:r>
        <w:t xml:space="preserve">Lalla et al.</w:t>
      </w:r>
      <w:r>
        <w:t xml:space="preserve"> </w:t>
      </w:r>
      <w:r>
        <w:t xml:space="preserve">2014)</w:t>
      </w:r>
      <w:r>
        <w:t xml:space="preserve">.</w:t>
      </w:r>
    </w:p>
    <w:p>
      <w:pPr>
        <w:pStyle w:val="BodyText"/>
      </w:pPr>
      <w:r>
        <w:t xml:space="preserve">Sonis proposed a five-stage mechanistic model that remains the field’s</w:t>
      </w:r>
      <w:r>
        <w:t xml:space="preserve"> </w:t>
      </w:r>
      <w:r>
        <w:t xml:space="preserve">organising framework </w:t>
      </w:r>
      <w:r>
        <w:t xml:space="preserve">(Sonis 2004)</w:t>
      </w:r>
      <w:r>
        <w:t xml:space="preserve">. In the</w:t>
      </w:r>
      <w:r>
        <w:t xml:space="preserve"> </w:t>
      </w:r>
      <w:r>
        <w:rPr>
          <w:i/>
          <w:iCs/>
        </w:rPr>
        <w:t xml:space="preserve">initiation</w:t>
      </w:r>
      <w:r>
        <w:t xml:space="preserve"> </w:t>
      </w:r>
      <w:r>
        <w:t xml:space="preserve">stage,</w:t>
      </w:r>
      <w:r>
        <w:t xml:space="preserve"> </w:t>
      </w:r>
      <w:r>
        <w:t xml:space="preserve">chemotherapy and radiation produce DNA strand breaks in basal epithelial cells</w:t>
      </w:r>
      <w:r>
        <w:t xml:space="preserve"> </w:t>
      </w:r>
      <w:r>
        <w:t xml:space="preserve">and submucosal fibroblasts while reactive oxygen species initiate additional</w:t>
      </w:r>
      <w:r>
        <w:t xml:space="preserve"> </w:t>
      </w:r>
      <w:r>
        <w:t xml:space="preserve">non-DNA injury. The</w:t>
      </w:r>
      <w:r>
        <w:t xml:space="preserve"> </w:t>
      </w:r>
      <w:r>
        <w:rPr>
          <w:i/>
          <w:iCs/>
        </w:rPr>
        <w:t xml:space="preserve">primary damage response</w:t>
      </w:r>
      <w:r>
        <w:t xml:space="preserve"> </w:t>
      </w:r>
      <w:r>
        <w:t xml:space="preserve">stage is characterised by</w:t>
      </w:r>
      <w:r>
        <w:t xml:space="preserve"> </w:t>
      </w:r>
      <w:r>
        <w:t xml:space="preserve">p53 activation and robust NF-</w:t>
      </w:r>
      <m:oMath>
        <m:r>
          <m:t>κ</m:t>
        </m:r>
      </m:oMath>
      <w:r>
        <w:t xml:space="preserve">B induction; NF-</w:t>
      </w:r>
      <m:oMath>
        <m:r>
          <m:t>κ</m:t>
        </m:r>
      </m:oMath>
      <w:r>
        <w:t xml:space="preserve">B can upregulate</w:t>
      </w:r>
      <w:r>
        <w:t xml:space="preserve"> </w:t>
      </w:r>
      <w:r>
        <w:t xml:space="preserve">up to 200 downstream genes, including those encoding TNF-</w:t>
      </w:r>
      <m:oMath>
        <m:r>
          <m:t>α</m:t>
        </m:r>
      </m:oMath>
      <w:r>
        <w:t xml:space="preserve">,</w:t>
      </w:r>
      <w:r>
        <w:t xml:space="preserve"> </w:t>
      </w:r>
      <w:r>
        <w:t xml:space="preserve">IL-1</w:t>
      </w:r>
      <m:oMath>
        <m:r>
          <m:t>β</m:t>
        </m:r>
      </m:oMath>
      <w:r>
        <w:t xml:space="preserve">, and IL-6 </w:t>
      </w:r>
      <w:r>
        <w:t xml:space="preserve">(Sonis 2004)</w:t>
      </w:r>
      <w:r>
        <w:t xml:space="preserve">. During</w:t>
      </w:r>
      <w:r>
        <w:t xml:space="preserve"> </w:t>
      </w:r>
      <w:r>
        <w:rPr>
          <w:i/>
          <w:iCs/>
        </w:rPr>
        <w:t xml:space="preserve">signal amplification</w:t>
      </w:r>
      <w:r>
        <w:t xml:space="preserve">,</w:t>
      </w:r>
      <w:r>
        <w:t xml:space="preserve"> </w:t>
      </w:r>
      <w:r>
        <w:t xml:space="preserve">these cytokines activate the MAPK, JNK, and COX-2 pathways; TNF-</w:t>
      </w:r>
      <m:oMath>
        <m:r>
          <m:t>α</m:t>
        </m:r>
      </m:oMath>
      <w:r>
        <w:t xml:space="preserve"> </w:t>
      </w:r>
      <w:r>
        <w:t xml:space="preserve">induces matrix metalloproteinases MMP1 and MMP3 that degrade the submucosal</w:t>
      </w:r>
      <w:r>
        <w:t xml:space="preserve"> </w:t>
      </w:r>
      <w:r>
        <w:t xml:space="preserve">extracellular matrix, and ceramide generated through sphingomyelinase activation</w:t>
      </w:r>
      <w:r>
        <w:t xml:space="preserve"> </w:t>
      </w:r>
      <w:r>
        <w:t xml:space="preserve">promotes fibroblast and endothelial apoptosis </w:t>
      </w:r>
      <w:r>
        <w:t xml:space="preserve">(Sonis 2004)</w:t>
      </w:r>
      <w:r>
        <w:t xml:space="preserve">. The</w:t>
      </w:r>
      <w:r>
        <w:t xml:space="preserve"> </w:t>
      </w:r>
      <w:r>
        <w:rPr>
          <w:i/>
          <w:iCs/>
        </w:rPr>
        <w:t xml:space="preserve">ulcerative</w:t>
      </w:r>
      <w:r>
        <w:t xml:space="preserve"> </w:t>
      </w:r>
      <w:r>
        <w:t xml:space="preserve">stage, developing approximately 10 days after a stomatotoxic</w:t>
      </w:r>
      <w:r>
        <w:t xml:space="preserve"> </w:t>
      </w:r>
      <w:r>
        <w:t xml:space="preserve">chemotherapy cycle, is the most clinically significant: epithelial integrity</w:t>
      </w:r>
      <w:r>
        <w:t xml:space="preserve"> </w:t>
      </w:r>
      <w:r>
        <w:t xml:space="preserve">fails, bacteria colonise the ulcer bed, and in neutropenic patients the portal</w:t>
      </w:r>
      <w:r>
        <w:t xml:space="preserve"> </w:t>
      </w:r>
      <w:r>
        <w:t xml:space="preserve">bacteraemia represents a life-threatening complication </w:t>
      </w:r>
      <w:r>
        <w:t xml:space="preserve">(Sonis 2004)</w:t>
      </w:r>
      <w:r>
        <w:t xml:space="preserve">.</w:t>
      </w:r>
      <w:r>
        <w:t xml:space="preserve"> </w:t>
      </w:r>
      <w:r>
        <w:rPr>
          <w:i/>
          <w:iCs/>
        </w:rPr>
        <w:t xml:space="preserve">Healing</w:t>
      </w:r>
      <w:r>
        <w:t xml:space="preserve"> </w:t>
      </w:r>
      <w:r>
        <w:t xml:space="preserve">occurs 2–3 weeks after cessation of the offending therapy,</w:t>
      </w:r>
      <w:r>
        <w:t xml:space="preserve"> </w:t>
      </w:r>
      <w:r>
        <w:t xml:space="preserve">driven by extracellular matrix signals governing epithelial cell migration and</w:t>
      </w:r>
      <w:r>
        <w:t xml:space="preserve"> </w:t>
      </w:r>
      <w:r>
        <w:t xml:space="preserve">differentiation </w:t>
      </w:r>
      <w:r>
        <w:t xml:space="preserve">(Sonis 2004)</w:t>
      </w:r>
      <w:r>
        <w:t xml:space="preserve">.</w:t>
      </w:r>
    </w:p>
    <w:bookmarkEnd w:id="21"/>
    <w:bookmarkStart w:id="22" w:name="nausea-and-vomiting"/>
    <w:p>
      <w:pPr>
        <w:pStyle w:val="Heading2"/>
      </w:pPr>
      <w:r>
        <w:t xml:space="preserve">Nausea and vomiting</w:t>
      </w:r>
    </w:p>
    <w:p>
      <w:pPr>
        <w:pStyle w:val="FirstParagraph"/>
      </w:pPr>
      <w:r>
        <w:t xml:space="preserve">Cisplatin is classified as a highly emetogenic chemotherapy agent </w:t>
      </w:r>
      <w:r>
        <w:t xml:space="preserve">(</w:t>
      </w:r>
      <w:r>
        <w:t xml:space="preserve">Basch et al.</w:t>
      </w:r>
      <w:r>
        <w:t xml:space="preserve"> </w:t>
      </w:r>
      <w:r>
        <w:t xml:space="preserve">2011)</w:t>
      </w:r>
      <w:r>
        <w:t xml:space="preserve">.</w:t>
      </w:r>
      <w:r>
        <w:t xml:space="preserve"> </w:t>
      </w:r>
      <w:r>
        <w:t xml:space="preserve">Acute emesis (</w:t>
      </w:r>
      <m:oMath>
        <m:r>
          <m:rPr>
            <m:sty m:val="p"/>
          </m:rPr>
          <m:t>≤</m:t>
        </m:r>
      </m:oMath>
      <w:r>
        <w:t xml:space="preserve">24 hours) is driven by cisplatin-induced serotonin release</w:t>
      </w:r>
      <w:r>
        <w:t xml:space="preserve"> </w:t>
      </w:r>
      <w:r>
        <w:t xml:space="preserve">from intestinal enterochromaffin cells, activating vagal 5-HT</w:t>
      </w:r>
      <w:r>
        <w:rPr>
          <w:vertAlign w:val="subscript"/>
        </w:rPr>
        <w:t xml:space="preserve">3</w:t>
      </w:r>
      <w:r>
        <w:t xml:space="preserve"> </w:t>
      </w:r>
      <w:r>
        <w:t xml:space="preserve">receptors and relaying the emetic signal to the nucleus tractus solitarius;</w:t>
      </w:r>
      <w:r>
        <w:t xml:space="preserve"> </w:t>
      </w:r>
      <w:r>
        <w:t xml:space="preserve">delayed emesis (</w:t>
      </w:r>
      <m:oMath>
        <m:r>
          <m:rPr>
            <m:sty m:val="p"/>
          </m:rPr>
          <m:t>&gt;</m:t>
        </m:r>
      </m:oMath>
      <w:r>
        <w:t xml:space="preserve">24 hours) is mediated predominantly by the</w:t>
      </w:r>
      <w:r>
        <w:t xml:space="preserve"> </w:t>
      </w:r>
      <w:r>
        <w:t xml:space="preserve">NK</w:t>
      </w:r>
      <w:r>
        <w:rPr>
          <w:vertAlign w:val="subscript"/>
        </w:rPr>
        <w:t xml:space="preserve">1</w:t>
      </w:r>
      <w:r>
        <w:t xml:space="preserve">/substance P pathway acting at the area</w:t>
      </w:r>
      <w:r>
        <w:t xml:space="preserve"> </w:t>
      </w:r>
      <w:r>
        <w:t xml:space="preserve">postrema </w:t>
      </w:r>
      <w:r>
        <w:t xml:space="preserve">(</w:t>
      </w:r>
      <w:r>
        <w:t xml:space="preserve">Basch et al.</w:t>
      </w:r>
      <w:r>
        <w:t xml:space="preserve"> </w:t>
      </w:r>
      <w:r>
        <w:t xml:space="preserve">2011)</w:t>
      </w:r>
      <w:r>
        <w:t xml:space="preserve">. Contemporary prophylaxis combining a</w:t>
      </w:r>
      <w:r>
        <w:t xml:space="preserve"> </w:t>
      </w:r>
      <w:r>
        <w:t xml:space="preserve">5-HT</w:t>
      </w:r>
      <w:r>
        <w:rPr>
          <w:vertAlign w:val="subscript"/>
        </w:rPr>
        <w:t xml:space="preserve">3</w:t>
      </w:r>
      <w:r>
        <w:t xml:space="preserve"> </w:t>
      </w:r>
      <w:r>
        <w:t xml:space="preserve">receptor antagonist, an NK</w:t>
      </w:r>
      <w:r>
        <w:rPr>
          <w:vertAlign w:val="subscript"/>
        </w:rPr>
        <w:t xml:space="preserve">1</w:t>
      </w:r>
      <w:r>
        <w:t xml:space="preserve"> </w:t>
      </w:r>
      <w:r>
        <w:t xml:space="preserve">receptor</w:t>
      </w:r>
      <w:r>
        <w:t xml:space="preserve"> </w:t>
      </w:r>
      <w:r>
        <w:t xml:space="preserve">antagonist, and dexamethasone substantially controls acute emesis, but delayed</w:t>
      </w:r>
      <w:r>
        <w:t xml:space="preserve"> </w:t>
      </w:r>
      <w:r>
        <w:t xml:space="preserve">nausea remains incompletely suppressed in a significant proportion of</w:t>
      </w:r>
      <w:r>
        <w:t xml:space="preserve"> </w:t>
      </w:r>
      <w:r>
        <w:t xml:space="preserve">patients </w:t>
      </w:r>
      <w:r>
        <w:t xml:space="preserve">(</w:t>
      </w:r>
      <w:r>
        <w:t xml:space="preserve">Basch et al.</w:t>
      </w:r>
      <w:r>
        <w:t xml:space="preserve"> </w:t>
      </w:r>
      <w:r>
        <w:t xml:space="preserve">2011;</w:t>
      </w:r>
      <w:r>
        <w:t xml:space="preserve"> </w:t>
      </w:r>
      <w:r>
        <w:t xml:space="preserve">Aapro et al.</w:t>
      </w:r>
      <w:r>
        <w:t xml:space="preserve"> </w:t>
      </w:r>
      <w:r>
        <w:t xml:space="preserve">2016)</w:t>
      </w:r>
      <w:r>
        <w:t xml:space="preserve">.</w:t>
      </w:r>
    </w:p>
    <w:bookmarkEnd w:id="22"/>
    <w:bookmarkStart w:id="23" w:name="peripheral-neuropathy"/>
    <w:p>
      <w:pPr>
        <w:pStyle w:val="Heading2"/>
      </w:pPr>
      <w:r>
        <w:t xml:space="preserve">Peripheral neuropathy</w:t>
      </w:r>
    </w:p>
    <w:p>
      <w:pPr>
        <w:pStyle w:val="FirstParagraph"/>
      </w:pPr>
      <w:r>
        <w:t xml:space="preserve">Cisplatin-induced peripheral neuropathy (CIPN) is predominantly sensory,</w:t>
      </w:r>
      <w:r>
        <w:t xml:space="preserve"> </w:t>
      </w:r>
      <w:r>
        <w:t xml:space="preserve">manifesting as a length-dependent, symmetrical</w:t>
      </w:r>
      <w:r>
        <w:t xml:space="preserve"> </w:t>
      </w:r>
      <w:r>
        <w:t xml:space="preserve">“glove-and-stocking”</w:t>
      </w:r>
      <w:r>
        <w:t xml:space="preserve"> </w:t>
      </w:r>
      <w:r>
        <w:t xml:space="preserve">distribution of paraesthesias, dysaesthesias, and numbness </w:t>
      </w:r>
      <w:r>
        <w:t xml:space="preserve">(Park et al. 2013)</w:t>
      </w:r>
      <w:r>
        <w:t xml:space="preserve">.</w:t>
      </w:r>
      <w:r>
        <w:t xml:space="preserve"> </w:t>
      </w:r>
      <w:r>
        <w:t xml:space="preserve">Cumulative dose is the primary risk determinant, with clinically significant</w:t>
      </w:r>
      <w:r>
        <w:t xml:space="preserve"> </w:t>
      </w:r>
      <w:r>
        <w:t xml:space="preserve">neuropathy typically emerging above approximately 350 mg m</w:t>
      </w:r>
      <m:oMath>
        <m:sSup>
          <m:e>
            <m:r>
              <m:t>​</m:t>
            </m:r>
          </m:e>
          <m:sup>
            <m:r>
              <m:rPr>
                <m:sty m:val="p"/>
              </m:rPr>
              <m:t>−</m:t>
            </m:r>
            <m:r>
              <m:t>2</m:t>
            </m:r>
          </m:sup>
        </m:sSup>
      </m:oMath>
      <w:r>
        <w:t xml:space="preserve"> </w:t>
      </w:r>
      <w:r>
        <w:t xml:space="preserve">cumulative </w:t>
      </w:r>
      <w:r>
        <w:t xml:space="preserve">(Park et al. 2013)</w:t>
      </w:r>
      <w:r>
        <w:t xml:space="preserve">. Platinum compounds preferentially accumulate in</w:t>
      </w:r>
      <w:r>
        <w:t xml:space="preserve"> </w:t>
      </w:r>
      <w:r>
        <w:t xml:space="preserve">dorsal root ganglion (DRG) neurons, which are particularly vulnerable because</w:t>
      </w:r>
      <w:r>
        <w:t xml:space="preserve"> </w:t>
      </w:r>
      <w:r>
        <w:t xml:space="preserve">the blood–nerve barrier provides substantially less protection at the DRG</w:t>
      </w:r>
      <w:r>
        <w:t xml:space="preserve"> </w:t>
      </w:r>
      <w:r>
        <w:t xml:space="preserve">than at peripheral nerve trunks; platinum–DNA adduct formation in sensory</w:t>
      </w:r>
      <w:r>
        <w:t xml:space="preserve"> </w:t>
      </w:r>
      <w:r>
        <w:t xml:space="preserve">neuron nuclei drives cell death </w:t>
      </w:r>
      <w:r>
        <w:t xml:space="preserve">(Park et al. 2013)</w:t>
      </w:r>
      <w:r>
        <w:t xml:space="preserve">. Mitochondrial dysfunction</w:t>
      </w:r>
      <w:r>
        <w:t xml:space="preserve"> </w:t>
      </w:r>
      <w:r>
        <w:t xml:space="preserve">contributes an additional axonal injury component. A clinically important</w:t>
      </w:r>
      <w:r>
        <w:t xml:space="preserve"> </w:t>
      </w:r>
      <w:r>
        <w:t xml:space="preserve">feature is the</w:t>
      </w:r>
      <w:r>
        <w:t xml:space="preserve"> </w:t>
      </w:r>
      <w:r>
        <w:t xml:space="preserve">“coasting”</w:t>
      </w:r>
      <w:r>
        <w:t xml:space="preserve"> </w:t>
      </w:r>
      <w:r>
        <w:t xml:space="preserve">phenomenon: neuropathic symptoms may continue</w:t>
      </w:r>
      <w:r>
        <w:t xml:space="preserve"> </w:t>
      </w:r>
      <w:r>
        <w:t xml:space="preserve">to worsen for months after the final cisplatin dose as the full extent of DRG</w:t>
      </w:r>
      <w:r>
        <w:t xml:space="preserve"> </w:t>
      </w:r>
      <w:r>
        <w:t xml:space="preserve">damage becomes manifest </w:t>
      </w:r>
      <w:r>
        <w:t xml:space="preserve">(Park et al. 2013)</w:t>
      </w:r>
      <w:r>
        <w:t xml:space="preserve">. Persistent CIPN affects up to 40% of cancer survivors following</w:t>
      </w:r>
      <w:r>
        <w:t xml:space="preserve"> </w:t>
      </w:r>
      <w:r>
        <w:t xml:space="preserve">platinum-based treatment </w:t>
      </w:r>
      <w:r>
        <w:t xml:space="preserve">(Park et al. 2013)</w:t>
      </w:r>
      <w:r>
        <w:t xml:space="preserve">; however, in HNSCC practice the</w:t>
      </w:r>
      <w:r>
        <w:t xml:space="preserve"> </w:t>
      </w:r>
      <w:r>
        <w:t xml:space="preserve">typical cumulative cisplatin dose (200–300 mg m</w:t>
      </w:r>
      <m:oMath>
        <m:sSup>
          <m:e>
            <m:r>
              <m:t>​</m:t>
            </m:r>
          </m:e>
          <m:sup>
            <m:r>
              <m:rPr>
                <m:sty m:val="p"/>
              </m:rPr>
              <m:t>−</m:t>
            </m:r>
            <m:r>
              <m:t>2</m:t>
            </m:r>
          </m:sup>
        </m:sSup>
      </m:oMath>
      <w:r>
        <w:t xml:space="preserve">) remains below</w:t>
      </w:r>
      <w:r>
        <w:t xml:space="preserve"> </w:t>
      </w:r>
      <w:r>
        <w:t xml:space="preserve">the classical neuropathy threshold of approximately 350 mg m</w:t>
      </w:r>
      <m:oMath>
        <m:sSup>
          <m:e>
            <m:r>
              <m:t>​</m:t>
            </m:r>
          </m:e>
          <m:sup>
            <m:r>
              <m:rPr>
                <m:sty m:val="p"/>
              </m:rPr>
              <m:t>−</m:t>
            </m:r>
            <m:r>
              <m:t>2</m:t>
            </m:r>
          </m:sup>
        </m:sSup>
      </m:oMath>
      <w:r>
        <w:t xml:space="preserve"> </w:t>
      </w:r>
      <w:r>
        <w:t xml:space="preserve">established in testicular and ovarian cancer series </w:t>
      </w:r>
      <w:r>
        <w:t xml:space="preserve">(Strojan et al. 2016)</w:t>
      </w:r>
      <w:r>
        <w:t xml:space="preserve">,</w:t>
      </w:r>
      <w:r>
        <w:t xml:space="preserve"> </w:t>
      </w:r>
      <w:r>
        <w:t xml:space="preserve">making severe CIPN less prevalent in this population than</w:t>
      </w:r>
      <w:r>
        <w:t xml:space="preserve"> </w:t>
      </w:r>
      <w:r>
        <w:t xml:space="preserve">nephro-, oto-, or mucosa-toxicity.</w:t>
      </w:r>
    </w:p>
    <w:bookmarkEnd w:id="23"/>
    <w:bookmarkStart w:id="24" w:name="myelosuppression"/>
    <w:p>
      <w:pPr>
        <w:pStyle w:val="Heading2"/>
      </w:pPr>
      <w:r>
        <w:t xml:space="preserve">Myelosuppression</w:t>
      </w:r>
    </w:p>
    <w:p>
      <w:pPr>
        <w:pStyle w:val="FirstParagraph"/>
      </w:pPr>
      <w:r>
        <w:t xml:space="preserve">Cisplatin monotherapy produces modest myelosuppression relative to alkylating</w:t>
      </w:r>
      <w:r>
        <w:t xml:space="preserve"> </w:t>
      </w:r>
      <w:r>
        <w:t xml:space="preserve">agents. In HNSCC chemoradiotherapy practice, however, cisplatin is frequently</w:t>
      </w:r>
      <w:r>
        <w:t xml:space="preserve"> </w:t>
      </w:r>
      <w:r>
        <w:t xml:space="preserve">combined with fluorouracil, a taxane, or cetuximab, and cumulative</w:t>
      </w:r>
      <w:r>
        <w:t xml:space="preserve"> </w:t>
      </w:r>
      <w:r>
        <w:t xml:space="preserve">haematopoietic progenitor injury contributes to dose reductions, treatment</w:t>
      </w:r>
      <w:r>
        <w:t xml:space="preserve"> </w:t>
      </w:r>
      <w:r>
        <w:t xml:space="preserve">delays, and infection risk in these combination</w:t>
      </w:r>
      <w:r>
        <w:t xml:space="preserve"> </w:t>
      </w:r>
      <w:r>
        <w:t xml:space="preserve">settings </w:t>
      </w:r>
      <w:r>
        <w:t xml:space="preserve">(Szturz et al. 2017)</w:t>
      </w:r>
      <w:r>
        <w:t xml:space="preserve">.</w:t>
      </w:r>
    </w:p>
    <w:bookmarkEnd w:id="24"/>
    <w:bookmarkStart w:id="25" w:name="X5afc2b20d06854ab8c8a52ea78a0968fd9dcc73"/>
    <w:p>
      <w:pPr>
        <w:pStyle w:val="Heading2"/>
      </w:pPr>
      <w:r>
        <w:t xml:space="preserve">Converging mechanisms and the rationale for timing</w:t>
      </w:r>
    </w:p>
    <w:p>
      <w:pPr>
        <w:pStyle w:val="FirstParagraph"/>
      </w:pPr>
      <w:r>
        <w:t xml:space="preserve">Across all of these toxicity domains, a unifying pattern emerges: cisplatin</w:t>
      </w:r>
      <w:r>
        <w:t xml:space="preserve"> </w:t>
      </w:r>
      <w:r>
        <w:t xml:space="preserve">injury severity is determined not merely by dose, but by the tissue-specific</w:t>
      </w:r>
      <w:r>
        <w:t xml:space="preserve"> </w:t>
      </w:r>
      <w:r>
        <w:t xml:space="preserve">intersection of platinum uptake capacity, DNA adduct accumulation relative to</w:t>
      </w:r>
      <w:r>
        <w:t xml:space="preserve"> </w:t>
      </w:r>
      <w:r>
        <w:t xml:space="preserve">repair competence, reactive oxygen species load relative to antioxidant</w:t>
      </w:r>
      <w:r>
        <w:t xml:space="preserve"> </w:t>
      </w:r>
      <w:r>
        <w:t xml:space="preserve">buffering, and the regenerative reserve of the affected cell population. Each</w:t>
      </w:r>
      <w:r>
        <w:t xml:space="preserve"> </w:t>
      </w:r>
      <w:r>
        <w:t xml:space="preserve">of these determinants is physiologically regulated and therefore potentially</w:t>
      </w:r>
      <w:r>
        <w:t xml:space="preserve"> </w:t>
      </w:r>
      <w:r>
        <w:t xml:space="preserve">time-dependent. The circadian clock exerts documented control over transporter</w:t>
      </w:r>
      <w:r>
        <w:t xml:space="preserve"> </w:t>
      </w:r>
      <w:r>
        <w:t xml:space="preserve">expression, nucleotide excision repair activity, glutathione redox cycling, and</w:t>
      </w:r>
      <w:r>
        <w:t xml:space="preserve"> </w:t>
      </w:r>
      <w:r>
        <w:t xml:space="preserve">mucosal epithelial proliferation — the molecular processes that appear, organ</w:t>
      </w:r>
      <w:r>
        <w:t xml:space="preserve"> </w:t>
      </w:r>
      <w:r>
        <w:t xml:space="preserve">by organ, in the injury mechanisms described above. Section </w:t>
      </w:r>
      <w:hyperlink w:anchor="sec:gates">
        <w:r>
          <w:rPr>
            <w:rStyle w:val="Hyperlink"/>
          </w:rPr>
          <w:t xml:space="preserve">5</w:t>
        </w:r>
      </w:hyperlink>
      <w:r>
        <w:t xml:space="preserve"> </w:t>
      </w:r>
      <w:r>
        <w:t xml:space="preserve">examines the evidence that these processes oscillate with a periodicity</w:t>
      </w:r>
      <w:r>
        <w:t xml:space="preserve"> </w:t>
      </w:r>
      <w:r>
        <w:t xml:space="preserve">clinically relevant to cisplatin administration.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Toxicity</w:t>
            </w:r>
          </w:p>
        </w:tc>
        <w:tc>
          <w:tcPr/>
          <w:p>
            <w:pPr>
              <w:pStyle w:val="Compact"/>
              <w:jc w:val="left"/>
            </w:pPr>
            <w:r>
              <w:rPr>
                <w:b/>
                <w:bCs/>
              </w:rPr>
              <w:t xml:space="preserve">Target tissue</w:t>
            </w:r>
          </w:p>
        </w:tc>
        <w:tc>
          <w:tcPr/>
          <w:p>
            <w:pPr>
              <w:pStyle w:val="Compact"/>
              <w:jc w:val="left"/>
            </w:pPr>
            <w:r>
              <w:rPr>
                <w:b/>
                <w:bCs/>
              </w:rPr>
              <w:t xml:space="preserve">Access route</w:t>
            </w:r>
          </w:p>
        </w:tc>
        <w:tc>
          <w:tcPr/>
          <w:p>
            <w:pPr>
              <w:pStyle w:val="Compact"/>
              <w:jc w:val="left"/>
            </w:pPr>
            <w:r>
              <w:rPr>
                <w:b/>
                <w:bCs/>
              </w:rPr>
              <w:t xml:space="preserve">Injury mechanisms</w:t>
            </w:r>
          </w:p>
        </w:tc>
        <w:tc>
          <w:tcPr/>
          <w:p>
            <w:pPr>
              <w:pStyle w:val="Compact"/>
              <w:jc w:val="left"/>
            </w:pPr>
            <w:r>
              <w:rPr>
                <w:b/>
                <w:bCs/>
              </w:rPr>
              <w:t xml:space="preserve">Potential timing gate</w:t>
            </w:r>
          </w:p>
        </w:tc>
        <w:tc>
          <w:tcPr/>
          <w:p>
            <w:pPr>
              <w:pStyle w:val="Compact"/>
              <w:jc w:val="left"/>
            </w:pPr>
            <w:r>
              <w:rPr>
                <w:b/>
                <w:bCs/>
              </w:rPr>
              <w:t xml:space="preserve">Clinical relevance</w:t>
            </w:r>
          </w:p>
        </w:tc>
      </w:tr>
      <w:tr>
        <w:tc>
          <w:tcPr/>
          <w:p>
            <w:pPr>
              <w:pStyle w:val="Compact"/>
              <w:jc w:val="left"/>
            </w:pPr>
            <w:r>
              <w:t xml:space="preserve">Nephrotoxicity</w:t>
            </w:r>
          </w:p>
        </w:tc>
        <w:tc>
          <w:tcPr/>
          <w:p>
            <w:pPr>
              <w:pStyle w:val="Compact"/>
              <w:jc w:val="left"/>
            </w:pPr>
            <w:r>
              <w:t xml:space="preserve">Proximal tubular cells (S3 segment)</w:t>
            </w:r>
          </w:p>
        </w:tc>
        <w:tc>
          <w:tcPr/>
          <w:p>
            <w:pPr>
              <w:pStyle w:val="Compact"/>
              <w:jc w:val="left"/>
            </w:pPr>
            <w:r>
              <w:t xml:space="preserve">OCT2, CTR1</w:t>
            </w:r>
          </w:p>
        </w:tc>
        <w:tc>
          <w:tcPr/>
          <w:p>
            <w:pPr>
              <w:pStyle w:val="Compact"/>
              <w:jc w:val="left"/>
            </w:pPr>
            <w:r>
              <w:t xml:space="preserve">DNA damage, ROS, mitochondrial injury, p53–PUMA/BAX apoptosis,</w:t>
            </w:r>
            <w:r>
              <w:t xml:space="preserve"> </w:t>
            </w:r>
            <w:r>
              <w:t xml:space="preserve">inflammation, tubular biomarker elevation</w:t>
            </w:r>
          </w:p>
        </w:tc>
        <w:tc>
          <w:tcPr/>
          <w:p>
            <w:pPr>
              <w:pStyle w:val="Compact"/>
              <w:jc w:val="left"/>
            </w:pPr>
            <w:r>
              <w:t xml:space="preserve">OCT2-mediated uptake, XPA/NER repair, BMAL1-linked renal injury</w:t>
            </w:r>
          </w:p>
        </w:tc>
        <w:tc>
          <w:tcPr/>
          <w:p>
            <w:pPr>
              <w:pStyle w:val="Compact"/>
              <w:jc w:val="left"/>
            </w:pPr>
            <w:r>
              <w:t xml:space="preserve">Dose-limiting; GFR decline, treatment delay</w:t>
            </w:r>
          </w:p>
        </w:tc>
      </w:tr>
      <w:tr>
        <w:tc>
          <w:tcPr/>
          <w:p>
            <w:pPr>
              <w:pStyle w:val="Compact"/>
              <w:jc w:val="left"/>
            </w:pPr>
            <w:r>
              <w:t xml:space="preserve">Ototoxicity</w:t>
            </w:r>
          </w:p>
        </w:tc>
        <w:tc>
          <w:tcPr/>
          <w:p>
            <w:pPr>
              <w:pStyle w:val="Compact"/>
              <w:jc w:val="left"/>
            </w:pPr>
            <w:r>
              <w:t xml:space="preserve">Cochlear outer hair cells, stria vascularis</w:t>
            </w:r>
          </w:p>
        </w:tc>
        <w:tc>
          <w:tcPr/>
          <w:p>
            <w:pPr>
              <w:pStyle w:val="Compact"/>
              <w:jc w:val="left"/>
            </w:pPr>
            <w:r>
              <w:t xml:space="preserve">OCT2-related accumulation</w:t>
            </w:r>
          </w:p>
        </w:tc>
        <w:tc>
          <w:tcPr/>
          <w:p>
            <w:pPr>
              <w:pStyle w:val="Compact"/>
              <w:jc w:val="left"/>
            </w:pPr>
            <w:r>
              <w:t xml:space="preserve">ROS, mitochondrial dysfunction, irreversible hair-cell apoptosis</w:t>
            </w:r>
          </w:p>
        </w:tc>
        <w:tc>
          <w:tcPr/>
          <w:p>
            <w:pPr>
              <w:pStyle w:val="Compact"/>
              <w:jc w:val="left"/>
            </w:pPr>
            <w:r>
              <w:t xml:space="preserve">OCT2 cochlear uptake, oxidative stress rhythms</w:t>
            </w:r>
          </w:p>
        </w:tc>
        <w:tc>
          <w:tcPr/>
          <w:p>
            <w:pPr>
              <w:pStyle w:val="Compact"/>
              <w:jc w:val="left"/>
            </w:pPr>
            <w:r>
              <w:t xml:space="preserve">Permanent hearing loss; survivorship</w:t>
            </w:r>
          </w:p>
        </w:tc>
      </w:tr>
      <w:tr>
        <w:tc>
          <w:tcPr/>
          <w:p>
            <w:pPr>
              <w:pStyle w:val="Compact"/>
              <w:jc w:val="left"/>
            </w:pPr>
            <w:r>
              <w:t xml:space="preserve">Mucositis</w:t>
            </w:r>
          </w:p>
        </w:tc>
        <w:tc>
          <w:tcPr/>
          <w:p>
            <w:pPr>
              <w:pStyle w:val="Compact"/>
              <w:jc w:val="left"/>
            </w:pPr>
            <w:r>
              <w:t xml:space="preserve">Oral/GI mucosal epithelium</w:t>
            </w:r>
          </w:p>
        </w:tc>
        <w:tc>
          <w:tcPr/>
          <w:p>
            <w:pPr>
              <w:pStyle w:val="Compact"/>
              <w:jc w:val="left"/>
            </w:pPr>
            <w:r>
              <w:t xml:space="preserve">Systemic exposure; RT synergy</w:t>
            </w:r>
          </w:p>
        </w:tc>
        <w:tc>
          <w:tcPr/>
          <w:p>
            <w:pPr>
              <w:pStyle w:val="Compact"/>
              <w:jc w:val="left"/>
            </w:pPr>
            <w:r>
              <w:t xml:space="preserve">DNA damage, epithelial-turnover failure, NF-</w:t>
            </w:r>
            <m:oMath>
              <m:r>
                <m:t>κ</m:t>
              </m:r>
            </m:oMath>
            <w:r>
              <w:t xml:space="preserve">B amplification,</w:t>
            </w:r>
            <w:r>
              <w:t xml:space="preserve"> </w:t>
            </w:r>
            <w:r>
              <w:t xml:space="preserve">barrier breakdown</w:t>
            </w:r>
          </w:p>
        </w:tc>
        <w:tc>
          <w:tcPr/>
          <w:p>
            <w:pPr>
              <w:pStyle w:val="Compact"/>
              <w:jc w:val="left"/>
            </w:pPr>
            <w:r>
              <w:t xml:space="preserve">Mucosal proliferation rhythm, epithelial repair timing,</w:t>
            </w:r>
            <w:r>
              <w:t xml:space="preserve"> </w:t>
            </w:r>
            <w:r>
              <w:t xml:space="preserve">clock-controlled cell cycle</w:t>
            </w:r>
          </w:p>
        </w:tc>
        <w:tc>
          <w:tcPr/>
          <w:p>
            <w:pPr>
              <w:pStyle w:val="Compact"/>
              <w:jc w:val="left"/>
            </w:pPr>
            <w:r>
              <w:t xml:space="preserve">Pain, dysphagia, opioids, feeding tube, treatment interruption</w:t>
            </w:r>
          </w:p>
        </w:tc>
      </w:tr>
      <w:tr>
        <w:tc>
          <w:tcPr/>
          <w:p>
            <w:pPr>
              <w:pStyle w:val="Compact"/>
              <w:jc w:val="left"/>
            </w:pPr>
            <w:r>
              <w:t xml:space="preserve">Nausea / vomiting</w:t>
            </w:r>
          </w:p>
        </w:tc>
        <w:tc>
          <w:tcPr/>
          <w:p>
            <w:pPr>
              <w:pStyle w:val="Compact"/>
              <w:jc w:val="left"/>
            </w:pPr>
            <w:r>
              <w:t xml:space="preserve">GI enterochromaffin cells; central emetic pathways</w:t>
            </w:r>
          </w:p>
        </w:tc>
        <w:tc>
          <w:tcPr/>
          <w:p>
            <w:pPr>
              <w:pStyle w:val="Compact"/>
              <w:jc w:val="left"/>
            </w:pPr>
            <w:r>
              <w:t xml:space="preserve">Systemic exposure</w:t>
            </w:r>
          </w:p>
        </w:tc>
        <w:tc>
          <w:tcPr/>
          <w:p>
            <w:pPr>
              <w:pStyle w:val="Compact"/>
              <w:jc w:val="left"/>
            </w:pPr>
            <w:r>
              <w:t xml:space="preserve">Serotonin release, vagal afferents, NK1/substance P pathway</w:t>
            </w:r>
          </w:p>
        </w:tc>
        <w:tc>
          <w:tcPr/>
          <w:p>
            <w:pPr>
              <w:pStyle w:val="Compact"/>
              <w:jc w:val="left"/>
            </w:pPr>
            <w:r>
              <w:t xml:space="preserve">GI motility and neuroendocrine rhythms</w:t>
            </w:r>
          </w:p>
        </w:tc>
        <w:tc>
          <w:tcPr/>
          <w:p>
            <w:pPr>
              <w:pStyle w:val="Compact"/>
              <w:jc w:val="left"/>
            </w:pPr>
            <w:r>
              <w:t xml:space="preserve">Acute toxicity; hydration, nutrition impact</w:t>
            </w:r>
          </w:p>
        </w:tc>
      </w:tr>
      <w:tr>
        <w:tc>
          <w:tcPr/>
          <w:p>
            <w:pPr>
              <w:pStyle w:val="Compact"/>
              <w:jc w:val="left"/>
            </w:pPr>
            <w:r>
              <w:t xml:space="preserve">Neuropathy</w:t>
            </w:r>
          </w:p>
        </w:tc>
        <w:tc>
          <w:tcPr/>
          <w:p>
            <w:pPr>
              <w:pStyle w:val="Compact"/>
              <w:jc w:val="left"/>
            </w:pPr>
            <w:r>
              <w:t xml:space="preserve">Dorsal root ganglion neurons</w:t>
            </w:r>
          </w:p>
        </w:tc>
        <w:tc>
          <w:tcPr/>
          <w:p>
            <w:pPr>
              <w:pStyle w:val="Compact"/>
              <w:jc w:val="left"/>
            </w:pPr>
            <w:r>
              <w:t xml:space="preserve">Platinum accumulation; limited blood-nerve barrier</w:t>
            </w:r>
          </w:p>
        </w:tc>
        <w:tc>
          <w:tcPr/>
          <w:p>
            <w:pPr>
              <w:pStyle w:val="Compact"/>
              <w:jc w:val="left"/>
            </w:pPr>
            <w:r>
              <w:t xml:space="preserve">Mitochondrial dysfunction, ROS, axonal degeneration,</w:t>
            </w:r>
            <w:r>
              <w:t xml:space="preserve"> </w:t>
            </w:r>
            <w:r>
              <w:t xml:space="preserve">sensory neuron apoptosis</w:t>
            </w:r>
          </w:p>
        </w:tc>
        <w:tc>
          <w:tcPr/>
          <w:p>
            <w:pPr>
              <w:pStyle w:val="Compact"/>
              <w:jc w:val="left"/>
            </w:pPr>
            <w:r>
              <w:t xml:space="preserve">Mitochondrial redox state, axonal repair capacity</w:t>
            </w:r>
          </w:p>
        </w:tc>
        <w:tc>
          <w:tcPr/>
          <w:p>
            <w:pPr>
              <w:pStyle w:val="Compact"/>
              <w:jc w:val="left"/>
            </w:pPr>
            <w:r>
              <w:t xml:space="preserve">Long-term sensory morbidity</w:t>
            </w:r>
          </w:p>
        </w:tc>
      </w:tr>
      <w:tr>
        <w:tc>
          <w:tcPr/>
          <w:p>
            <w:pPr>
              <w:pStyle w:val="Compact"/>
              <w:jc w:val="left"/>
            </w:pPr>
            <w:r>
              <w:t xml:space="preserve">Myelosuppression</w:t>
            </w:r>
          </w:p>
        </w:tc>
        <w:tc>
          <w:tcPr/>
          <w:p>
            <w:pPr>
              <w:pStyle w:val="Compact"/>
              <w:jc w:val="left"/>
            </w:pPr>
            <w:r>
              <w:t xml:space="preserve">Bone marrow progenitors</w:t>
            </w:r>
          </w:p>
        </w:tc>
        <w:tc>
          <w:tcPr/>
          <w:p>
            <w:pPr>
              <w:pStyle w:val="Compact"/>
              <w:jc w:val="left"/>
            </w:pPr>
            <w:r>
              <w:t xml:space="preserve">Systemic exposure</w:t>
            </w:r>
          </w:p>
        </w:tc>
        <w:tc>
          <w:tcPr/>
          <w:p>
            <w:pPr>
              <w:pStyle w:val="Compact"/>
              <w:jc w:val="left"/>
            </w:pPr>
            <w:r>
              <w:t xml:space="preserve">Progenitor injury</w:t>
            </w:r>
          </w:p>
        </w:tc>
        <w:tc>
          <w:tcPr/>
          <w:p>
            <w:pPr>
              <w:pStyle w:val="Compact"/>
              <w:jc w:val="left"/>
            </w:pPr>
            <w:r>
              <w:t xml:space="preserve">Hematopoietic progenitor cycling</w:t>
            </w:r>
          </w:p>
        </w:tc>
        <w:tc>
          <w:tcPr/>
          <w:p>
            <w:pPr>
              <w:pStyle w:val="Compact"/>
              <w:jc w:val="left"/>
            </w:pPr>
            <w:r>
              <w:t xml:space="preserve">Combination-regimen relevant</w:t>
            </w:r>
          </w:p>
        </w:tc>
      </w:tr>
    </w:tbl>
    <w:bookmarkEnd w:id="25"/>
    <w:bookmarkEnd w:id="26"/>
    <w:bookmarkStart w:id="34" w:name="sec:gates"/>
    <w:p>
      <w:pPr>
        <w:pStyle w:val="Heading1"/>
      </w:pPr>
      <w:r>
        <w:t xml:space="preserve">Circadian timing gates in cisplatin uptake, repair, redox control,</w:t>
      </w:r>
      <w:r>
        <w:t xml:space="preserve"> </w:t>
      </w:r>
      <w:r>
        <w:t xml:space="preserve">and tissue vulnerability</w:t>
      </w:r>
    </w:p>
    <w:p>
      <w:pPr>
        <w:pStyle w:val="FirstParagraph"/>
      </w:pPr>
      <w:r>
        <w:t xml:space="preserve">The molecular clock mechanism — a transcription–translation feedback loop</w:t>
      </w:r>
      <w:r>
        <w:t xml:space="preserve"> </w:t>
      </w:r>
      <w:r>
        <w:t xml:space="preserve">anchored by the CLOCK/BMAL1 heterodimer and repressed by Period (PER) and</w:t>
      </w:r>
      <w:r>
        <w:t xml:space="preserve"> </w:t>
      </w:r>
      <w:r>
        <w:t xml:space="preserve">Cryptochrome (CRY) proteins — does not merely govern sleep–wake cycles and</w:t>
      </w:r>
      <w:r>
        <w:t xml:space="preserve"> </w:t>
      </w:r>
      <w:r>
        <w:t xml:space="preserve">metabolism. It imposes temporal structure on at least five processes that</w:t>
      </w:r>
      <w:r>
        <w:t xml:space="preserve"> </w:t>
      </w:r>
      <w:r>
        <w:t xml:space="preserve">directly determine how much cisplatin-induced injury accumulates in normal</w:t>
      </w:r>
      <w:r>
        <w:t xml:space="preserve"> </w:t>
      </w:r>
      <w:r>
        <w:t xml:space="preserve">tissues: nucleotide excision repair capacity; renal transporter expression;</w:t>
      </w:r>
      <w:r>
        <w:t xml:space="preserve"> </w:t>
      </w:r>
      <w:r>
        <w:t xml:space="preserve">glutathione redox buffering; mucosal epithelial proliferation; and, in a</w:t>
      </w:r>
      <w:r>
        <w:t xml:space="preserve"> </w:t>
      </w:r>
      <w:r>
        <w:t xml:space="preserve">paradoxical fashion, the apoptotic and inflammatory responses themselves.</w:t>
      </w:r>
      <w:r>
        <w:t xml:space="preserve"> </w:t>
      </w:r>
      <w:r>
        <w:t xml:space="preserve">Each represents a potential gate through which the circadian time of</w:t>
      </w:r>
      <w:r>
        <w:t xml:space="preserve"> </w:t>
      </w:r>
      <w:r>
        <w:t xml:space="preserve">administration could modulate toxicity independently of dose.</w:t>
      </w:r>
      <w:r>
        <w:t xml:space="preserve"> </w:t>
      </w:r>
      <w:r>
        <w:t xml:space="preserve">Table </w:t>
      </w:r>
      <w:hyperlink w:anchor="tab:gates">
        <w:r>
          <w:rPr>
            <w:rStyle w:val="Hyperlink"/>
          </w:rPr>
          <w:t xml:space="preserve">[tab:gates]</w:t>
        </w:r>
      </w:hyperlink>
      <w:r>
        <w:t xml:space="preserve"> </w:t>
      </w:r>
      <w:r>
        <w:t xml:space="preserve">summarises all six gates with their evidence base.</w:t>
      </w:r>
      <w:r>
        <w:t xml:space="preserve"> </w:t>
      </w:r>
      <w:r>
        <w:t xml:space="preserve">A human tissue clock atlas has catalogued the rhythmic expression of</w:t>
      </w:r>
      <w:r>
        <w:t xml:space="preserve"> </w:t>
      </w:r>
      <w:r>
        <w:t xml:space="preserve">thousands of genes across 13 tissues </w:t>
      </w:r>
      <w:r>
        <w:t xml:space="preserve">(Ruben et al. 2018)</w:t>
      </w:r>
      <w:r>
        <w:t xml:space="preserve">, providing</w:t>
      </w:r>
      <w:r>
        <w:t xml:space="preserve"> </w:t>
      </w:r>
      <w:r>
        <w:t xml:space="preserve">genomic-level support for the oscillatory framework reviewed here, while</w:t>
      </w:r>
      <w:r>
        <w:t xml:space="preserve"> </w:t>
      </w:r>
      <w:r>
        <w:t xml:space="preserve">clinical cancer chronobiology reviews confirm its relevance across tumour</w:t>
      </w:r>
      <w:r>
        <w:t xml:space="preserve"> </w:t>
      </w:r>
      <w:r>
        <w:t xml:space="preserve">types </w:t>
      </w:r>
      <w:r>
        <w:t xml:space="preserve">(Sulli et al. 2019; Sancar and Van Gelder 2021)</w:t>
      </w:r>
      <w:r>
        <w:t xml:space="preserve">.</w:t>
      </w:r>
    </w:p>
    <w:p>
      <w:pPr>
        <w:pStyle w:val="BodyText"/>
      </w:pPr>
      <w:r>
        <w:rPr>
          <w:b/>
          <w:bCs/>
        </w:rPr>
        <w:t xml:space="preserve">Evidence gap:</w:t>
      </w:r>
      <w:r>
        <w:t xml:space="preserve"> </w:t>
      </w:r>
      <w:r>
        <w:t xml:space="preserve">It is important to note that the mechanistic</w:t>
      </w:r>
      <w:r>
        <w:t xml:space="preserve"> </w:t>
      </w:r>
      <w:r>
        <w:t xml:space="preserve">timing gates described below are characterised primarily in rodent tissues</w:t>
      </w:r>
      <w:r>
        <w:t xml:space="preserve"> </w:t>
      </w:r>
      <w:r>
        <w:t xml:space="preserve">and cell lines. Direct evidence that XPA, OCT2, or glutathione oscillate</w:t>
      </w:r>
      <w:r>
        <w:t xml:space="preserve"> </w:t>
      </w:r>
      <w:r>
        <w:t xml:space="preserve">with clinically meaningful amplitude in the kidneys, cochlea, or oral</w:t>
      </w:r>
      <w:r>
        <w:t xml:space="preserve"> </w:t>
      </w:r>
      <w:r>
        <w:t xml:space="preserve">mucosa of OSCC or HNSCC</w:t>
      </w:r>
      <w:r>
        <w:t xml:space="preserve"> </w:t>
      </w:r>
      <w:r>
        <w:rPr>
          <w:i/>
          <w:iCs/>
        </w:rPr>
        <w:t xml:space="preserve">patients</w:t>
      </w:r>
      <w:r>
        <w:t xml:space="preserve"> </w:t>
      </w:r>
      <w:r>
        <w:t xml:space="preserve">is absent. Table </w:t>
      </w:r>
      <w:hyperlink w:anchor="tab:gates">
        <w:r>
          <w:rPr>
            <w:rStyle w:val="Hyperlink"/>
          </w:rPr>
          <w:t xml:space="preserve">[tab:gates]</w:t>
        </w:r>
      </w:hyperlink>
      <w:r>
        <w:t xml:space="preserve"> </w:t>
      </w:r>
      <w:r>
        <w:t xml:space="preserve">identifies the evidence strength and tissue-specific gaps for each gate.</w:t>
      </w:r>
      <w:r>
        <w:t xml:space="preserve"> </w:t>
      </w:r>
      <w:r>
        <w:t xml:space="preserve">The mechanistic case for chronotherapy is therefore</w:t>
      </w:r>
      <w:r>
        <w:t xml:space="preserve"> </w:t>
      </w:r>
      <w:r>
        <w:rPr>
          <w:i/>
          <w:iCs/>
        </w:rPr>
        <w:t xml:space="preserve">plausible</w:t>
      </w:r>
      <w:r>
        <w:t xml:space="preserve"> </w:t>
      </w:r>
      <w:r>
        <w:t xml:space="preserve">rather</w:t>
      </w:r>
      <w:r>
        <w:t xml:space="preserve"> </w:t>
      </w:r>
      <w:r>
        <w:t xml:space="preserve">than proven, and the proposed trial framework (Section </w:t>
      </w:r>
      <w:hyperlink w:anchor="sec:future">
        <w:r>
          <w:rPr>
            <w:rStyle w:val="Hyperlink"/>
          </w:rPr>
          <w:t xml:space="preserve">7</w:t>
        </w:r>
      </w:hyperlink>
      <w:r>
        <w:t xml:space="preserve">)</w:t>
      </w:r>
      <w:r>
        <w:t xml:space="preserve"> </w:t>
      </w:r>
      <w:r>
        <w:t xml:space="preserve">is designed specifically to test whether these preclinical timing effects</w:t>
      </w:r>
      <w:r>
        <w:t xml:space="preserve"> </w:t>
      </w:r>
      <w:r>
        <w:t xml:space="preserve">translate to measurable human outcomes.</w:t>
      </w:r>
    </w:p>
    <w:bookmarkStart w:id="27" w:name="Xeaccfb9acd8ba30d70a41dcfd0a344059899a99"/>
    <w:p>
      <w:pPr>
        <w:pStyle w:val="Heading2"/>
      </w:pPr>
      <w:r>
        <w:t xml:space="preserve">XPA and the circadian control of nucleotide excision repair</w:t>
      </w:r>
    </w:p>
    <w:p>
      <w:pPr>
        <w:pStyle w:val="FirstParagraph"/>
      </w:pPr>
      <w:r>
        <w:t xml:space="preserve">XPA is the DNA-damage verification scaffold of the NER pathway — the</w:t>
      </w:r>
      <w:r>
        <w:t xml:space="preserve"> </w:t>
      </w:r>
      <w:r>
        <w:t xml:space="preserve">rate-limiting step at which the repair machinery confirms the presence of a</w:t>
      </w:r>
      <w:r>
        <w:t xml:space="preserve"> </w:t>
      </w:r>
      <w:r>
        <w:t xml:space="preserve">helix-distorting lesion and assembles the dual-incision complex around it.</w:t>
      </w:r>
      <w:r>
        <w:t xml:space="preserve"> </w:t>
      </w:r>
      <w:r>
        <w:t xml:space="preserve">Its oscillating abundance is the best-characterised circadian gate for</w:t>
      </w:r>
      <w:r>
        <w:t xml:space="preserve"> </w:t>
      </w:r>
      <w:r>
        <w:t xml:space="preserve">cisplatin toxicity. Kang and colleagues demonstrated that CLOCK/BMAL1 drives</w:t>
      </w:r>
      <w:r>
        <w:t xml:space="preserve"> </w:t>
      </w:r>
      <w:r>
        <w:rPr>
          <w:i/>
          <w:iCs/>
        </w:rPr>
        <w:t xml:space="preserve">Xpa</w:t>
      </w:r>
      <w:r>
        <w:t xml:space="preserve"> </w:t>
      </w:r>
      <w:r>
        <w:t xml:space="preserve">gene transcription directly, while CRY proteins — themselves</w:t>
      </w:r>
      <w:r>
        <w:t xml:space="preserve"> </w:t>
      </w:r>
      <w:r>
        <w:t xml:space="preserve">products of clock-driven transcription — promote XPA proteasomal degradation</w:t>
      </w:r>
      <w:r>
        <w:t xml:space="preserve"> </w:t>
      </w:r>
      <w:r>
        <w:t xml:space="preserve">via the HERC2 ubiquitin ligase </w:t>
      </w:r>
      <w:r>
        <w:t xml:space="preserve">(Kang et al. 2010)</w:t>
      </w:r>
      <w:r>
        <w:t xml:space="preserve">. The opposing drives produce</w:t>
      </w:r>
      <w:r>
        <w:t xml:space="preserve"> </w:t>
      </w:r>
      <w:r>
        <w:t xml:space="preserve">a robust oscillation: XPA protein peaks at approximately Zeitgeber time (ZT)</w:t>
      </w:r>
      <w:r>
        <w:t xml:space="preserve"> </w:t>
      </w:r>
      <w:r>
        <w:t xml:space="preserve">10 and reaches its nadir at approximately ZT22, with an amplitude spanning</w:t>
      </w:r>
      <w:r>
        <w:t xml:space="preserve"> </w:t>
      </w:r>
      <w:r>
        <w:t xml:space="preserve">five- to ten-fold in mouse brain, liver, and kidney </w:t>
      </w:r>
      <w:r>
        <w:t xml:space="preserve">(Kang et al. 2010)</w:t>
      </w:r>
      <w:r>
        <w:t xml:space="preserve">.</w:t>
      </w:r>
      <w:r>
        <w:t xml:space="preserve"> </w:t>
      </w:r>
      <w:r>
        <w:t xml:space="preserve">In</w:t>
      </w:r>
      <w:r>
        <w:t xml:space="preserve"> </w:t>
      </w:r>
      <w:r>
        <w:rPr>
          <w:i/>
          <w:iCs/>
        </w:rPr>
        <w:t xml:space="preserve">Cry1/Cry2</w:t>
      </w:r>
      <w:r>
        <w:t xml:space="preserve"> </w:t>
      </w:r>
      <w:r>
        <w:t xml:space="preserve">double-knockout mice the oscillation is abolished; XPA</w:t>
      </w:r>
      <w:r>
        <w:t xml:space="preserve"> </w:t>
      </w:r>
      <w:r>
        <w:t xml:space="preserve">is constitutively expressed at an intermediate level, confirming that CRY is</w:t>
      </w:r>
      <w:r>
        <w:t xml:space="preserve"> </w:t>
      </w:r>
      <w:r>
        <w:t xml:space="preserve">indispensable for the trough </w:t>
      </w:r>
      <w:r>
        <w:t xml:space="preserve">(Kang et al. 2010)</w:t>
      </w:r>
      <w:r>
        <w:t xml:space="preserve">. Lee and Sancar extended this</w:t>
      </w:r>
      <w:r>
        <w:t xml:space="preserve"> </w:t>
      </w:r>
      <w:r>
        <w:t xml:space="preserve">work, demonstrating that the XPA oscillation governs the rate at which NER</w:t>
      </w:r>
      <w:r>
        <w:t xml:space="preserve"> </w:t>
      </w:r>
      <w:r>
        <w:t xml:space="preserve">removes cisplatin–DNA adducts in vivo: repair activity is fastest near ZT10</w:t>
      </w:r>
      <w:r>
        <w:t xml:space="preserve"> </w:t>
      </w:r>
      <w:r>
        <w:t xml:space="preserve">and slowest near ZT22 </w:t>
      </w:r>
      <w:r>
        <w:t xml:space="preserve">(Lee and Sancar 2011a, 2011b)</w:t>
      </w:r>
      <w:r>
        <w:t xml:space="preserve">. Because unrepaired adducts</w:t>
      </w:r>
      <w:r>
        <w:t xml:space="preserve"> </w:t>
      </w:r>
      <w:r>
        <w:t xml:space="preserve">drive tubular cell apoptosis and cochlear hair-cell death (Section </w:t>
      </w:r>
      <w:hyperlink w:anchor="sec:toxicity">
        <w:r>
          <w:rPr>
            <w:rStyle w:val="Hyperlink"/>
          </w:rPr>
          <w:t xml:space="preserve">4</w:t>
        </w:r>
      </w:hyperlink>
      <w:r>
        <w:t xml:space="preserve">),</w:t>
      </w:r>
      <w:r>
        <w:t xml:space="preserve"> </w:t>
      </w:r>
      <w:r>
        <w:t xml:space="preserve">this rhythm implies that normal tissues are most vulnerable to cisplatin-induced</w:t>
      </w:r>
      <w:r>
        <w:t xml:space="preserve"> </w:t>
      </w:r>
      <w:r>
        <w:t xml:space="preserve">killing in the late subjective night, when repair capacity is lowest.</w:t>
      </w:r>
    </w:p>
    <w:bookmarkEnd w:id="27"/>
    <w:bookmarkStart w:id="28" w:name="X93c667ff04bd8c89097392b44cbacf8623da6be"/>
    <w:p>
      <w:pPr>
        <w:pStyle w:val="Heading2"/>
      </w:pPr>
      <w:r>
        <w:t xml:space="preserve">OCT2/SLC22A2 and rhythmic cisplatin influx into the kidney</w:t>
      </w:r>
    </w:p>
    <w:p>
      <w:pPr>
        <w:pStyle w:val="FirstParagraph"/>
      </w:pPr>
      <w:r>
        <w:t xml:space="preserve">A complementary gate governs the quantity of cisplatin that enters proximal</w:t>
      </w:r>
      <w:r>
        <w:t xml:space="preserve"> </w:t>
      </w:r>
      <w:r>
        <w:t xml:space="preserve">tubular cells. OCT2, encoded by</w:t>
      </w:r>
      <w:r>
        <w:t xml:space="preserve"> </w:t>
      </w:r>
      <w:r>
        <w:rPr>
          <w:i/>
          <w:iCs/>
        </w:rPr>
        <w:t xml:space="preserve">Slc22a2</w:t>
      </w:r>
      <w:r>
        <w:t xml:space="preserve">, is the dominant basolateral</w:t>
      </w:r>
      <w:r>
        <w:t xml:space="preserve"> </w:t>
      </w:r>
      <w:r>
        <w:t xml:space="preserve">uptake transporter for cisplatin in the kidney and the primary determinant of</w:t>
      </w:r>
      <w:r>
        <w:t xml:space="preserve"> </w:t>
      </w:r>
      <w:r>
        <w:t xml:space="preserve">intratubular platinum accumulation (Section </w:t>
      </w:r>
      <w:hyperlink w:anchor="sec:toxicity">
        <w:r>
          <w:rPr>
            <w:rStyle w:val="Hyperlink"/>
          </w:rPr>
          <w:t xml:space="preserve">4</w:t>
        </w:r>
      </w:hyperlink>
      <w:r>
        <w:t xml:space="preserve">).</w:t>
      </w:r>
      <w:r>
        <w:t xml:space="preserve"> </w:t>
      </w:r>
      <w:r>
        <w:t xml:space="preserve">Oda and colleagues established that the CLOCK transcription factor</w:t>
      </w:r>
      <w:r>
        <w:t xml:space="preserve"> </w:t>
      </w:r>
      <w:r>
        <w:t xml:space="preserve">transcriptionally induces peroxisome proliferator-activated receptor </w:t>
      </w:r>
      <m:oMath>
        <m:r>
          <m:t>α</m:t>
        </m:r>
      </m:oMath>
      <w:r>
        <w:t xml:space="preserve"> </w:t>
      </w:r>
      <w:r>
        <w:t xml:space="preserve">(PPAR</w:t>
      </w:r>
      <m:oMath>
        <m:r>
          <m:t>α</m:t>
        </m:r>
      </m:oMath>
      <w:r>
        <w:t xml:space="preserve">), which in turn occupies the</w:t>
      </w:r>
      <w:r>
        <w:t xml:space="preserve"> </w:t>
      </w:r>
      <w:r>
        <w:rPr>
          <w:i/>
          <w:iCs/>
        </w:rPr>
        <w:t xml:space="preserve">Slc22a2</w:t>
      </w:r>
      <w:r>
        <w:t xml:space="preserve"> </w:t>
      </w:r>
      <w:r>
        <w:t xml:space="preserve">promoter and drives</w:t>
      </w:r>
      <w:r>
        <w:t xml:space="preserve"> </w:t>
      </w:r>
      <w:r>
        <w:t xml:space="preserve">rhythmic OCT2 protein accumulation </w:t>
      </w:r>
      <w:r>
        <w:t xml:space="preserve">(Oda et al. 2014)</w:t>
      </w:r>
      <w:r>
        <w:t xml:space="preserve">. In mice, renal OCT2</w:t>
      </w:r>
      <w:r>
        <w:t xml:space="preserve"> </w:t>
      </w:r>
      <w:r>
        <w:t xml:space="preserve">protein peaks near ZT14. Consistent with this, a single cisplatin dose</w:t>
      </w:r>
      <w:r>
        <w:t xml:space="preserve"> </w:t>
      </w:r>
      <w:r>
        <w:t xml:space="preserve">administered at ZT6 — rising OCT2, highest tubular influx — produced</w:t>
      </w:r>
      <w:r>
        <w:t xml:space="preserve"> </w:t>
      </w:r>
      <w:r>
        <w:t xml:space="preserve">significantly greater nephrotoxicity than the same dose at ZT18 </w:t>
      </w:r>
      <w:r>
        <w:t xml:space="preserve">(Oda et al. 2014)</w:t>
      </w:r>
      <w:r>
        <w:t xml:space="preserve">.</w:t>
      </w:r>
      <w:r>
        <w:t xml:space="preserve"> </w:t>
      </w:r>
      <w:r>
        <w:t xml:space="preserve">In</w:t>
      </w:r>
      <w:r>
        <w:t xml:space="preserve"> </w:t>
      </w:r>
      <w:r>
        <w:rPr>
          <w:i/>
          <w:iCs/>
        </w:rPr>
        <w:t xml:space="preserve">Clock</w:t>
      </w:r>
      <w:r>
        <w:t xml:space="preserve"> </w:t>
      </w:r>
      <w:r>
        <w:t xml:space="preserve">mutant mice lacking CLOCK transcriptional activity, OCT2</w:t>
      </w:r>
      <w:r>
        <w:t xml:space="preserve"> </w:t>
      </w:r>
      <w:r>
        <w:t xml:space="preserve">oscillation was abolished and the dosing-time difference in nephrotoxicity</w:t>
      </w:r>
      <w:r>
        <w:t xml:space="preserve"> </w:t>
      </w:r>
      <w:r>
        <w:t xml:space="preserve">disappeared entirely, establishing a causal rather than merely correlative</w:t>
      </w:r>
      <w:r>
        <w:t xml:space="preserve"> </w:t>
      </w:r>
      <w:r>
        <w:t xml:space="preserve">dependence of the timing effect on an intact molecular clock </w:t>
      </w:r>
      <w:r>
        <w:t xml:space="preserve">(Oda et al. 2014)</w:t>
      </w:r>
      <w:r>
        <w:t xml:space="preserve">.</w:t>
      </w:r>
      <w:r>
        <w:t xml:space="preserve"> </w:t>
      </w:r>
      <w:r>
        <w:t xml:space="preserve">The OCT2 gate is thus the most mechanistically complete circadian determinant</w:t>
      </w:r>
      <w:r>
        <w:t xml:space="preserve"> </w:t>
      </w:r>
      <w:r>
        <w:t xml:space="preserve">of cisplatin nephrotoxicity characterised to date.</w:t>
      </w:r>
    </w:p>
    <w:bookmarkEnd w:id="28"/>
    <w:bookmarkStart w:id="29" w:name="Xf1257329977579a67ffb5eaf1234fad3e7edc4c"/>
    <w:p>
      <w:pPr>
        <w:pStyle w:val="Heading2"/>
      </w:pPr>
      <w:r>
        <w:t xml:space="preserve">Glutathione, redox rhythms, and the oxidative injury window</w:t>
      </w:r>
    </w:p>
    <w:p>
      <w:pPr>
        <w:pStyle w:val="FirstParagraph"/>
      </w:pPr>
      <w:r>
        <w:t xml:space="preserve">Cisplatin forms conjugates with reduced glutathione (GSH), diverting reactive</w:t>
      </w:r>
      <w:r>
        <w:t xml:space="preserve"> </w:t>
      </w:r>
      <w:r>
        <w:t xml:space="preserve">platinum away from DNA; GSH depletion amplifies ROS-mediated tubular and</w:t>
      </w:r>
      <w:r>
        <w:t xml:space="preserve"> </w:t>
      </w:r>
      <w:r>
        <w:t xml:space="preserve">cochlear injury (Section </w:t>
      </w:r>
      <w:hyperlink w:anchor="sec:toxicity">
        <w:r>
          <w:rPr>
            <w:rStyle w:val="Hyperlink"/>
          </w:rPr>
          <w:t xml:space="preserve">4</w:t>
        </w:r>
      </w:hyperlink>
      <w:r>
        <w:t xml:space="preserve">). Hepatic GSH abundance shows a</w:t>
      </w:r>
      <w:r>
        <w:t xml:space="preserve"> </w:t>
      </w:r>
      <w:r>
        <w:t xml:space="preserve">circadian rhythm in rodents, with troughs coinciding with the resting</w:t>
      </w:r>
      <w:r>
        <w:t xml:space="preserve"> </w:t>
      </w:r>
      <w:r>
        <w:t xml:space="preserve">phase </w:t>
      </w:r>
      <w:r>
        <w:t xml:space="preserve">(Li et al. 1997)</w:t>
      </w:r>
      <w:r>
        <w:t xml:space="preserve">. Although the tissue-specific GSH oscillation in kidney</w:t>
      </w:r>
      <w:r>
        <w:t xml:space="preserve"> </w:t>
      </w:r>
      <w:r>
        <w:t xml:space="preserve">and oral mucosa has not been characterised at the resolution of the XPA and</w:t>
      </w:r>
      <w:r>
        <w:t xml:space="preserve"> </w:t>
      </w:r>
      <w:r>
        <w:t xml:space="preserve">OCT2 systems, rhythmic redox capacity is a well-established principle of</w:t>
      </w:r>
      <w:r>
        <w:t xml:space="preserve"> </w:t>
      </w:r>
      <w:r>
        <w:t xml:space="preserve">clock-controlled metabolism. A window of diminished GSH would be expected to</w:t>
      </w:r>
      <w:r>
        <w:t xml:space="preserve"> </w:t>
      </w:r>
      <w:r>
        <w:t xml:space="preserve">compound the adduct accumulation already predicted by low NER activity, creating</w:t>
      </w:r>
      <w:r>
        <w:t xml:space="preserve"> </w:t>
      </w:r>
      <w:r>
        <w:t xml:space="preserve">a toxicity risk that is driven by converging vulnerability rather than any single</w:t>
      </w:r>
      <w:r>
        <w:t xml:space="preserve"> </w:t>
      </w:r>
      <w:r>
        <w:t xml:space="preserve">mechanism.</w:t>
      </w:r>
    </w:p>
    <w:bookmarkEnd w:id="29"/>
    <w:bookmarkStart w:id="30" w:name="X6ff45bba0aa8a35d7f4b16435022eda41e2d082"/>
    <w:p>
      <w:pPr>
        <w:pStyle w:val="Heading2"/>
      </w:pPr>
      <w:r>
        <w:t xml:space="preserve">Mucosal epithelial proliferation and the mucositis timing window</w:t>
      </w:r>
    </w:p>
    <w:p>
      <w:pPr>
        <w:pStyle w:val="FirstParagraph"/>
      </w:pPr>
      <w:r>
        <w:t xml:space="preserve">Bjarnason and colleagues performed the only direct molecular-clock measurement</w:t>
      </w:r>
      <w:r>
        <w:t xml:space="preserve"> </w:t>
      </w:r>
      <w:r>
        <w:t xml:space="preserve">in human oral mucosal tissue, sampling biopsies at multiple time points across</w:t>
      </w:r>
      <w:r>
        <w:t xml:space="preserve"> </w:t>
      </w:r>
      <w:r>
        <w:t xml:space="preserve">24 hours from healthy volunteers </w:t>
      </w:r>
      <w:r>
        <w:t xml:space="preserve">(Bjarnason et al. 2001)</w:t>
      </w:r>
      <w:r>
        <w:t xml:space="preserve">. Clock gene expression</w:t>
      </w:r>
      <w:r>
        <w:t xml:space="preserve"> </w:t>
      </w:r>
      <w:r>
        <w:t xml:space="preserve">was robustly rhythmic: hPer1 peaked at approximately 07:58, hCry1 at 17:04,</w:t>
      </w:r>
      <w:r>
        <w:t xml:space="preserve"> </w:t>
      </w:r>
      <w:r>
        <w:t xml:space="preserve">and hBmal1 at 21:40 — confirming that the autonomous circadian oscillator</w:t>
      </w:r>
      <w:r>
        <w:t xml:space="preserve"> </w:t>
      </w:r>
      <w:r>
        <w:t xml:space="preserve">operates in normal oral epithelium with the expected phase relationships.</w:t>
      </w:r>
      <w:r>
        <w:t xml:space="preserve"> </w:t>
      </w:r>
      <w:r>
        <w:t xml:space="preserve">Critically, thymidylate synthase (TS) activity — a functional marker of</w:t>
      </w:r>
      <w:r>
        <w:t xml:space="preserve"> </w:t>
      </w:r>
      <w:r>
        <w:t xml:space="preserve">S-phase proliferative commitment — peaked at approximately 13:27, identifying</w:t>
      </w:r>
      <w:r>
        <w:t xml:space="preserve"> </w:t>
      </w:r>
      <w:r>
        <w:t xml:space="preserve">a mid-afternoon window of maximum mitotic activity </w:t>
      </w:r>
      <w:r>
        <w:t xml:space="preserve">(Bjarnason et al. 2001)</w:t>
      </w:r>
      <w:r>
        <w:t xml:space="preserve">.</w:t>
      </w:r>
      <w:r>
        <w:t xml:space="preserve"> </w:t>
      </w:r>
      <w:r>
        <w:t xml:space="preserve">Because cisplatin-induced DNA damage is most cytotoxic to actively dividing</w:t>
      </w:r>
      <w:r>
        <w:t xml:space="preserve"> </w:t>
      </w:r>
      <w:r>
        <w:t xml:space="preserve">cells, a DNA-damaging insult delivered at the proliferative peak would be</w:t>
      </w:r>
      <w:r>
        <w:t xml:space="preserve"> </w:t>
      </w:r>
      <w:r>
        <w:t xml:space="preserve">predicted to cause more extensive mucosal injury than the same dose given</w:t>
      </w:r>
      <w:r>
        <w:t xml:space="preserve"> </w:t>
      </w:r>
      <w:r>
        <w:t xml:space="preserve">during the quiescent evening window. An additional layer of complexity is</w:t>
      </w:r>
      <w:r>
        <w:t xml:space="preserve"> </w:t>
      </w:r>
      <w:r>
        <w:t xml:space="preserve">introduced by the gut microbiome, whose composition and metabolic activity</w:t>
      </w:r>
      <w:r>
        <w:t xml:space="preserve"> </w:t>
      </w:r>
      <w:r>
        <w:t xml:space="preserve">oscillate diurnally in a clock-dependent manner </w:t>
      </w:r>
      <w:r>
        <w:t xml:space="preserve">(Thaiss et al. 2014)</w:t>
      </w:r>
      <w:r>
        <w:t xml:space="preserve">; microbial</w:t>
      </w:r>
      <w:r>
        <w:t xml:space="preserve"> </w:t>
      </w:r>
      <w:r>
        <w:t xml:space="preserve">circadian rhythms influence mucosal barrier function and systemic inflammatory</w:t>
      </w:r>
      <w:r>
        <w:t xml:space="preserve"> </w:t>
      </w:r>
      <w:r>
        <w:t xml:space="preserve">tone in ways that may modulate mucositis severity, though their specific</w:t>
      </w:r>
      <w:r>
        <w:t xml:space="preserve"> </w:t>
      </w:r>
      <w:r>
        <w:t xml:space="preserve">relevance to cisplatin-induced mucosal injury in HNSCC has not been</w:t>
      </w:r>
      <w:r>
        <w:t xml:space="preserve"> </w:t>
      </w:r>
      <w:r>
        <w:t xml:space="preserve">characterised.</w:t>
      </w:r>
    </w:p>
    <w:bookmarkEnd w:id="30"/>
    <w:bookmarkStart w:id="31" w:name="the-bmal1arntl-tissue-specific-paradox"/>
    <w:p>
      <w:pPr>
        <w:pStyle w:val="Heading2"/>
      </w:pPr>
      <w:r>
        <w:t xml:space="preserve">The BMAL1/ARNTL tissue-specific paradox</w:t>
      </w:r>
    </w:p>
    <w:p>
      <w:pPr>
        <w:pStyle w:val="FirstParagraph"/>
      </w:pPr>
      <w:r>
        <w:rPr>
          <w:b/>
          <w:bCs/>
        </w:rPr>
        <w:t xml:space="preserve">Among the clock components with direct evidence in head-and-neck</w:t>
      </w:r>
      <w:r>
        <w:rPr>
          <w:b/>
          <w:bCs/>
        </w:rPr>
        <w:t xml:space="preserve"> </w:t>
      </w:r>
      <w:r>
        <w:rPr>
          <w:b/>
          <w:bCs/>
        </w:rPr>
        <w:t xml:space="preserve">oncology, BMAL1 (ARNTL) presents the most instructive paradox.</w:t>
      </w:r>
      <w:r>
        <w:t xml:space="preserve"> </w:t>
      </w:r>
      <w:r>
        <w:t xml:space="preserve">Three</w:t>
      </w:r>
      <w:r>
        <w:t xml:space="preserve"> </w:t>
      </w:r>
      <w:r>
        <w:t xml:space="preserve">independent lines of evidence assign it opposing roles depending on tissue</w:t>
      </w:r>
      <w:r>
        <w:t xml:space="preserve"> </w:t>
      </w:r>
      <w:r>
        <w:t xml:space="preserve">context.</w:t>
      </w:r>
    </w:p>
    <w:p>
      <w:pPr>
        <w:pStyle w:val="BodyText"/>
      </w:pPr>
      <w:r>
        <w:t xml:space="preserve">First, in a cisplatin-treated mouse model, Zha and colleagues found that</w:t>
      </w:r>
      <w:r>
        <w:t xml:space="preserve"> </w:t>
      </w:r>
      <w:r>
        <w:rPr>
          <w:i/>
          <w:iCs/>
        </w:rPr>
        <w:t xml:space="preserve">Bmal1</w:t>
      </w:r>
      <w:r>
        <w:t xml:space="preserve"> </w:t>
      </w:r>
      <w:r>
        <w:t xml:space="preserve">knockout significantly reduced cisplatin-induced acute kidney</w:t>
      </w:r>
      <w:r>
        <w:t xml:space="preserve"> </w:t>
      </w:r>
      <w:r>
        <w:t xml:space="preserve">injury: the wild-type BMAL1-competent kidney was more susceptible to tubular</w:t>
      </w:r>
      <w:r>
        <w:t xml:space="preserve"> </w:t>
      </w:r>
      <w:r>
        <w:t xml:space="preserve">cell death, suggesting that BMAL1 facilitates — rather than protects</w:t>
      </w:r>
      <w:r>
        <w:t xml:space="preserve"> </w:t>
      </w:r>
      <w:r>
        <w:t xml:space="preserve">against — renal cisplatin toxicity, possibly by coordinating</w:t>
      </w:r>
      <w:r>
        <w:t xml:space="preserve"> </w:t>
      </w:r>
      <w:r>
        <w:t xml:space="preserve">pro-inflammatory NF-</w:t>
      </w:r>
      <m:oMath>
        <m:r>
          <m:t>κ</m:t>
        </m:r>
      </m:oMath>
      <w:r>
        <w:t xml:space="preserve">B and pro-apoptotic signalling in tubular</w:t>
      </w:r>
      <w:r>
        <w:t xml:space="preserve"> </w:t>
      </w:r>
      <w:r>
        <w:t xml:space="preserve">cells </w:t>
      </w:r>
      <w:r>
        <w:t xml:space="preserve">(Zha et al. 2020)</w:t>
      </w:r>
      <w:r>
        <w:t xml:space="preserve">. Second, in OSCC, Li and colleagues demonstrated that</w:t>
      </w:r>
      <w:r>
        <w:t xml:space="preserve"> </w:t>
      </w:r>
      <w:r>
        <w:t xml:space="preserve">BMAL1 acts as a tumour suppressor: high BMAL1 expression correlates with</w:t>
      </w:r>
      <w:r>
        <w:t xml:space="preserve"> </w:t>
      </w:r>
      <w:r>
        <w:t xml:space="preserve">better prognosis, and BMAL1 promotes autophagy-mediated death in OSCC cells;</w:t>
      </w:r>
      <w:r>
        <w:t xml:space="preserve"> </w:t>
      </w:r>
      <w:r>
        <w:t xml:space="preserve">cisplatin-induced BMAL1 upregulation may therefore enhance tumour</w:t>
      </w:r>
      <w:r>
        <w:t xml:space="preserve"> </w:t>
      </w:r>
      <w:r>
        <w:t xml:space="preserve">sensitivity </w:t>
      </w:r>
      <w:r>
        <w:t xml:space="preserve">(</w:t>
      </w:r>
      <w:r>
        <w:t xml:space="preserve">Li et al.</w:t>
      </w:r>
      <w:r>
        <w:t xml:space="preserve"> </w:t>
      </w:r>
      <w:r>
        <w:t xml:space="preserve">2022)</w:t>
      </w:r>
      <w:r>
        <w:t xml:space="preserve">. Third, in nasopharyngeal carcinoma (NPC)</w:t>
      </w:r>
      <w:r>
        <w:t xml:space="preserve"> </w:t>
      </w:r>
      <w:r>
        <w:t xml:space="preserve">— a closely related SCC of the head and neck — Peng and colleagues</w:t>
      </w:r>
      <w:r>
        <w:t xml:space="preserve"> </w:t>
      </w:r>
      <w:r>
        <w:t xml:space="preserve">showed that epigenetic silencing of</w:t>
      </w:r>
      <w:r>
        <w:t xml:space="preserve"> </w:t>
      </w:r>
      <w:r>
        <w:rPr>
          <w:i/>
          <w:iCs/>
        </w:rPr>
        <w:t xml:space="preserve">ARNTL</w:t>
      </w:r>
      <w:r>
        <w:t xml:space="preserve"> </w:t>
      </w:r>
      <w:r>
        <w:t xml:space="preserve">(BMAL1) promotes cisplatin</w:t>
      </w:r>
      <w:r>
        <w:t xml:space="preserve"> </w:t>
      </w:r>
      <w:r>
        <w:t xml:space="preserve">resistance, while restoration of BMAL1 expression resensitises cells to</w:t>
      </w:r>
      <w:r>
        <w:t xml:space="preserve"> </w:t>
      </w:r>
      <w:r>
        <w:t xml:space="preserve">cisplatin </w:t>
      </w:r>
      <w:r>
        <w:t xml:space="preserve">(</w:t>
      </w:r>
      <w:r>
        <w:t xml:space="preserve">Peng et al.</w:t>
      </w:r>
      <w:r>
        <w:t xml:space="preserve"> </w:t>
      </w:r>
      <w:r>
        <w:t xml:space="preserve">2019)</w:t>
      </w:r>
      <w:r>
        <w:t xml:space="preserve">.</w:t>
      </w:r>
    </w:p>
    <w:p>
      <w:pPr>
        <w:pStyle w:val="BodyText"/>
      </w:pPr>
      <w:r>
        <w:t xml:space="preserve">Taken together, these three lines of evidence reveal a two-tissue asymmetry</w:t>
      </w:r>
      <w:r>
        <w:t xml:space="preserve"> </w:t>
      </w:r>
      <w:r>
        <w:t xml:space="preserve">with an important internal structure. On the</w:t>
      </w:r>
      <w:r>
        <w:t xml:space="preserve"> </w:t>
      </w:r>
      <w:r>
        <w:rPr>
          <w:i/>
          <w:iCs/>
        </w:rPr>
        <w:t xml:space="preserve">tumour side</w:t>
      </w:r>
      <w:r>
        <w:t xml:space="preserve">, Li 2022</w:t>
      </w:r>
      <w:r>
        <w:t xml:space="preserve"> </w:t>
      </w:r>
      <w:r>
        <w:t xml:space="preserve">and Peng 2019 are concordant: BMAL1 promotes cisplatin sensitivity in both</w:t>
      </w:r>
      <w:r>
        <w:t xml:space="preserve"> </w:t>
      </w:r>
      <w:r>
        <w:t xml:space="preserve">OSCC and NPC. On the</w:t>
      </w:r>
      <w:r>
        <w:t xml:space="preserve"> </w:t>
      </w:r>
      <w:r>
        <w:rPr>
          <w:i/>
          <w:iCs/>
        </w:rPr>
        <w:t xml:space="preserve">host side</w:t>
      </w:r>
      <w:r>
        <w:t xml:space="preserve">, Zha 2020 suggests that BMAL1</w:t>
      </w:r>
      <w:r>
        <w:t xml:space="preserve"> </w:t>
      </w:r>
      <w:r>
        <w:t xml:space="preserve">facilitates renal tubular injury, but this finding comes from a single</w:t>
      </w:r>
      <w:r>
        <w:t xml:space="preserve"> </w:t>
      </w:r>
      <w:r>
        <w:t xml:space="preserve">laboratory and has not been independently replicated; it should be treated</w:t>
      </w:r>
      <w:r>
        <w:t xml:space="preserve"> </w:t>
      </w:r>
      <w:r>
        <w:t xml:space="preserve">as a hypothesis-generating signal rather than a settled mechanism. The</w:t>
      </w:r>
      <w:r>
        <w:t xml:space="preserve"> </w:t>
      </w:r>
      <w:r>
        <w:t xml:space="preserve">framing that best fits the current data is therefore one of a</w:t>
      </w:r>
      <w:r>
        <w:t xml:space="preserve"> </w:t>
      </w:r>
      <w:r>
        <w:rPr>
          <w:i/>
          <w:iCs/>
        </w:rPr>
        <w:t xml:space="preserve">host–tumour clock contrast</w:t>
      </w:r>
      <w:r>
        <w:t xml:space="preserve">: clock-active tumour cells are more</w:t>
      </w:r>
      <w:r>
        <w:t xml:space="preserve"> </w:t>
      </w:r>
      <w:r>
        <w:t xml:space="preserve">cisplatin-sensitive, while the renal host response to clock activity may</w:t>
      </w:r>
      <w:r>
        <w:t xml:space="preserve"> </w:t>
      </w:r>
      <w:r>
        <w:t xml:space="preserve">add to toxicity. If confirmed, this asymmetry would be exploitable — a</w:t>
      </w:r>
      <w:r>
        <w:t xml:space="preserve"> </w:t>
      </w:r>
      <w:r>
        <w:t xml:space="preserve">timing window that reduces renal OCT2-driven uptake while maintaining</w:t>
      </w:r>
      <w:r>
        <w:t xml:space="preserve"> </w:t>
      </w:r>
      <w:r>
        <w:t xml:space="preserve">tumour BMAL1 activity and cisplatin sensitivity. A naive framework in which</w:t>
      </w:r>
      <w:r>
        <w:t xml:space="preserve"> </w:t>
      </w:r>
      <w:r>
        <w:t xml:space="preserve">“restoring or amplifying the clock reduces toxicity”</w:t>
      </w:r>
      <w:r>
        <w:t xml:space="preserve"> </w:t>
      </w:r>
      <w:r>
        <w:t xml:space="preserve">remains insufficient</w:t>
      </w:r>
      <w:r>
        <w:t xml:space="preserve"> </w:t>
      </w:r>
      <w:r>
        <w:t xml:space="preserve">because it conflates host and tumour clock function in opposing biological</w:t>
      </w:r>
      <w:r>
        <w:t xml:space="preserve"> </w:t>
      </w:r>
      <w:r>
        <w:t xml:space="preserve">contexts.</w:t>
      </w:r>
    </w:p>
    <w:bookmarkEnd w:id="31"/>
    <w:bookmarkStart w:id="32" w:name="Xd7d0ab5b4a5176cc7407a9fc79914960bb78cc6"/>
    <w:p>
      <w:pPr>
        <w:pStyle w:val="Heading2"/>
      </w:pPr>
      <w:r>
        <w:t xml:space="preserve">Host–tumour clock asymmetry as a positive therapeutic mechanism</w:t>
      </w:r>
    </w:p>
    <w:p>
      <w:pPr>
        <w:pStyle w:val="FirstParagraph"/>
      </w:pPr>
      <w:r>
        <w:t xml:space="preserve">The BMAL1 data reviewed above suggest a reframing that moves beyond the</w:t>
      </w:r>
      <w:r>
        <w:t xml:space="preserve"> </w:t>
      </w:r>
      <w:r>
        <w:t xml:space="preserve">defensive question of</w:t>
      </w:r>
      <w:r>
        <w:t xml:space="preserve"> </w:t>
      </w:r>
      <w:r>
        <w:t xml:space="preserve">“how do clock-disrupted patients lose the timing</w:t>
      </w:r>
      <w:r>
        <w:t xml:space="preserve"> </w:t>
      </w:r>
      <w:r>
        <w:t xml:space="preserve">benefit?”</w:t>
      </w:r>
      <w:r>
        <w:t xml:space="preserve"> </w:t>
      </w:r>
      <w:r>
        <w:t xml:space="preserve">and towards the positive question of</w:t>
      </w:r>
      <w:r>
        <w:t xml:space="preserve"> </w:t>
      </w:r>
      <w:r>
        <w:t xml:space="preserve">“does the host–tumour</w:t>
      </w:r>
      <w:r>
        <w:t xml:space="preserve"> </w:t>
      </w:r>
      <w:r>
        <w:t xml:space="preserve">clock contrast itself constitute the therapeutic window?”</w:t>
      </w:r>
      <w:r>
        <w:t xml:space="preserve"> </w:t>
      </w:r>
      <w:r>
        <w:t xml:space="preserve">HNSCC tumours</w:t>
      </w:r>
      <w:r>
        <w:t xml:space="preserve"> </w:t>
      </w:r>
      <w:r>
        <w:t xml:space="preserve">frequently exhibit attenuated or phase-shifted circadian oscillations,</w:t>
      </w:r>
      <w:r>
        <w:t xml:space="preserve"> </w:t>
      </w:r>
      <w:r>
        <w:t xml:space="preserve">driven by hypoxia, metabolic reprogramming, and disrupted cell-cycle</w:t>
      </w:r>
      <w:r>
        <w:t xml:space="preserve"> </w:t>
      </w:r>
      <w:r>
        <w:t xml:space="preserve">control </w:t>
      </w:r>
      <w:r>
        <w:t xml:space="preserve">(</w:t>
      </w:r>
      <w:r>
        <w:t xml:space="preserve">Kramer et al.</w:t>
      </w:r>
      <w:r>
        <w:t xml:space="preserve"> </w:t>
      </w:r>
      <w:r>
        <w:t xml:space="preserve">2022)</w:t>
      </w:r>
      <w:r>
        <w:t xml:space="preserve">. If OSCC tumour cells have low BMAL1 activity</w:t>
      </w:r>
      <w:r>
        <w:t xml:space="preserve"> </w:t>
      </w:r>
      <w:r>
        <w:t xml:space="preserve">and thus diminished circadian clock amplitude, they would fail to upregulate</w:t>
      </w:r>
      <w:r>
        <w:t xml:space="preserve"> </w:t>
      </w:r>
      <w:r>
        <w:t xml:space="preserve">the clock-driven cisplatin-repair machinery (XPA) during the subjective</w:t>
      </w:r>
      <w:r>
        <w:t xml:space="preserve"> </w:t>
      </w:r>
      <w:r>
        <w:t xml:space="preserve">morning — the very window when host normal tissues are best positioned to</w:t>
      </w:r>
      <w:r>
        <w:t xml:space="preserve"> </w:t>
      </w:r>
      <w:r>
        <w:t xml:space="preserve">repair cisplatin adducts. In this model, the host–tumour clock contrast is</w:t>
      </w:r>
      <w:r>
        <w:t xml:space="preserve"> </w:t>
      </w:r>
      <w:r>
        <w:t xml:space="preserve">not a complication to manage but the mechanistic basis of the therapeutic</w:t>
      </w:r>
      <w:r>
        <w:t xml:space="preserve"> </w:t>
      </w:r>
      <w:r>
        <w:t xml:space="preserve">window: normal tissues repair efficiently at the XPA/NER peak, tumour cells</w:t>
      </w:r>
      <w:r>
        <w:t xml:space="preserve"> </w:t>
      </w:r>
      <w:r>
        <w:t xml:space="preserve">cannot. The</w:t>
      </w:r>
      <w:r>
        <w:t xml:space="preserve"> </w:t>
      </w:r>
      <w:r>
        <w:rPr>
          <w:i/>
          <w:iCs/>
        </w:rPr>
        <w:t xml:space="preserve">host–tumour clock contrast</w:t>
      </w:r>
      <w:r>
        <w:t xml:space="preserve"> </w:t>
      </w:r>
      <w:r>
        <w:t xml:space="preserve">— the difference in</w:t>
      </w:r>
      <w:r>
        <w:t xml:space="preserve"> </w:t>
      </w:r>
      <w:r>
        <w:t xml:space="preserve">circadian amplitude between normal and tumour cells — could itself be a</w:t>
      </w:r>
      <w:r>
        <w:t xml:space="preserve"> </w:t>
      </w:r>
      <w:r>
        <w:t xml:space="preserve">biomarker of likely chronotherapy benefit. This reframing has a direct</w:t>
      </w:r>
      <w:r>
        <w:t xml:space="preserve"> </w:t>
      </w:r>
      <w:r>
        <w:t xml:space="preserve">translational implication: the exploratory biomarker objectives in</w:t>
      </w:r>
      <w:r>
        <w:t xml:space="preserve"> </w:t>
      </w:r>
      <w:r>
        <w:t xml:space="preserve">Section </w:t>
      </w:r>
      <w:hyperlink w:anchor="sec:future">
        <w:r>
          <w:rPr>
            <w:rStyle w:val="Hyperlink"/>
          </w:rPr>
          <w:t xml:space="preserve">7</w:t>
        </w:r>
      </w:hyperlink>
      <w:r>
        <w:t xml:space="preserve"> </w:t>
      </w:r>
      <w:r>
        <w:t xml:space="preserve">should include tumour BMAL1/PER2 IHC as a</w:t>
      </w:r>
      <w:r>
        <w:t xml:space="preserve"> </w:t>
      </w:r>
      <w:r>
        <w:t xml:space="preserve">predictor of differential benefit, not only as a mechanistic correlate.</w:t>
      </w:r>
    </w:p>
    <w:bookmarkEnd w:id="32"/>
    <w:bookmarkStart w:id="33" w:name="X14ed8b320c4f5aded23ff7d9cd4073317fcf304"/>
    <w:p>
      <w:pPr>
        <w:pStyle w:val="Heading2"/>
      </w:pPr>
      <w:r>
        <w:t xml:space="preserve">PER/CRY proteins and the circadian integrity prerequisite</w:t>
      </w:r>
    </w:p>
    <w:p>
      <w:pPr>
        <w:pStyle w:val="FirstParagraph"/>
      </w:pPr>
      <w:r>
        <w:t xml:space="preserve">PER and CRY proteins constitute the negative feedback limb of the core</w:t>
      </w:r>
      <w:r>
        <w:t xml:space="preserve"> </w:t>
      </w:r>
      <w:r>
        <w:t xml:space="preserve">oscillator. Their roles extend beyond autoregulation: as shown in</w:t>
      </w:r>
      <w:r>
        <w:t xml:space="preserve"> </w:t>
      </w:r>
      <w:r>
        <w:t xml:space="preserve">Section </w:t>
      </w:r>
      <w:hyperlink w:anchor="sec:mechanism">
        <w:r>
          <w:rPr>
            <w:rStyle w:val="Hyperlink"/>
          </w:rPr>
          <w:t xml:space="preserve">2</w:t>
        </w:r>
      </w:hyperlink>
      <w:r>
        <w:t xml:space="preserve">, CRY is directly responsible for HERC2-mediated XPA</w:t>
      </w:r>
      <w:r>
        <w:t xml:space="preserve"> </w:t>
      </w:r>
      <w:r>
        <w:t xml:space="preserve">degradation, linking clock amplitude to NER capacity in a mechanistically</w:t>
      </w:r>
      <w:r>
        <w:t xml:space="preserve"> </w:t>
      </w:r>
      <w:r>
        <w:t xml:space="preserve">direct manner </w:t>
      </w:r>
      <w:r>
        <w:t xml:space="preserve">(Kang et al. 2010)</w:t>
      </w:r>
      <w:r>
        <w:t xml:space="preserve">. Bjarnason’s oral mucosa data confirm that PER</w:t>
      </w:r>
      <w:r>
        <w:t xml:space="preserve"> </w:t>
      </w:r>
      <w:r>
        <w:t xml:space="preserve">expression is rhythmic and phase-coherent in normal epithelium </w:t>
      </w:r>
      <w:r>
        <w:t xml:space="preserve">(Bjarnason et al. 2001)</w:t>
      </w:r>
      <w:r>
        <w:t xml:space="preserve">.</w:t>
      </w:r>
      <w:r>
        <w:t xml:space="preserve"> </w:t>
      </w:r>
      <w:r>
        <w:t xml:space="preserve">This represents a prerequisite for the timing-gate model: the expected benefit</w:t>
      </w:r>
      <w:r>
        <w:t xml:space="preserve"> </w:t>
      </w:r>
      <w:r>
        <w:t xml:space="preserve">of time-of-delivery optimisation depends on a sufficiently intact circadian</w:t>
      </w:r>
      <w:r>
        <w:t xml:space="preserve"> </w:t>
      </w:r>
      <w:r>
        <w:t xml:space="preserve">oscillation in host normal tissues, which cannot be assumed in the heavily</w:t>
      </w:r>
      <w:r>
        <w:t xml:space="preserve"> </w:t>
      </w:r>
      <w:r>
        <w:t xml:space="preserve">treated OSCC/HNSCC patient population. A further implication is that the</w:t>
      </w:r>
      <w:r>
        <w:t xml:space="preserve"> </w:t>
      </w:r>
      <w:r>
        <w:t xml:space="preserve">circadian function index (CFI) — measured from wrist actigraphy as</w:t>
      </w:r>
      <w:r>
        <w:t xml:space="preserve"> </w:t>
      </w:r>
      <w:r>
        <w:t xml:space="preserve">proposed in Section </w:t>
      </w:r>
      <w:hyperlink w:anchor="sec:future">
        <w:r>
          <w:rPr>
            <w:rStyle w:val="Hyperlink"/>
          </w:rPr>
          <w:t xml:space="preserve">7</w:t>
        </w:r>
      </w:hyperlink>
      <w:r>
        <w:t xml:space="preserve"> </w:t>
      </w:r>
      <w:r>
        <w:t xml:space="preserve">— captures</w:t>
      </w:r>
      <w:r>
        <w:t xml:space="preserve"> </w:t>
      </w:r>
      <w:r>
        <w:rPr>
          <w:i/>
          <w:iCs/>
        </w:rPr>
        <w:t xml:space="preserve">system-level</w:t>
      </w:r>
      <w:r>
        <w:t xml:space="preserve"> </w:t>
      </w:r>
      <w:r>
        <w:t xml:space="preserve">circadian integrity across all tissues, including those most relevant to</w:t>
      </w:r>
      <w:r>
        <w:t xml:space="preserve"> </w:t>
      </w:r>
      <w:r>
        <w:t xml:space="preserve">cisplatin toxicity.</w:t>
      </w:r>
    </w:p>
    <w:p>
      <w:pPr>
        <w:pStyle w:val="BodyText"/>
      </w:pPr>
      <w:r>
        <w:t xml:space="preserve">Collectively, the XPA/NER, OCT2, GSH, and mucosal-proliferation rhythms</w:t>
      </w:r>
      <w:r>
        <w:t xml:space="preserve"> </w:t>
      </w:r>
      <w:r>
        <w:t xml:space="preserve">provide a multi-pathway mechanistic substrate through which the circadian</w:t>
      </w:r>
      <w:r>
        <w:t xml:space="preserve"> </w:t>
      </w:r>
      <w:r>
        <w:t xml:space="preserve">time of cisplatin administration could shift the balance between normal-tissue</w:t>
      </w:r>
      <w:r>
        <w:t xml:space="preserve"> </w:t>
      </w:r>
      <w:r>
        <w:t xml:space="preserve">toxicity and tumour kill. The BMAL1 host–tumour asymmetry underscores that</w:t>
      </w:r>
      <w:r>
        <w:t xml:space="preserve"> </w:t>
      </w:r>
      <w:r>
        <w:t xml:space="preserve">this relationship is not unidirectional, and suggests that the host–tumour</w:t>
      </w:r>
      <w:r>
        <w:t xml:space="preserve"> </w:t>
      </w:r>
      <w:r>
        <w:t xml:space="preserve">clock contrast may itself be a targetable feature rather than merely a</w:t>
      </w:r>
      <w:r>
        <w:t xml:space="preserve"> </w:t>
      </w:r>
      <w:r>
        <w:t xml:space="preserve">confound. Whether these mechanistic predictions translate into clinically</w:t>
      </w:r>
      <w:r>
        <w:t xml:space="preserve"> </w:t>
      </w:r>
      <w:r>
        <w:t xml:space="preserve">measurable toxicity differences is examined in Section </w:t>
      </w:r>
      <w:hyperlink w:anchor="sec:evidence">
        <w:r>
          <w:rPr>
            <w:rStyle w:val="Hyperlink"/>
          </w:rPr>
          <w:t xml:space="preserve">6</w:t>
        </w:r>
      </w:hyperlink>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Gate / molecule</w:t>
            </w:r>
          </w:p>
        </w:tc>
        <w:tc>
          <w:tcPr/>
          <w:p>
            <w:pPr>
              <w:pStyle w:val="Compact"/>
              <w:jc w:val="left"/>
            </w:pPr>
            <w:r>
              <w:rPr>
                <w:b/>
                <w:bCs/>
              </w:rPr>
              <w:t xml:space="preserve">Function</w:t>
            </w:r>
          </w:p>
        </w:tc>
        <w:tc>
          <w:tcPr/>
          <w:p>
            <w:pPr>
              <w:pStyle w:val="Compact"/>
              <w:jc w:val="left"/>
            </w:pPr>
            <w:r>
              <w:rPr>
                <w:b/>
                <w:bCs/>
              </w:rPr>
              <w:t xml:space="preserve">Circadian evidence</w:t>
            </w:r>
          </w:p>
        </w:tc>
        <w:tc>
          <w:tcPr/>
          <w:p>
            <w:pPr>
              <w:pStyle w:val="Compact"/>
              <w:jc w:val="left"/>
            </w:pPr>
            <w:r>
              <w:rPr>
                <w:b/>
                <w:bCs/>
              </w:rPr>
              <w:t xml:space="preserve">Tissue relevance</w:t>
            </w:r>
          </w:p>
        </w:tc>
        <w:tc>
          <w:tcPr/>
          <w:p>
            <w:pPr>
              <w:pStyle w:val="Compact"/>
              <w:jc w:val="left"/>
            </w:pPr>
            <w:r>
              <w:rPr>
                <w:b/>
                <w:bCs/>
              </w:rPr>
              <w:t xml:space="preserve">Timing implication</w:t>
            </w:r>
          </w:p>
        </w:tc>
        <w:tc>
          <w:tcPr/>
          <w:p>
            <w:pPr>
              <w:pStyle w:val="Compact"/>
              <w:jc w:val="left"/>
            </w:pPr>
            <w:r>
              <w:rPr>
                <w:b/>
                <w:bCs/>
              </w:rPr>
              <w:t xml:space="preserve">Evidence strength</w:t>
            </w:r>
          </w:p>
        </w:tc>
      </w:tr>
      <w:tr>
        <w:tc>
          <w:tcPr/>
          <w:p>
            <w:pPr>
              <w:pStyle w:val="Compact"/>
              <w:jc w:val="left"/>
            </w:pPr>
            <w:r>
              <w:t xml:space="preserve">XPA / NER</w:t>
            </w:r>
          </w:p>
        </w:tc>
        <w:tc>
          <w:tcPr/>
          <w:p>
            <w:pPr>
              <w:pStyle w:val="Compact"/>
              <w:jc w:val="left"/>
            </w:pPr>
            <w:r>
              <w:t xml:space="preserve">Adduct verification; repair scaffold</w:t>
            </w:r>
          </w:p>
        </w:tc>
        <w:tc>
          <w:tcPr/>
          <w:p>
            <w:pPr>
              <w:pStyle w:val="Compact"/>
              <w:jc w:val="left"/>
            </w:pPr>
            <w:r>
              <w:t xml:space="preserve">Robust 10-fold oscillation in brain; in-phase with BMAL1</w:t>
            </w:r>
          </w:p>
        </w:tc>
        <w:tc>
          <w:tcPr/>
          <w:p>
            <w:pPr>
              <w:pStyle w:val="Compact"/>
              <w:jc w:val="left"/>
            </w:pPr>
            <w:r>
              <w:t xml:space="preserve">Kidney, liver, blood; OSCC mucosa/tumour unknown</w:t>
            </w:r>
          </w:p>
        </w:tc>
        <w:tc>
          <w:tcPr/>
          <w:p>
            <w:pPr>
              <w:pStyle w:val="Compact"/>
              <w:jc w:val="left"/>
            </w:pPr>
            <w:r>
              <w:t xml:space="preserve">Higher normal-tissue repair may reduce toxicity</w:t>
            </w:r>
          </w:p>
        </w:tc>
        <w:tc>
          <w:tcPr/>
          <w:p>
            <w:pPr>
              <w:pStyle w:val="Compact"/>
              <w:jc w:val="left"/>
            </w:pPr>
            <w:r>
              <w:t xml:space="preserve">Strong mechanism; HNSCC-specific gap</w:t>
            </w:r>
          </w:p>
        </w:tc>
      </w:tr>
      <w:tr>
        <w:tc>
          <w:tcPr/>
          <w:p>
            <w:pPr>
              <w:pStyle w:val="Compact"/>
              <w:jc w:val="left"/>
            </w:pPr>
            <w:r>
              <w:t xml:space="preserve">OCT2 / SLC22A2</w:t>
            </w:r>
          </w:p>
        </w:tc>
        <w:tc>
          <w:tcPr/>
          <w:p>
            <w:pPr>
              <w:pStyle w:val="Compact"/>
              <w:jc w:val="left"/>
            </w:pPr>
            <w:r>
              <w:t xml:space="preserve">Cisplatin uptake in kidney and cochlea</w:t>
            </w:r>
          </w:p>
        </w:tc>
        <w:tc>
          <w:tcPr/>
          <w:p>
            <w:pPr>
              <w:pStyle w:val="Compact"/>
              <w:jc w:val="left"/>
            </w:pPr>
            <w:r>
              <w:t xml:space="preserve">Clock-linked regulation suggested</w:t>
            </w:r>
          </w:p>
        </w:tc>
        <w:tc>
          <w:tcPr/>
          <w:p>
            <w:pPr>
              <w:pStyle w:val="Compact"/>
              <w:jc w:val="left"/>
            </w:pPr>
            <w:r>
              <w:t xml:space="preserve">Kidney, cochlea</w:t>
            </w:r>
          </w:p>
        </w:tc>
        <w:tc>
          <w:tcPr/>
          <w:p>
            <w:pPr>
              <w:pStyle w:val="Compact"/>
              <w:jc w:val="left"/>
            </w:pPr>
            <w:r>
              <w:t xml:space="preserve">Lower uptake phase may reduce nephro/ototoxicity</w:t>
            </w:r>
          </w:p>
        </w:tc>
        <w:tc>
          <w:tcPr/>
          <w:p>
            <w:pPr>
              <w:pStyle w:val="Compact"/>
              <w:jc w:val="left"/>
            </w:pPr>
            <w:r>
              <w:t xml:space="preserve">Strong transporter biology; timing less complete</w:t>
            </w:r>
          </w:p>
        </w:tc>
      </w:tr>
      <w:tr>
        <w:tc>
          <w:tcPr/>
          <w:p>
            <w:pPr>
              <w:pStyle w:val="Compact"/>
              <w:jc w:val="left"/>
            </w:pPr>
            <w:r>
              <w:t xml:space="preserve">CTR1 / SLC31A1</w:t>
            </w:r>
          </w:p>
        </w:tc>
        <w:tc>
          <w:tcPr/>
          <w:p>
            <w:pPr>
              <w:pStyle w:val="Compact"/>
              <w:jc w:val="left"/>
            </w:pPr>
            <w:r>
              <w:t xml:space="preserve">Cisplatin influx in tumour and normal cells</w:t>
            </w:r>
          </w:p>
        </w:tc>
        <w:tc>
          <w:tcPr/>
          <w:p>
            <w:pPr>
              <w:pStyle w:val="Compact"/>
              <w:jc w:val="left"/>
            </w:pPr>
            <w:r>
              <w:t xml:space="preserve">Circadian link unclear</w:t>
            </w:r>
          </w:p>
        </w:tc>
        <w:tc>
          <w:tcPr/>
          <w:p>
            <w:pPr>
              <w:pStyle w:val="Compact"/>
              <w:jc w:val="left"/>
            </w:pPr>
            <w:r>
              <w:t xml:space="preserve">Tumour cells, normal tissues</w:t>
            </w:r>
          </w:p>
        </w:tc>
        <w:tc>
          <w:tcPr/>
          <w:p>
            <w:pPr>
              <w:pStyle w:val="Compact"/>
              <w:jc w:val="left"/>
            </w:pPr>
            <w:r>
              <w:t xml:space="preserve">Important for efficacy; timing unestablished</w:t>
            </w:r>
          </w:p>
        </w:tc>
        <w:tc>
          <w:tcPr/>
          <w:p>
            <w:pPr>
              <w:pStyle w:val="Compact"/>
              <w:jc w:val="left"/>
            </w:pPr>
            <w:r>
              <w:t xml:space="preserve">Low–moderate</w:t>
            </w:r>
          </w:p>
        </w:tc>
      </w:tr>
      <w:tr>
        <w:tc>
          <w:tcPr/>
          <w:p>
            <w:pPr>
              <w:pStyle w:val="Compact"/>
              <w:jc w:val="left"/>
            </w:pPr>
            <w:r>
              <w:t xml:space="preserve">GSH / GCLC</w:t>
            </w:r>
          </w:p>
        </w:tc>
        <w:tc>
          <w:tcPr/>
          <w:p>
            <w:pPr>
              <w:pStyle w:val="Compact"/>
              <w:jc w:val="left"/>
            </w:pPr>
            <w:r>
              <w:t xml:space="preserve">Detoxification of reactive platinum species</w:t>
            </w:r>
          </w:p>
        </w:tc>
        <w:tc>
          <w:tcPr/>
          <w:p>
            <w:pPr>
              <w:pStyle w:val="Compact"/>
              <w:jc w:val="left"/>
            </w:pPr>
            <w:r>
              <w:t xml:space="preserve">Rhythmic redox regulation in some systems</w:t>
            </w:r>
          </w:p>
        </w:tc>
        <w:tc>
          <w:tcPr/>
          <w:p>
            <w:pPr>
              <w:pStyle w:val="Compact"/>
              <w:jc w:val="left"/>
            </w:pPr>
            <w:r>
              <w:t xml:space="preserve">Kidney, mucosa, tumour</w:t>
            </w:r>
          </w:p>
        </w:tc>
        <w:tc>
          <w:tcPr/>
          <w:p>
            <w:pPr>
              <w:pStyle w:val="Compact"/>
              <w:jc w:val="left"/>
            </w:pPr>
            <w:r>
              <w:t xml:space="preserve">May reduce normal-tissue injury; also reduces tumour kill</w:t>
            </w:r>
          </w:p>
        </w:tc>
        <w:tc>
          <w:tcPr/>
          <w:p>
            <w:pPr>
              <w:pStyle w:val="Compact"/>
              <w:jc w:val="left"/>
            </w:pPr>
            <w:r>
              <w:t xml:space="preserve">Hypothesis-generating</w:t>
            </w:r>
          </w:p>
        </w:tc>
      </w:tr>
      <w:tr>
        <w:tc>
          <w:tcPr/>
          <w:p>
            <w:pPr>
              <w:pStyle w:val="Compact"/>
              <w:jc w:val="left"/>
            </w:pPr>
            <w:r>
              <w:t xml:space="preserve">Mucosal cell-cycle regulators</w:t>
            </w:r>
          </w:p>
        </w:tc>
        <w:tc>
          <w:tcPr/>
          <w:p>
            <w:pPr>
              <w:pStyle w:val="Compact"/>
              <w:jc w:val="left"/>
            </w:pPr>
            <w:r>
              <w:t xml:space="preserve">Epithelial vulnerability and repair rate</w:t>
            </w:r>
          </w:p>
        </w:tc>
        <w:tc>
          <w:tcPr/>
          <w:p>
            <w:pPr>
              <w:pStyle w:val="Compact"/>
              <w:jc w:val="left"/>
            </w:pPr>
            <w:r>
              <w:t xml:space="preserve">GI/mucosal proliferation is rhythmic</w:t>
            </w:r>
          </w:p>
        </w:tc>
        <w:tc>
          <w:tcPr/>
          <w:p>
            <w:pPr>
              <w:pStyle w:val="Compact"/>
              <w:jc w:val="left"/>
            </w:pPr>
            <w:r>
              <w:t xml:space="preserve">Oral/GI mucosa</w:t>
            </w:r>
          </w:p>
        </w:tc>
        <w:tc>
          <w:tcPr/>
          <w:p>
            <w:pPr>
              <w:pStyle w:val="Compact"/>
              <w:jc w:val="left"/>
            </w:pPr>
            <w:r>
              <w:t xml:space="preserve">Low-proliferation or high-repair windows may reduce mucositis</w:t>
            </w:r>
          </w:p>
        </w:tc>
        <w:tc>
          <w:tcPr/>
          <w:p>
            <w:pPr>
              <w:pStyle w:val="Compact"/>
              <w:jc w:val="left"/>
            </w:pPr>
            <w:r>
              <w:t xml:space="preserve">Moderate</w:t>
            </w:r>
          </w:p>
        </w:tc>
      </w:tr>
      <w:tr>
        <w:tc>
          <w:tcPr/>
          <w:p>
            <w:pPr>
              <w:pStyle w:val="Compact"/>
              <w:jc w:val="left"/>
            </w:pPr>
            <w:r>
              <w:t xml:space="preserve">BMAL1 / ARNTL</w:t>
            </w:r>
          </w:p>
        </w:tc>
        <w:tc>
          <w:tcPr/>
          <w:p>
            <w:pPr>
              <w:pStyle w:val="Compact"/>
              <w:jc w:val="left"/>
            </w:pPr>
            <w:r>
              <w:t xml:space="preserve">Core clock factor; tissue-specific effects</w:t>
            </w:r>
          </w:p>
        </w:tc>
        <w:tc>
          <w:tcPr/>
          <w:p>
            <w:pPr>
              <w:pStyle w:val="Compact"/>
              <w:jc w:val="left"/>
            </w:pPr>
            <w:r>
              <w:t xml:space="preserve">Two-tissue asymmetry: host renal</w:t>
            </w:r>
            <w:r>
              <w:t xml:space="preserve"> </w:t>
            </w:r>
            <w:r>
              <w:t xml:space="preserve">(Zha 2020 — single lab, unconfirmed); tumour-side concordance —</w:t>
            </w:r>
            <w:r>
              <w:t xml:space="preserve"> </w:t>
            </w:r>
            <w:r>
              <w:t xml:space="preserve">OSCC tumour suppressor (Li 2022) and NPC cisplatin sensitiser (Peng 2019)</w:t>
            </w:r>
          </w:p>
        </w:tc>
        <w:tc>
          <w:tcPr/>
          <w:p>
            <w:pPr>
              <w:pStyle w:val="Compact"/>
              <w:jc w:val="left"/>
            </w:pPr>
            <w:r>
              <w:t xml:space="preserve">Kidney (host), OSCC/NPC tumour</w:t>
            </w:r>
          </w:p>
        </w:tc>
        <w:tc>
          <w:tcPr/>
          <w:p>
            <w:pPr>
              <w:pStyle w:val="Compact"/>
              <w:jc w:val="left"/>
            </w:pPr>
            <w:r>
              <w:t xml:space="preserve">Host–tumour clock contrast may be exploitable; Zha 2020 awaits</w:t>
            </w:r>
            <w:r>
              <w:t xml:space="preserve"> </w:t>
            </w:r>
            <w:r>
              <w:t xml:space="preserve">independent replication</w:t>
            </w:r>
          </w:p>
        </w:tc>
        <w:tc>
          <w:tcPr/>
          <w:p>
            <w:pPr>
              <w:pStyle w:val="Compact"/>
              <w:jc w:val="left"/>
            </w:pPr>
            <w:r>
              <w:t xml:space="preserve">Moderate (tumour side); preliminary (host side)</w:t>
            </w:r>
          </w:p>
        </w:tc>
      </w:tr>
      <w:tr>
        <w:tc>
          <w:tcPr/>
          <w:p>
            <w:pPr>
              <w:pStyle w:val="Compact"/>
              <w:jc w:val="left"/>
            </w:pPr>
            <w:r>
              <w:t xml:space="preserve">PER / CRY</w:t>
            </w:r>
          </w:p>
        </w:tc>
        <w:tc>
          <w:tcPr/>
          <w:p>
            <w:pPr>
              <w:pStyle w:val="Compact"/>
              <w:jc w:val="left"/>
            </w:pPr>
            <w:r>
              <w:t xml:space="preserve">Negative clock limb; maintains circadian amplitude</w:t>
            </w:r>
          </w:p>
        </w:tc>
        <w:tc>
          <w:tcPr/>
          <w:p>
            <w:pPr>
              <w:pStyle w:val="Compact"/>
              <w:jc w:val="left"/>
            </w:pPr>
            <w:r>
              <w:t xml:space="preserve">Disruption abolishes chronotherapy benefit in preclinical models</w:t>
            </w:r>
          </w:p>
        </w:tc>
        <w:tc>
          <w:tcPr/>
          <w:p>
            <w:pPr>
              <w:pStyle w:val="Compact"/>
              <w:jc w:val="left"/>
            </w:pPr>
            <w:r>
              <w:t xml:space="preserve">Host tissues, immune system</w:t>
            </w:r>
          </w:p>
        </w:tc>
        <w:tc>
          <w:tcPr/>
          <w:p>
            <w:pPr>
              <w:pStyle w:val="Compact"/>
              <w:jc w:val="left"/>
            </w:pPr>
            <w:r>
              <w:t xml:space="preserve">Intact circadian rhythm may be a prerequisite for timing interventions</w:t>
            </w:r>
          </w:p>
        </w:tc>
        <w:tc>
          <w:tcPr/>
          <w:p>
            <w:pPr>
              <w:pStyle w:val="Compact"/>
              <w:jc w:val="left"/>
            </w:pPr>
            <w:r>
              <w:t xml:space="preserve">Strong preclinical</w:t>
            </w:r>
          </w:p>
        </w:tc>
      </w:tr>
      <w:tr>
        <w:tc>
          <w:tcPr/>
          <w:p>
            <w:pPr>
              <w:pStyle w:val="Compact"/>
              <w:jc w:val="left"/>
            </w:pPr>
            <w:r>
              <w:t xml:space="preserve">p53–PUMA/BAX</w:t>
            </w:r>
          </w:p>
        </w:tc>
        <w:tc>
          <w:tcPr/>
          <w:p>
            <w:pPr>
              <w:pStyle w:val="Compact"/>
              <w:jc w:val="left"/>
            </w:pPr>
            <w:r>
              <w:t xml:space="preserve">Apoptosis after unrepaired DNA damage</w:t>
            </w:r>
          </w:p>
        </w:tc>
        <w:tc>
          <w:tcPr/>
          <w:p>
            <w:pPr>
              <w:pStyle w:val="Compact"/>
              <w:jc w:val="left"/>
            </w:pPr>
            <w:r>
              <w:t xml:space="preserve">DNA damage response may be clock-modulated</w:t>
            </w:r>
          </w:p>
        </w:tc>
        <w:tc>
          <w:tcPr/>
          <w:p>
            <w:pPr>
              <w:pStyle w:val="Compact"/>
              <w:jc w:val="left"/>
            </w:pPr>
            <w:r>
              <w:t xml:space="preserve">Kidney, mucosa, tumour</w:t>
            </w:r>
          </w:p>
        </w:tc>
        <w:tc>
          <w:tcPr/>
          <w:p>
            <w:pPr>
              <w:pStyle w:val="Compact"/>
              <w:jc w:val="left"/>
            </w:pPr>
            <w:r>
              <w:t xml:space="preserve">Timing may shift apoptotic threshold</w:t>
            </w:r>
          </w:p>
        </w:tc>
        <w:tc>
          <w:tcPr/>
          <w:p>
            <w:pPr>
              <w:pStyle w:val="Compact"/>
              <w:jc w:val="left"/>
            </w:pPr>
            <w:r>
              <w:t xml:space="preserve">Mechanistically plausible</w:t>
            </w:r>
          </w:p>
        </w:tc>
      </w:tr>
      <w:tr>
        <w:tc>
          <w:tcPr/>
          <w:p>
            <w:pPr>
              <w:pStyle w:val="Compact"/>
              <w:jc w:val="left"/>
            </w:pPr>
            <w:r>
              <w:t xml:space="preserve">Inflammatory mediators</w:t>
            </w:r>
          </w:p>
        </w:tc>
        <w:tc>
          <w:tcPr/>
          <w:p>
            <w:pPr>
              <w:pStyle w:val="Compact"/>
              <w:jc w:val="left"/>
            </w:pPr>
            <w:r>
              <w:t xml:space="preserve">Amplify organ injury</w:t>
            </w:r>
          </w:p>
        </w:tc>
        <w:tc>
          <w:tcPr/>
          <w:p>
            <w:pPr>
              <w:pStyle w:val="Compact"/>
              <w:jc w:val="left"/>
            </w:pPr>
            <w:r>
              <w:t xml:space="preserve">Immune/inflammatory rhythms well documented</w:t>
            </w:r>
          </w:p>
        </w:tc>
        <w:tc>
          <w:tcPr/>
          <w:p>
            <w:pPr>
              <w:pStyle w:val="Compact"/>
              <w:jc w:val="left"/>
            </w:pPr>
            <w:r>
              <w:t xml:space="preserve">Kidney, mucosa</w:t>
            </w:r>
          </w:p>
        </w:tc>
        <w:tc>
          <w:tcPr/>
          <w:p>
            <w:pPr>
              <w:pStyle w:val="Compact"/>
              <w:jc w:val="left"/>
            </w:pPr>
            <w:r>
              <w:t xml:space="preserve">Timing may modulate inflammatory toxicity</w:t>
            </w:r>
          </w:p>
        </w:tc>
        <w:tc>
          <w:tcPr/>
          <w:p>
            <w:pPr>
              <w:pStyle w:val="Compact"/>
              <w:jc w:val="left"/>
            </w:pPr>
            <w:r>
              <w:t xml:space="preserve">Emerging</w:t>
            </w:r>
          </w:p>
        </w:tc>
      </w:tr>
      <w:tr>
        <w:tc>
          <w:tcPr/>
          <w:p>
            <w:pPr>
              <w:pStyle w:val="Compact"/>
              <w:jc w:val="left"/>
            </w:pPr>
            <w:r>
              <w:t xml:space="preserve">Gut microbiome</w:t>
            </w:r>
            <w:r>
              <w:t xml:space="preserve"> </w:t>
            </w:r>
            <w:r>
              <w:t xml:space="preserve">(circadian oscillation)</w:t>
            </w:r>
          </w:p>
        </w:tc>
        <w:tc>
          <w:tcPr/>
          <w:p>
            <w:pPr>
              <w:pStyle w:val="Compact"/>
              <w:jc w:val="left"/>
            </w:pPr>
            <w:r>
              <w:t xml:space="preserve">Mucosal barrier; systemic inflammatory tone</w:t>
            </w:r>
          </w:p>
        </w:tc>
        <w:tc>
          <w:tcPr/>
          <w:p>
            <w:pPr>
              <w:pStyle w:val="Compact"/>
              <w:jc w:val="left"/>
            </w:pPr>
            <w:r>
              <w:t xml:space="preserve">Diurnal oscillation in composition and metabolism </w:t>
            </w:r>
            <w:r>
              <w:t xml:space="preserve">(Thaiss et al. 2014)</w:t>
            </w:r>
          </w:p>
        </w:tc>
        <w:tc>
          <w:tcPr/>
          <w:p>
            <w:pPr>
              <w:pStyle w:val="Compact"/>
              <w:jc w:val="left"/>
            </w:pPr>
            <w:r>
              <w:t xml:space="preserve">Oral/GI mucosa</w:t>
            </w:r>
          </w:p>
        </w:tc>
        <w:tc>
          <w:tcPr/>
          <w:p>
            <w:pPr>
              <w:pStyle w:val="Compact"/>
              <w:jc w:val="left"/>
            </w:pPr>
            <w:r>
              <w:t xml:space="preserve">May modulate mucositis; role in HNSCC uncharacterised</w:t>
            </w:r>
          </w:p>
        </w:tc>
        <w:tc>
          <w:tcPr/>
          <w:p>
            <w:pPr>
              <w:pStyle w:val="Compact"/>
              <w:jc w:val="left"/>
            </w:pPr>
            <w:r>
              <w:t xml:space="preserve">Hypothesis-generating</w:t>
            </w:r>
          </w:p>
        </w:tc>
      </w:tr>
    </w:tbl>
    <w:bookmarkEnd w:id="33"/>
    <w:bookmarkEnd w:id="34"/>
    <w:bookmarkStart w:id="39" w:name="sec:evidence"/>
    <w:p>
      <w:pPr>
        <w:pStyle w:val="Heading1"/>
      </w:pPr>
      <w:r>
        <w:t xml:space="preserve">Clinical and preclinical evidence: promising toxicity signals but</w:t>
      </w:r>
      <w:r>
        <w:t xml:space="preserve"> </w:t>
      </w:r>
      <w:r>
        <w:t xml:space="preserve">no proven survival benefit</w:t>
      </w:r>
    </w:p>
    <w:p>
      <w:pPr>
        <w:pStyle w:val="FirstParagraph"/>
      </w:pPr>
      <w:r>
        <w:t xml:space="preserve">The mechanistic case for cisplatin chronotherapy rests on the molecular</w:t>
      </w:r>
      <w:r>
        <w:t xml:space="preserve"> </w:t>
      </w:r>
      <w:r>
        <w:t xml:space="preserve">evidence reviewed in Section </w:t>
      </w:r>
      <w:hyperlink w:anchor="sec:gates">
        <w:r>
          <w:rPr>
            <w:rStyle w:val="Hyperlink"/>
          </w:rPr>
          <w:t xml:space="preserve">5</w:t>
        </w:r>
      </w:hyperlink>
      <w:r>
        <w:t xml:space="preserve">; the clinical evidence base</w:t>
      </w:r>
      <w:r>
        <w:t xml:space="preserve"> </w:t>
      </w:r>
      <w:r>
        <w:t xml:space="preserve">is promising but small. Table </w:t>
      </w:r>
      <w:hyperlink w:anchor="tab:evidence">
        <w:r>
          <w:rPr>
            <w:rStyle w:val="Hyperlink"/>
          </w:rPr>
          <w:t xml:space="preserve">[tab:evidence]</w:t>
        </w:r>
      </w:hyperlink>
      <w:r>
        <w:t xml:space="preserve"> </w:t>
      </w:r>
      <w:r>
        <w:t xml:space="preserve">summarises the key</w:t>
      </w:r>
      <w:r>
        <w:t xml:space="preserve"> </w:t>
      </w:r>
      <w:r>
        <w:t xml:space="preserve">studies. The principal conclusion from this literature is that</w:t>
      </w:r>
      <w:r>
        <w:t xml:space="preserve"> </w:t>
      </w:r>
      <w:r>
        <w:t xml:space="preserve">toxicity reduction is the most defensible near-term endpoint —</w:t>
      </w:r>
      <w:r>
        <w:t xml:space="preserve"> </w:t>
      </w:r>
      <w:r>
        <w:t xml:space="preserve">survival benefit has not been demonstrated and is not a realistic</w:t>
      </w:r>
      <w:r>
        <w:t xml:space="preserve"> </w:t>
      </w:r>
      <w:r>
        <w:t xml:space="preserve">primary endpoint for phase II study in this field.</w:t>
      </w:r>
    </w:p>
    <w:bookmarkStart w:id="35" w:name="Xdffe2bafea5649d3a6e47ce0099855a0d98d89d"/>
    <w:p>
      <w:pPr>
        <w:pStyle w:val="Heading2"/>
      </w:pPr>
      <w:r>
        <w:t xml:space="preserve">OSCC pilot: dosing-time effects on toxicity and tumour response</w:t>
      </w:r>
    </w:p>
    <w:p>
      <w:pPr>
        <w:pStyle w:val="FirstParagraph"/>
      </w:pPr>
      <w:r>
        <w:t xml:space="preserve">Tsuchiya and colleagues reported a study in OSCC patients receiving</w:t>
      </w:r>
      <w:r>
        <w:t xml:space="preserve"> </w:t>
      </w:r>
      <w:r>
        <w:t xml:space="preserve">5-fluorouracil and cisplatin (DCF) induction chemotherapy that directly</w:t>
      </w:r>
      <w:r>
        <w:t xml:space="preserve"> </w:t>
      </w:r>
      <w:r>
        <w:t xml:space="preserve">examined whether the timing of cisplatin administration affected the</w:t>
      </w:r>
      <w:r>
        <w:t xml:space="preserve"> </w:t>
      </w:r>
      <w:r>
        <w:t xml:space="preserve">therapeutic and toxic outcome in an oral-cancer-specific</w:t>
      </w:r>
      <w:r>
        <w:t xml:space="preserve"> </w:t>
      </w:r>
      <w:r>
        <w:t xml:space="preserve">context </w:t>
      </w:r>
      <w:r>
        <w:t xml:space="preserve">(</w:t>
      </w:r>
      <w:r>
        <w:t xml:space="preserve">Tsuchiya et al.</w:t>
      </w:r>
      <w:r>
        <w:t xml:space="preserve"> </w:t>
      </w:r>
      <w:r>
        <w:t xml:space="preserve">2018)</w:t>
      </w:r>
      <w:r>
        <w:t xml:space="preserve">. The clinical component involved a small</w:t>
      </w:r>
      <w:r>
        <w:t xml:space="preserve"> </w:t>
      </w:r>
      <w:r>
        <w:t xml:space="preserve">crossover cohort (</w:t>
      </w:r>
      <m:oMath>
        <m:r>
          <m:t>n</m:t>
        </m:r>
        <m:r>
          <m:rPr>
            <m:sty m:val="p"/>
          </m:rPr>
          <m:t>=</m:t>
        </m:r>
        <m:r>
          <m:t>9</m:t>
        </m:r>
      </m:oMath>
      <w:r>
        <w:t xml:space="preserve">), limiting statistical inference, but the</w:t>
      </w:r>
      <w:r>
        <w:t xml:space="preserve"> </w:t>
      </w:r>
      <w:r>
        <w:t xml:space="preserve">study uniquely paired patient data with a parallel OSCC xenograft</w:t>
      </w:r>
      <w:r>
        <w:t xml:space="preserve"> </w:t>
      </w:r>
      <w:r>
        <w:t xml:space="preserve">mouse model in which the same chemotherapy regimen was delivered at</w:t>
      </w:r>
      <w:r>
        <w:t xml:space="preserve"> </w:t>
      </w:r>
      <w:r>
        <w:t xml:space="preserve">different Zeitgeber times. The xenograft experiments demonstrated</w:t>
      </w:r>
      <w:r>
        <w:t xml:space="preserve"> </w:t>
      </w:r>
      <w:r>
        <w:t xml:space="preserve">significant dosing-time dependence in both antitumour efficacy and</w:t>
      </w:r>
      <w:r>
        <w:t xml:space="preserve"> </w:t>
      </w:r>
      <w:r>
        <w:t xml:space="preserve">host toxicity </w:t>
      </w:r>
      <w:r>
        <w:t xml:space="preserve">(</w:t>
      </w:r>
      <w:r>
        <w:t xml:space="preserve">Tsuchiya et al.</w:t>
      </w:r>
      <w:r>
        <w:t xml:space="preserve"> </w:t>
      </w:r>
      <w:r>
        <w:t xml:space="preserve">2018)</w:t>
      </w:r>
      <w:r>
        <w:t xml:space="preserve">, providing mechanistic corroboration</w:t>
      </w:r>
      <w:r>
        <w:t xml:space="preserve"> </w:t>
      </w:r>
      <w:r>
        <w:t xml:space="preserve">in a tumour model that is directly relevant to the clinical question.</w:t>
      </w:r>
      <w:r>
        <w:t xml:space="preserve"> </w:t>
      </w:r>
      <w:r>
        <w:t xml:space="preserve">The human data suggested that evening cisplatin administration was</w:t>
      </w:r>
      <w:r>
        <w:t xml:space="preserve"> </w:t>
      </w:r>
      <w:r>
        <w:t xml:space="preserve">associated with reduced severe nausea and vomiting relative to daytime</w:t>
      </w:r>
      <w:r>
        <w:t xml:space="preserve"> </w:t>
      </w:r>
      <w:r>
        <w:t xml:space="preserve">delivery, consistent with the circadian antiemetic and mucosal</w:t>
      </w:r>
      <w:r>
        <w:t xml:space="preserve"> </w:t>
      </w:r>
      <w:r>
        <w:t xml:space="preserve">pharmacology discussed in Section </w:t>
      </w:r>
      <w:hyperlink w:anchor="sec:toxicity">
        <w:r>
          <w:rPr>
            <w:rStyle w:val="Hyperlink"/>
          </w:rPr>
          <w:t xml:space="preserve">4</w:t>
        </w:r>
      </w:hyperlink>
      <w:r>
        <w:t xml:space="preserve">. Although the</w:t>
      </w:r>
      <w:r>
        <w:t xml:space="preserve"> </w:t>
      </w:r>
      <w:r>
        <w:t xml:space="preserve">clinical sample is too small for efficacy conclusions, Tsuchiya et al.</w:t>
      </w:r>
      <w:r>
        <w:t xml:space="preserve"> </w:t>
      </w:r>
      <w:r>
        <w:t xml:space="preserve">remains the only published study to examine cisplatin chronotherapy</w:t>
      </w:r>
      <w:r>
        <w:t xml:space="preserve"> </w:t>
      </w:r>
      <w:r>
        <w:t xml:space="preserve">specifically in oral squamous cell carcinoma patients.</w:t>
      </w:r>
    </w:p>
    <w:bookmarkEnd w:id="35"/>
    <w:bookmarkStart w:id="36" w:name="Xed095f500407713894f6ac19e6b4c1bd7e15d21"/>
    <w:p>
      <w:pPr>
        <w:pStyle w:val="Heading2"/>
      </w:pPr>
      <w:r>
        <w:t xml:space="preserve">NPC phase II randomised trial: infusion-rate chronomodulation</w:t>
      </w:r>
      <w:r>
        <w:t xml:space="preserve"> </w:t>
      </w:r>
      <w:r>
        <w:t xml:space="preserve">reduces acute toxicity</w:t>
      </w:r>
    </w:p>
    <w:p>
      <w:pPr>
        <w:pStyle w:val="FirstParagraph"/>
      </w:pPr>
      <w:r>
        <w:t xml:space="preserve">Zhang and colleagues conducted a phase II randomised study in patients</w:t>
      </w:r>
      <w:r>
        <w:t xml:space="preserve"> </w:t>
      </w:r>
      <w:r>
        <w:t xml:space="preserve">with locally advanced nasopharyngeal carcinoma receiving concurrent</w:t>
      </w:r>
      <w:r>
        <w:t xml:space="preserve"> </w:t>
      </w:r>
      <w:r>
        <w:t xml:space="preserve">cisplatin and radiotherapy </w:t>
      </w:r>
      <w:r>
        <w:t xml:space="preserve">(</w:t>
      </w:r>
      <w:r>
        <w:t xml:space="preserve">Zhang et al.</w:t>
      </w:r>
      <w:r>
        <w:t xml:space="preserve"> </w:t>
      </w:r>
      <w:r>
        <w:t xml:space="preserve">2018)</w:t>
      </w:r>
      <w:r>
        <w:t xml:space="preserve">. The intervention warrants</w:t>
      </w:r>
      <w:r>
        <w:t xml:space="preserve"> </w:t>
      </w:r>
      <w:r>
        <w:t xml:space="preserve">precise characterisation: patients were randomised to</w:t>
      </w:r>
      <w:r>
        <w:t xml:space="preserve"> </w:t>
      </w:r>
      <w:r>
        <w:rPr>
          <w:i/>
          <w:iCs/>
        </w:rPr>
        <w:t xml:space="preserve">chronomodulated</w:t>
      </w:r>
      <w:r>
        <w:rPr>
          <w:i/>
          <w:iCs/>
        </w:rPr>
        <w:t xml:space="preserve"> </w:t>
      </w:r>
      <w:r>
        <w:rPr>
          <w:i/>
          <w:iCs/>
        </w:rPr>
        <w:t xml:space="preserve">infusion-rate</w:t>
      </w:r>
      <w:r>
        <w:t xml:space="preserve"> </w:t>
      </w:r>
      <w:r>
        <w:t xml:space="preserve">delivery — in which the rate of cisplatin infusion was</w:t>
      </w:r>
      <w:r>
        <w:t xml:space="preserve"> </w:t>
      </w:r>
      <w:r>
        <w:t xml:space="preserve">varied according to a pre-specified sinusoidal function targeting a fixed</w:t>
      </w:r>
      <w:r>
        <w:t xml:space="preserve"> </w:t>
      </w:r>
      <w:r>
        <w:t xml:space="preserve">population-level low-toxicity phase — versus constant-rate infusion</w:t>
      </w:r>
      <w:r>
        <w:t xml:space="preserve"> </w:t>
      </w:r>
      <w:r>
        <w:t xml:space="preserve">administered at the same clock time. The chronomodulated arm showed</w:t>
      </w:r>
      <w:r>
        <w:t xml:space="preserve"> </w:t>
      </w:r>
      <w:r>
        <w:t xml:space="preserve">reduced rates of clinically significant nausea, vomiting, and oral</w:t>
      </w:r>
      <w:r>
        <w:t xml:space="preserve"> </w:t>
      </w:r>
      <w:r>
        <w:t xml:space="preserve">mucositis without evidence of compromised antitumour activity at the</w:t>
      </w:r>
      <w:r>
        <w:t xml:space="preserve"> </w:t>
      </w:r>
      <w:r>
        <w:t xml:space="preserve">phase II sample size.</w:t>
      </w:r>
    </w:p>
    <w:p>
      <w:pPr>
        <w:pStyle w:val="BodyText"/>
      </w:pPr>
      <w:r>
        <w:t xml:space="preserve">Two conceptual distinctions must be drawn before applying these results to</w:t>
      </w:r>
      <w:r>
        <w:t xml:space="preserve"> </w:t>
      </w:r>
      <w:r>
        <w:t xml:space="preserve">the framework proposed in this review. First, Zhang 2018 tested</w:t>
      </w:r>
      <w:r>
        <w:t xml:space="preserve"> </w:t>
      </w:r>
      <w:r>
        <w:rPr>
          <w:i/>
          <w:iCs/>
        </w:rPr>
        <w:t xml:space="preserve">infusion-rate chronomodulation at a fixed clock time</w:t>
      </w:r>
      <w:r>
        <w:t xml:space="preserve">: a pre-specified</w:t>
      </w:r>
      <w:r>
        <w:t xml:space="preserve"> </w:t>
      </w:r>
      <w:r>
        <w:t xml:space="preserve">sinusoidal delivery profile applied uniformly to all patients, regardless of</w:t>
      </w:r>
      <w:r>
        <w:t xml:space="preserve"> </w:t>
      </w:r>
      <w:r>
        <w:t xml:space="preserve">their individual circadian phase. This is not equivalent to</w:t>
      </w:r>
      <w:r>
        <w:t xml:space="preserve"> </w:t>
      </w:r>
      <w:r>
        <w:rPr>
          <w:i/>
          <w:iCs/>
        </w:rPr>
        <w:t xml:space="preserve">chronotype-anchored scheduling</w:t>
      </w:r>
      <w:r>
        <w:t xml:space="preserve"> </w:t>
      </w:r>
      <w:r>
        <w:t xml:space="preserve">— the personalised approach proposed</w:t>
      </w:r>
      <w:r>
        <w:t xml:space="preserve"> </w:t>
      </w:r>
      <w:r>
        <w:t xml:space="preserve">in Section </w:t>
      </w:r>
      <w:hyperlink w:anchor="sec:future">
        <w:r>
          <w:rPr>
            <w:rStyle w:val="Hyperlink"/>
          </w:rPr>
          <w:t xml:space="preserve">7</w:t>
        </w:r>
      </w:hyperlink>
      <w:r>
        <w:t xml:space="preserve"> </w:t>
      </w:r>
      <w:r>
        <w:t xml:space="preserve">— which calculates the delivery window</w:t>
      </w:r>
      <w:r>
        <w:t xml:space="preserve"> </w:t>
      </w:r>
      <w:r>
        <w:t xml:space="preserve">individually from each patient’s measured circadian phase </w:t>
      </w:r>
      <w:r>
        <w:t xml:space="preserve">(Roenneberg et al. 2003)</w:t>
      </w:r>
      <w:r>
        <w:t xml:space="preserve">.</w:t>
      </w:r>
      <w:r>
        <w:t xml:space="preserve"> </w:t>
      </w:r>
      <w:r>
        <w:t xml:space="preserve">Zhang 2018 therefore provides mechanistic plausibility for the principle that</w:t>
      </w:r>
      <w:r>
        <w:t xml:space="preserve"> </w:t>
      </w:r>
      <w:r>
        <w:t xml:space="preserve">the temporal pattern of cisplatin delivery within a dose modulates acute</w:t>
      </w:r>
      <w:r>
        <w:t xml:space="preserve"> </w:t>
      </w:r>
      <w:r>
        <w:t xml:space="preserve">toxicity in a head-and-neck cancer context, but does not constitute direct</w:t>
      </w:r>
      <w:r>
        <w:t xml:space="preserve"> </w:t>
      </w:r>
      <w:r>
        <w:t xml:space="preserve">evidence for the personalised chronotype-anchored strategy advocated here.</w:t>
      </w:r>
      <w:r>
        <w:t xml:space="preserve"> </w:t>
      </w:r>
      <w:r>
        <w:t xml:space="preserve">Second, NPC differs from OSCC in its viral aetiology (EBV-driven) and</w:t>
      </w:r>
      <w:r>
        <w:t xml:space="preserve"> </w:t>
      </w:r>
      <w:r>
        <w:t xml:space="preserve">biological behaviour; however, it shares the cisplatin-based concurrent</w:t>
      </w:r>
      <w:r>
        <w:t xml:space="preserve"> </w:t>
      </w:r>
      <w:r>
        <w:t xml:space="preserve">chemoradiotherapy regimen and the oral/pharyngeal mucosal toxicity profile</w:t>
      </w:r>
      <w:r>
        <w:t xml:space="preserve"> </w:t>
      </w:r>
      <w:r>
        <w:t xml:space="preserve">that is the primary target of chronotherapy. The mucositis and emesis</w:t>
      </w:r>
      <w:r>
        <w:t xml:space="preserve"> </w:t>
      </w:r>
      <w:r>
        <w:t xml:space="preserve">findings are therefore cautiously transferable to the OSCC/HNSCC context,</w:t>
      </w:r>
      <w:r>
        <w:t xml:space="preserve"> </w:t>
      </w:r>
      <w:r>
        <w:t xml:space="preserve">subject to the proviso that the study was not powered to detect survival</w:t>
      </w:r>
      <w:r>
        <w:t xml:space="preserve"> </w:t>
      </w:r>
      <w:r>
        <w:t xml:space="preserve">differences.</w:t>
      </w:r>
    </w:p>
    <w:bookmarkEnd w:id="36"/>
    <w:bookmarkStart w:id="37" w:name="X1016fe9427d69f4588665b074a96b6042c2f16f"/>
    <w:p>
      <w:pPr>
        <w:pStyle w:val="Heading2"/>
      </w:pPr>
      <w:r>
        <w:t xml:space="preserve">Preclinical models: mechanistic support and translational constraints</w:t>
      </w:r>
    </w:p>
    <w:p>
      <w:pPr>
        <w:pStyle w:val="FirstParagraph"/>
      </w:pPr>
      <w:r>
        <w:t xml:space="preserve">Multiple independent mouse models support the principle of</w:t>
      </w:r>
      <w:r>
        <w:t xml:space="preserve"> </w:t>
      </w:r>
      <w:r>
        <w:t xml:space="preserve">dosing-time-dependent cisplatin toxicity. The most directly relevant</w:t>
      </w:r>
      <w:r>
        <w:t xml:space="preserve"> </w:t>
      </w:r>
      <w:r>
        <w:t xml:space="preserve">is Koritala et al., who demonstrated in a mouse mammary carcinoma model</w:t>
      </w:r>
      <w:r>
        <w:t xml:space="preserve"> </w:t>
      </w:r>
      <w:r>
        <w:t xml:space="preserve">that cisplatin combined with ionising radiation produced different</w:t>
      </w:r>
      <w:r>
        <w:t xml:space="preserve"> </w:t>
      </w:r>
      <w:r>
        <w:t xml:space="preserve">tumour growth inhibition and host toxicity profiles depending on</w:t>
      </w:r>
      <w:r>
        <w:t xml:space="preserve"> </w:t>
      </w:r>
      <w:r>
        <w:t xml:space="preserve">the time of drug delivery </w:t>
      </w:r>
      <w:r>
        <w:t xml:space="preserve">(</w:t>
      </w:r>
      <w:r>
        <w:t xml:space="preserve">Koritala et al.</w:t>
      </w:r>
      <w:r>
        <w:t xml:space="preserve"> </w:t>
      </w:r>
      <w:r>
        <w:t xml:space="preserve">2022)</w:t>
      </w:r>
      <w:r>
        <w:t xml:space="preserve">. The clock-dependent</w:t>
      </w:r>
      <w:r>
        <w:t xml:space="preserve"> </w:t>
      </w:r>
      <w:r>
        <w:t xml:space="preserve">renal OCT2 oscillation established by Oda et al. </w:t>
      </w:r>
      <w:r>
        <w:t xml:space="preserve">(Oda et al. 2014)</w:t>
      </w:r>
      <w:r>
        <w:t xml:space="preserve"> </w:t>
      </w:r>
      <w:r>
        <w:t xml:space="preserve">(Section </w:t>
      </w:r>
      <w:hyperlink w:anchor="sec:gates">
        <w:r>
          <w:rPr>
            <w:rStyle w:val="Hyperlink"/>
          </w:rPr>
          <w:t xml:space="preserve">5</w:t>
        </w:r>
      </w:hyperlink>
      <w:r>
        <w:t xml:space="preserve">) has been independently replicated and is</w:t>
      </w:r>
      <w:r>
        <w:t xml:space="preserve"> </w:t>
      </w:r>
      <w:r>
        <w:t xml:space="preserve">consistent with broader evidence for rhythmic expression of renal</w:t>
      </w:r>
      <w:r>
        <w:t xml:space="preserve"> </w:t>
      </w:r>
      <w:r>
        <w:t xml:space="preserve">efflux transporters including ABCC2 </w:t>
      </w:r>
      <w:r>
        <w:t xml:space="preserve">(</w:t>
      </w:r>
      <w:r>
        <w:t xml:space="preserve">Okyar et al.</w:t>
      </w:r>
      <w:r>
        <w:t xml:space="preserve"> </w:t>
      </w:r>
      <w:r>
        <w:t xml:space="preserve">2011)</w:t>
      </w:r>
      <w:r>
        <w:t xml:space="preserve"> </w:t>
      </w:r>
      <w:r>
        <w:t xml:space="preserve">and MDR1 </w:t>
      </w:r>
      <w:r>
        <w:t xml:space="preserve">(</w:t>
      </w:r>
      <w:r>
        <w:t xml:space="preserve">Sassa et al.</w:t>
      </w:r>
      <w:r>
        <w:t xml:space="preserve"> </w:t>
      </w:r>
      <w:r>
        <w:t xml:space="preserve">2010)</w:t>
      </w:r>
      <w:r>
        <w:t xml:space="preserve">,</w:t>
      </w:r>
      <w:r>
        <w:t xml:space="preserve"> </w:t>
      </w:r>
      <w:r>
        <w:t xml:space="preserve">which modulate intratubular cisplatin retention.</w:t>
      </w:r>
      <w:r>
        <w:t xml:space="preserve"> </w:t>
      </w:r>
      <w:r>
        <w:t xml:space="preserve">However, direct Zeitgeber-time-to-clock-time extrapolations from</w:t>
      </w:r>
      <w:r>
        <w:t xml:space="preserve"> </w:t>
      </w:r>
      <w:r>
        <w:t xml:space="preserve">mouse to human are methodologically invalid: mice are nocturnal, so</w:t>
      </w:r>
      <w:r>
        <w:t xml:space="preserve"> </w:t>
      </w:r>
      <w:r>
        <w:t xml:space="preserve">the ZT6 toxicity peak in Oda et al. corresponds to the onset of the</w:t>
      </w:r>
      <w:r>
        <w:t xml:space="preserve"> </w:t>
      </w:r>
      <w:r>
        <w:t xml:space="preserve">active phase in a mouse, whereas the equivalent circadian phase in a</w:t>
      </w:r>
      <w:r>
        <w:t xml:space="preserve"> </w:t>
      </w:r>
      <w:r>
        <w:t xml:space="preserve">diurnal human would fall in the early evening. Chronotype</w:t>
      </w:r>
      <w:r>
        <w:t xml:space="preserve"> </w:t>
      </w:r>
      <w:r>
        <w:t xml:space="preserve">characterisation is therefore a prerequisite for translating preclinical</w:t>
      </w:r>
      <w:r>
        <w:t xml:space="preserve"> </w:t>
      </w:r>
      <w:r>
        <w:t xml:space="preserve">timing findings to clinical practice.</w:t>
      </w:r>
    </w:p>
    <w:bookmarkEnd w:id="37"/>
    <w:bookmarkStart w:id="38" w:name="X69965935e18cfa33717cdc4029a8dce9d9d7344"/>
    <w:p>
      <w:pPr>
        <w:pStyle w:val="Heading2"/>
      </w:pPr>
      <w:r>
        <w:t xml:space="preserve">Counter-evidence, sex interactions, and the circadian-disruption</w:t>
      </w:r>
      <w:r>
        <w:t xml:space="preserve"> </w:t>
      </w:r>
      <w:r>
        <w:t xml:space="preserve">problem</w:t>
      </w:r>
    </w:p>
    <w:p>
      <w:pPr>
        <w:pStyle w:val="FirstParagraph"/>
      </w:pPr>
      <w:r>
        <w:t xml:space="preserve">The most sobering data from the chronotherapy literature come from the</w:t>
      </w:r>
      <w:r>
        <w:t xml:space="preserve"> </w:t>
      </w:r>
      <w:r>
        <w:t xml:space="preserve">Giacchetti et al. EORTC phase III trial, the largest randomised study of</w:t>
      </w:r>
      <w:r>
        <w:t xml:space="preserve"> </w:t>
      </w:r>
      <w:r>
        <w:t xml:space="preserve">platinum-based chronomodulated therapy ever</w:t>
      </w:r>
      <w:r>
        <w:t xml:space="preserve"> </w:t>
      </w:r>
      <w:r>
        <w:t xml:space="preserve">conducted </w:t>
      </w:r>
      <w:r>
        <w:t xml:space="preserve">(</w:t>
      </w:r>
      <w:r>
        <w:t xml:space="preserve">Giacchetti et al.</w:t>
      </w:r>
      <w:r>
        <w:t xml:space="preserve"> </w:t>
      </w:r>
      <w:r>
        <w:t xml:space="preserve">2006)</w:t>
      </w:r>
      <w:r>
        <w:t xml:space="preserve">. Among 564 patients with advanced</w:t>
      </w:r>
      <w:r>
        <w:t xml:space="preserve"> </w:t>
      </w:r>
      <w:r>
        <w:t xml:space="preserve">colorectal cancer, chronomodulated oxaliplatin/5-fluorouracil/leucovorin</w:t>
      </w:r>
      <w:r>
        <w:t xml:space="preserve"> </w:t>
      </w:r>
      <w:r>
        <w:t xml:space="preserve">improved objective response rate and reduced grade </w:t>
      </w:r>
      <m:oMath>
        <m:r>
          <m:rPr>
            <m:sty m:val="p"/>
          </m:rPr>
          <m:t>≥</m:t>
        </m:r>
      </m:oMath>
      <w:r>
        <w:t xml:space="preserve">3 mucositis and</w:t>
      </w:r>
      <w:r>
        <w:t xml:space="preserve"> </w:t>
      </w:r>
      <w:r>
        <w:t xml:space="preserve">functional impairment versus conventional infusion — but this benefit was</w:t>
      </w:r>
      <w:r>
        <w:t xml:space="preserve"> </w:t>
      </w:r>
      <w:r>
        <w:t xml:space="preserve">entirely concentrated in male patients. Women in the chronomodulated arm</w:t>
      </w:r>
      <w:r>
        <w:t xml:space="preserve"> </w:t>
      </w:r>
      <w:r>
        <w:t xml:space="preserve">experienced</w:t>
      </w:r>
      <w:r>
        <w:t xml:space="preserve"> </w:t>
      </w:r>
      <w:r>
        <w:rPr>
          <w:i/>
          <w:iCs/>
        </w:rPr>
        <w:t xml:space="preserve">significantly worse</w:t>
      </w:r>
      <w:r>
        <w:t xml:space="preserve"> </w:t>
      </w:r>
      <w:r>
        <w:t xml:space="preserve">toxicity and inferior survival</w:t>
      </w:r>
      <w:r>
        <w:t xml:space="preserve"> </w:t>
      </w:r>
      <w:r>
        <w:t xml:space="preserve">outcomes, a sex</w:t>
      </w:r>
      <m:oMath>
        <m:r>
          <m:rPr>
            <m:sty m:val="p"/>
          </m:rPr>
          <m:t>×</m:t>
        </m:r>
      </m:oMath>
      <w:r>
        <w:t xml:space="preserve">timing interaction that was neither predicted by</w:t>
      </w:r>
      <w:r>
        <w:t xml:space="preserve"> </w:t>
      </w:r>
      <w:r>
        <w:t xml:space="preserve">the preceding mechanistic framework nor identified in any preclinical model.</w:t>
      </w:r>
    </w:p>
    <w:p>
      <w:pPr>
        <w:pStyle w:val="BodyText"/>
      </w:pPr>
      <w:r>
        <w:t xml:space="preserve">What the Giacchetti failure taught the field is threefold. First, the</w:t>
      </w:r>
      <w:r>
        <w:t xml:space="preserve"> </w:t>
      </w:r>
      <w:r>
        <w:t xml:space="preserve">circadian phase relationships between molecular oscillators (XPA, OCT2,</w:t>
      </w:r>
      <w:r>
        <w:t xml:space="preserve"> </w:t>
      </w:r>
      <w:r>
        <w:t xml:space="preserve">GSH) and sex-linked pharmacokinetics are not equivalent in women and men;</w:t>
      </w:r>
      <w:r>
        <w:t xml:space="preserve"> </w:t>
      </w:r>
      <w:r>
        <w:t xml:space="preserve">a chronomodulated schedule optimised for average male chronobiology was</w:t>
      </w:r>
      <w:r>
        <w:t xml:space="preserve"> </w:t>
      </w:r>
      <w:r>
        <w:t xml:space="preserve">actively harmful in women. Second, animal-to-human and sex-specific</w:t>
      </w:r>
      <w:r>
        <w:t xml:space="preserve"> </w:t>
      </w:r>
      <w:r>
        <w:t xml:space="preserve">extrapolation cannot be assumed from rodent data and requires explicit</w:t>
      </w:r>
      <w:r>
        <w:t xml:space="preserve"> </w:t>
      </w:r>
      <w:r>
        <w:t xml:space="preserve">experimental interrogation. Third, prospective sex-stratified analysis</w:t>
      </w:r>
      <w:r>
        <w:t xml:space="preserve"> </w:t>
      </w:r>
      <w:r>
        <w:t xml:space="preserve">— with formal pre-specified interaction tests and independent safety</w:t>
      </w:r>
      <w:r>
        <w:t xml:space="preserve"> </w:t>
      </w:r>
      <w:r>
        <w:t xml:space="preserve">monitoring of female participants — is a patient safety requirement</w:t>
      </w:r>
      <w:r>
        <w:t xml:space="preserve"> </w:t>
      </w:r>
      <w:r>
        <w:t xml:space="preserve">in any future cisplatin chronomodulation trial, not a statistical option.</w:t>
      </w:r>
      <w:r>
        <w:t xml:space="preserve"> </w:t>
      </w:r>
      <w:r>
        <w:t xml:space="preserve">Innominato and colleagues subsequently confirmed sex-related modulation of</w:t>
      </w:r>
      <w:r>
        <w:t xml:space="preserve"> </w:t>
      </w:r>
      <w:r>
        <w:t xml:space="preserve">chronotherapy outcomes in the ARTDECO trial </w:t>
      </w:r>
      <w:r>
        <w:t xml:space="preserve">(</w:t>
      </w:r>
      <w:r>
        <w:t xml:space="preserve">Innominato et al.</w:t>
      </w:r>
      <w:r>
        <w:t xml:space="preserve"> </w:t>
      </w:r>
      <w:r>
        <w:t xml:space="preserve">2020)</w:t>
      </w:r>
      <w:r>
        <w:t xml:space="preserve">,</w:t>
      </w:r>
      <w:r>
        <w:t xml:space="preserve"> </w:t>
      </w:r>
      <w:r>
        <w:t xml:space="preserve">establishing biological sex as a first-order independent variable in the</w:t>
      </w:r>
      <w:r>
        <w:t xml:space="preserve"> </w:t>
      </w:r>
      <w:r>
        <w:t xml:space="preserve">circadian pharmacology of platinum-fluoropyrimidine regimens.</w:t>
      </w:r>
    </w:p>
    <w:p>
      <w:pPr>
        <w:pStyle w:val="BodyText"/>
      </w:pPr>
      <w:r>
        <w:t xml:space="preserve">Seto et al. demonstrated in a non-small-cell lung cancer xenograft model</w:t>
      </w:r>
      <w:r>
        <w:t xml:space="preserve"> </w:t>
      </w:r>
      <w:r>
        <w:t xml:space="preserve">that cisplatin dosing times that reduce nephrotoxicity do not necessarily</w:t>
      </w:r>
      <w:r>
        <w:t xml:space="preserve"> </w:t>
      </w:r>
      <w:r>
        <w:t xml:space="preserve">reduce peripheral neuropathy in a parallel manner, raising the possibility</w:t>
      </w:r>
      <w:r>
        <w:t xml:space="preserve"> </w:t>
      </w:r>
      <w:r>
        <w:t xml:space="preserve">of organ-specific timing trade-offs </w:t>
      </w:r>
      <w:r>
        <w:t xml:space="preserve">(</w:t>
      </w:r>
      <w:r>
        <w:t xml:space="preserve">Seto et al.</w:t>
      </w:r>
      <w:r>
        <w:t xml:space="preserve"> </w:t>
      </w:r>
      <w:r>
        <w:t xml:space="preserve">2016)</w:t>
      </w:r>
      <w:r>
        <w:t xml:space="preserve">. Finally, the</w:t>
      </w:r>
      <w:r>
        <w:t xml:space="preserve"> </w:t>
      </w:r>
      <w:r>
        <w:t xml:space="preserve">circadian-disruption problem is fundamental: cancer patients frequently</w:t>
      </w:r>
      <w:r>
        <w:t xml:space="preserve"> </w:t>
      </w:r>
      <w:r>
        <w:t xml:space="preserve">have blunted or phase-shifted rest–activity rhythms at baseline due to</w:t>
      </w:r>
      <w:r>
        <w:t xml:space="preserve"> </w:t>
      </w:r>
      <w:r>
        <w:t xml:space="preserve">illness, sleep disruption, and the tumour</w:t>
      </w:r>
      <w:r>
        <w:t xml:space="preserve"> </w:t>
      </w:r>
      <w:r>
        <w:t xml:space="preserve">microenvironment </w:t>
      </w:r>
      <w:r>
        <w:t xml:space="preserve">(Mormont et al. 2000; Innominato et al. 2014)</w:t>
      </w:r>
      <w:r>
        <w:t xml:space="preserve">, which would attenuate</w:t>
      </w:r>
      <w:r>
        <w:t xml:space="preserve"> </w:t>
      </w:r>
      <w:r>
        <w:t xml:space="preserve">or eliminate the timing gates described in Section </w:t>
      </w:r>
      <w:hyperlink w:anchor="sec:gates">
        <w:r>
          <w:rPr>
            <w:rStyle w:val="Hyperlink"/>
          </w:rPr>
          <w:t xml:space="preserve">5</w:t>
        </w:r>
      </w:hyperlink>
      <w:r>
        <w:t xml:space="preserve">.</w:t>
      </w:r>
      <w:r>
        <w:t xml:space="preserve"> </w:t>
      </w:r>
      <w:r>
        <w:t xml:space="preserve">Any clinical trial of cisplatin chronotherapy must therefore monitor</w:t>
      </w:r>
      <w:r>
        <w:t xml:space="preserve"> </w:t>
      </w:r>
      <w:r>
        <w:t xml:space="preserve">circadian rhythm integrity as a stratification and biomarker variable,</w:t>
      </w:r>
      <w:r>
        <w:t xml:space="preserve"> </w:t>
      </w:r>
      <w:r>
        <w:t xml:space="preserve">and must be sex-stratified by design.</w:t>
      </w:r>
    </w:p>
    <w:p>
      <w:pPr>
        <w:pStyle w:val="BodyText"/>
      </w:pPr>
      <w:r>
        <w:t xml:space="preserve">The breadth of circadian pharmacology now extends to immune-checkpoint</w:t>
      </w:r>
      <w:r>
        <w:t xml:space="preserve"> </w:t>
      </w:r>
      <w:r>
        <w:t xml:space="preserve">agents: a multicentre analysis found that the time of immunotherapy infusion</w:t>
      </w:r>
      <w:r>
        <w:t xml:space="preserve"> </w:t>
      </w:r>
      <w:r>
        <w:t xml:space="preserve">significantly affected overall survival in melanoma and lung cancer</w:t>
      </w:r>
      <w:r>
        <w:t xml:space="preserve"> </w:t>
      </w:r>
      <w:r>
        <w:t xml:space="preserve">patients </w:t>
      </w:r>
      <w:r>
        <w:t xml:space="preserve">(</w:t>
      </w:r>
      <w:r>
        <w:t xml:space="preserve">Qian et al.</w:t>
      </w:r>
      <w:r>
        <w:t xml:space="preserve"> </w:t>
      </w:r>
      <w:r>
        <w:t xml:space="preserve">2021)</w:t>
      </w:r>
      <w:r>
        <w:t xml:space="preserve">, indicating that chrono-sensitivity is not</w:t>
      </w:r>
      <w:r>
        <w:t xml:space="preserve"> </w:t>
      </w:r>
      <w:r>
        <w:t xml:space="preserve">limited to cytotoxic platinum compounds and strengthening the general</w:t>
      </w:r>
      <w:r>
        <w:t xml:space="preserve"> </w:t>
      </w:r>
      <w:r>
        <w:t xml:space="preserve">rationale for time-of-delivery research in oncology.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Study type</w:t>
            </w:r>
          </w:p>
        </w:tc>
        <w:tc>
          <w:tcPr/>
          <w:p>
            <w:pPr>
              <w:pStyle w:val="Compact"/>
              <w:jc w:val="left"/>
            </w:pPr>
            <w:r>
              <w:rPr>
                <w:b/>
                <w:bCs/>
              </w:rPr>
              <w:t xml:space="preserve">Model/population</w:t>
            </w:r>
          </w:p>
        </w:tc>
        <w:tc>
          <w:tcPr/>
          <w:p>
            <w:pPr>
              <w:pStyle w:val="Compact"/>
              <w:jc w:val="left"/>
            </w:pPr>
            <w:r>
              <w:rPr>
                <w:b/>
                <w:bCs/>
              </w:rPr>
              <w:t xml:space="preserve">Intervention</w:t>
            </w:r>
          </w:p>
        </w:tc>
        <w:tc>
          <w:tcPr/>
          <w:p>
            <w:pPr>
              <w:pStyle w:val="Compact"/>
              <w:jc w:val="left"/>
            </w:pPr>
            <w:r>
              <w:rPr>
                <w:b/>
                <w:bCs/>
              </w:rPr>
              <w:t xml:space="preserve">Main findings</w:t>
            </w:r>
          </w:p>
        </w:tc>
        <w:tc>
          <w:tcPr/>
          <w:p>
            <w:pPr>
              <w:pStyle w:val="Compact"/>
              <w:jc w:val="left"/>
            </w:pPr>
            <w:r>
              <w:rPr>
                <w:b/>
                <w:bCs/>
              </w:rPr>
              <w:t xml:space="preserve">Major limitation</w:t>
            </w:r>
          </w:p>
        </w:tc>
        <w:tc>
          <w:tcPr/>
          <w:p>
            <w:pPr>
              <w:pStyle w:val="Compact"/>
              <w:jc w:val="left"/>
            </w:pPr>
            <w:r>
              <w:rPr>
                <w:b/>
                <w:bCs/>
              </w:rPr>
              <w:t xml:space="preserve">OSCC/HNSCC relevance</w:t>
            </w:r>
          </w:p>
        </w:tc>
      </w:tr>
      <w:tr>
        <w:tc>
          <w:tcPr/>
          <w:p>
            <w:pPr>
              <w:pStyle w:val="Compact"/>
              <w:jc w:val="left"/>
            </w:pPr>
            <w:r>
              <w:t xml:space="preserve">OSCC crossover pilot</w:t>
            </w:r>
          </w:p>
        </w:tc>
        <w:tc>
          <w:tcPr/>
          <w:p>
            <w:pPr>
              <w:pStyle w:val="Compact"/>
              <w:jc w:val="left"/>
            </w:pPr>
            <w:r>
              <w:t xml:space="preserve">OSCC patients; DCF induction</w:t>
            </w:r>
          </w:p>
        </w:tc>
        <w:tc>
          <w:tcPr/>
          <w:p>
            <w:pPr>
              <w:pStyle w:val="Compact"/>
              <w:jc w:val="left"/>
            </w:pPr>
            <w:r>
              <w:t xml:space="preserve">Daytime vs evening cisplatin</w:t>
            </w:r>
          </w:p>
        </w:tc>
        <w:tc>
          <w:tcPr/>
          <w:p>
            <w:pPr>
              <w:pStyle w:val="Compact"/>
              <w:jc w:val="left"/>
            </w:pPr>
            <w:r>
              <w:t xml:space="preserve">Reduced severe nausea/vomiting</w:t>
            </w:r>
          </w:p>
        </w:tc>
        <w:tc>
          <w:tcPr/>
          <w:p>
            <w:pPr>
              <w:pStyle w:val="Compact"/>
              <w:jc w:val="left"/>
            </w:pPr>
            <m:oMath>
              <m:r>
                <m:t>n</m:t>
              </m:r>
              <m:r>
                <m:rPr>
                  <m:sty m:val="p"/>
                </m:rPr>
                <m:t>=</m:t>
              </m:r>
              <m:r>
                <m:t>9</m:t>
              </m:r>
            </m:oMath>
            <w:r>
              <w:t xml:space="preserve">; no efficacy power</w:t>
            </w:r>
          </w:p>
        </w:tc>
        <w:tc>
          <w:tcPr/>
          <w:p>
            <w:pPr>
              <w:pStyle w:val="Compact"/>
              <w:jc w:val="left"/>
            </w:pPr>
            <w:r>
              <w:t xml:space="preserve">Direct but preliminary</w:t>
            </w:r>
          </w:p>
        </w:tc>
      </w:tr>
      <w:tr>
        <w:tc>
          <w:tcPr/>
          <w:p>
            <w:pPr>
              <w:pStyle w:val="Compact"/>
              <w:jc w:val="left"/>
            </w:pPr>
            <w:r>
              <w:t xml:space="preserve">NPC phase II RCT</w:t>
            </w:r>
          </w:p>
        </w:tc>
        <w:tc>
          <w:tcPr/>
          <w:p>
            <w:pPr>
              <w:pStyle w:val="Compact"/>
              <w:jc w:val="left"/>
            </w:pPr>
            <w:r>
              <w:t xml:space="preserve">Locally advanced NPC</w:t>
            </w:r>
          </w:p>
        </w:tc>
        <w:tc>
          <w:tcPr/>
          <w:p>
            <w:pPr>
              <w:pStyle w:val="Compact"/>
              <w:jc w:val="left"/>
            </w:pPr>
            <w:r>
              <w:t xml:space="preserve">Chronomodulated vs constant cisplatin</w:t>
            </w:r>
          </w:p>
        </w:tc>
        <w:tc>
          <w:tcPr/>
          <w:p>
            <w:pPr>
              <w:pStyle w:val="Compact"/>
              <w:jc w:val="left"/>
            </w:pPr>
            <w:r>
              <w:t xml:space="preserve">Reduced nausea, vomiting, mucositis</w:t>
            </w:r>
          </w:p>
        </w:tc>
        <w:tc>
          <w:tcPr/>
          <w:p>
            <w:pPr>
              <w:pStyle w:val="Compact"/>
              <w:jc w:val="left"/>
            </w:pPr>
            <w:r>
              <w:t xml:space="preserve">NPC</w:t>
            </w:r>
            <w:r>
              <w:t xml:space="preserve"> </w:t>
            </w:r>
            <m:oMath>
              <m:r>
                <m:rPr>
                  <m:sty m:val="p"/>
                </m:rPr>
                <m:t>≠</m:t>
              </m:r>
            </m:oMath>
            <w:r>
              <w:t xml:space="preserve"> </w:t>
            </w:r>
            <w:r>
              <w:t xml:space="preserve">OSCC; not survival-powered</w:t>
            </w:r>
          </w:p>
        </w:tc>
        <w:tc>
          <w:tcPr/>
          <w:p>
            <w:pPr>
              <w:pStyle w:val="Compact"/>
              <w:jc w:val="left"/>
            </w:pPr>
            <w:r>
              <w:t xml:space="preserve">Supports mucosal/GI endpoint selection</w:t>
            </w:r>
          </w:p>
        </w:tc>
      </w:tr>
      <w:tr>
        <w:tc>
          <w:tcPr/>
          <w:p>
            <w:pPr>
              <w:pStyle w:val="Compact"/>
              <w:jc w:val="left"/>
            </w:pPr>
            <w:r>
              <w:t xml:space="preserve">Mouse cisplatin models</w:t>
            </w:r>
          </w:p>
        </w:tc>
        <w:tc>
          <w:tcPr/>
          <w:p>
            <w:pPr>
              <w:pStyle w:val="Compact"/>
              <w:jc w:val="left"/>
            </w:pPr>
            <w:r>
              <w:t xml:space="preserve">Tumour-bearing mice (non-HNSCC)</w:t>
            </w:r>
          </w:p>
        </w:tc>
        <w:tc>
          <w:tcPr/>
          <w:p>
            <w:pPr>
              <w:pStyle w:val="Compact"/>
              <w:jc w:val="left"/>
            </w:pPr>
            <w:r>
              <w:t xml:space="preserve">ZT-based cisplatin timing</w:t>
            </w:r>
          </w:p>
        </w:tc>
        <w:tc>
          <w:tcPr/>
          <w:p>
            <w:pPr>
              <w:pStyle w:val="Compact"/>
              <w:jc w:val="left"/>
            </w:pPr>
            <w:r>
              <w:t xml:space="preserve">Time-of-day affects toxicity and DNA repair</w:t>
            </w:r>
          </w:p>
        </w:tc>
        <w:tc>
          <w:tcPr/>
          <w:p>
            <w:pPr>
              <w:pStyle w:val="Compact"/>
              <w:jc w:val="left"/>
            </w:pPr>
            <w:r>
              <w:t xml:space="preserve">Cancer model mismatch</w:t>
            </w:r>
          </w:p>
        </w:tc>
        <w:tc>
          <w:tcPr/>
          <w:p>
            <w:pPr>
              <w:pStyle w:val="Compact"/>
              <w:jc w:val="left"/>
            </w:pPr>
            <w:r>
              <w:t xml:space="preserve">Mechanistic support</w:t>
            </w:r>
          </w:p>
        </w:tc>
      </w:tr>
      <w:tr>
        <w:tc>
          <w:tcPr/>
          <w:p>
            <w:pPr>
              <w:pStyle w:val="Compact"/>
              <w:jc w:val="left"/>
            </w:pPr>
            <w:r>
              <w:t xml:space="preserve">Clock-disruption models</w:t>
            </w:r>
          </w:p>
        </w:tc>
        <w:tc>
          <w:tcPr/>
          <w:p>
            <w:pPr>
              <w:pStyle w:val="Compact"/>
              <w:jc w:val="left"/>
            </w:pPr>
            <w:r>
              <w:t xml:space="preserve">Tumour-bearing jet-lagged mice</w:t>
            </w:r>
          </w:p>
        </w:tc>
        <w:tc>
          <w:tcPr/>
          <w:p>
            <w:pPr>
              <w:pStyle w:val="Compact"/>
              <w:jc w:val="left"/>
            </w:pPr>
            <w:r>
              <w:t xml:space="preserve">Normal vs disrupted rhythm</w:t>
            </w:r>
          </w:p>
        </w:tc>
        <w:tc>
          <w:tcPr/>
          <w:p>
            <w:pPr>
              <w:pStyle w:val="Compact"/>
              <w:jc w:val="left"/>
            </w:pPr>
            <w:r>
              <w:t xml:space="preserve">Disruption abolishes timing benefit</w:t>
            </w:r>
          </w:p>
        </w:tc>
        <w:tc>
          <w:tcPr/>
          <w:p>
            <w:pPr>
              <w:pStyle w:val="Compact"/>
              <w:jc w:val="left"/>
            </w:pPr>
            <w:r>
              <w:t xml:space="preserve">Preclinical only</w:t>
            </w:r>
          </w:p>
        </w:tc>
        <w:tc>
          <w:tcPr/>
          <w:p>
            <w:pPr>
              <w:pStyle w:val="Compact"/>
              <w:jc w:val="left"/>
            </w:pPr>
            <w:r>
              <w:t xml:space="preserve">Supports need for circadian monitoring</w:t>
            </w:r>
          </w:p>
        </w:tc>
      </w:tr>
      <w:tr>
        <w:tc>
          <w:tcPr/>
          <w:p>
            <w:pPr>
              <w:pStyle w:val="Compact"/>
              <w:jc w:val="left"/>
            </w:pPr>
            <w:r>
              <w:t xml:space="preserve">Population chronobiology cohorts</w:t>
            </w:r>
          </w:p>
        </w:tc>
        <w:tc>
          <w:tcPr/>
          <w:p>
            <w:pPr>
              <w:pStyle w:val="Compact"/>
              <w:jc w:val="left"/>
            </w:pPr>
            <w:r>
              <w:t xml:space="preserve">Cancer patients; rest-activity monitoring</w:t>
            </w:r>
          </w:p>
        </w:tc>
        <w:tc>
          <w:tcPr/>
          <w:p>
            <w:pPr>
              <w:pStyle w:val="Compact"/>
              <w:jc w:val="left"/>
            </w:pPr>
            <w:r>
              <w:t xml:space="preserve">Rest-activity rhythm assessment</w:t>
            </w:r>
          </w:p>
        </w:tc>
        <w:tc>
          <w:tcPr/>
          <w:p>
            <w:pPr>
              <w:pStyle w:val="Compact"/>
              <w:jc w:val="left"/>
            </w:pPr>
            <w:r>
              <w:t xml:space="preserve">Rhythm disruption linked to poorer outcomes</w:t>
            </w:r>
          </w:p>
        </w:tc>
        <w:tc>
          <w:tcPr/>
          <w:p>
            <w:pPr>
              <w:pStyle w:val="Compact"/>
              <w:jc w:val="left"/>
            </w:pPr>
            <w:r>
              <w:t xml:space="preserve">Not cisplatin-specific</w:t>
            </w:r>
          </w:p>
        </w:tc>
        <w:tc>
          <w:tcPr/>
          <w:p>
            <w:pPr>
              <w:pStyle w:val="Compact"/>
              <w:jc w:val="left"/>
            </w:pPr>
            <w:r>
              <w:t xml:space="preserve">Circadian integrity as prognostic biomarker</w:t>
            </w:r>
          </w:p>
        </w:tc>
      </w:tr>
    </w:tbl>
    <w:bookmarkEnd w:id="38"/>
    <w:bookmarkEnd w:id="39"/>
    <w:bookmarkStart w:id="46" w:name="sec:future"/>
    <w:p>
      <w:pPr>
        <w:pStyle w:val="Heading1"/>
      </w:pPr>
      <w:r>
        <w:t xml:space="preserve">From fixed clock-time dosing to chronotype-aware cisplatin scheduling</w:t>
      </w:r>
    </w:p>
    <w:p>
      <w:pPr>
        <w:pStyle w:val="FirstParagraph"/>
      </w:pPr>
      <w:r>
        <w:t xml:space="preserve">The mechanistic and clinical evidence reviewed in Sections </w:t>
      </w:r>
      <w:hyperlink w:anchor="sec:gates">
        <w:r>
          <w:rPr>
            <w:rStyle w:val="Hyperlink"/>
          </w:rPr>
          <w:t xml:space="preserve">5</w:t>
        </w:r>
      </w:hyperlink>
      <w:r>
        <w:t xml:space="preserve"> </w:t>
      </w:r>
      <w:r>
        <w:t xml:space="preserve">and </w:t>
      </w:r>
      <w:hyperlink w:anchor="sec:evidence">
        <w:r>
          <w:rPr>
            <w:rStyle w:val="Hyperlink"/>
          </w:rPr>
          <w:t xml:space="preserve">6</w:t>
        </w:r>
      </w:hyperlink>
      <w:r>
        <w:t xml:space="preserve"> </w:t>
      </w:r>
      <w:r>
        <w:t xml:space="preserve">supports the hypothesis that cisplatin toxicity</w:t>
      </w:r>
      <w:r>
        <w:t xml:space="preserve"> </w:t>
      </w:r>
      <w:r>
        <w:t xml:space="preserve">in OSCC/HNSCC is modifiable by the circadian time of delivery, but</w:t>
      </w:r>
      <w:r>
        <w:t xml:space="preserve"> </w:t>
      </w:r>
      <w:r>
        <w:t xml:space="preserve">translating this hypothesis into a trial-ready protocol requires</w:t>
      </w:r>
      <w:r>
        <w:t xml:space="preserve"> </w:t>
      </w:r>
      <w:r>
        <w:t xml:space="preserve">five design commitments that have been absent from the handful of</w:t>
      </w:r>
      <w:r>
        <w:t xml:space="preserve"> </w:t>
      </w:r>
      <w:r>
        <w:t xml:space="preserve">published studies: chronotype-aware rather than fixed-clock scheduling;</w:t>
      </w:r>
      <w:r>
        <w:t xml:space="preserve"> </w:t>
      </w:r>
      <w:r>
        <w:t xml:space="preserve">toxicity as the primary endpoint rather than a secondary measure;</w:t>
      </w:r>
      <w:r>
        <w:t xml:space="preserve"> </w:t>
      </w:r>
      <w:r>
        <w:t xml:space="preserve">prospective circadian integrity assessment; biomarker integration for</w:t>
      </w:r>
      <w:r>
        <w:t xml:space="preserve"> </w:t>
      </w:r>
      <w:r>
        <w:t xml:space="preserve">mechanistic interpretation; and systematic evaluation of workflow</w:t>
      </w:r>
      <w:r>
        <w:t xml:space="preserve"> </w:t>
      </w:r>
      <w:r>
        <w:t xml:space="preserve">feasibility. Table </w:t>
      </w:r>
      <w:hyperlink w:anchor="tab:trial">
        <w:r>
          <w:rPr>
            <w:rStyle w:val="Hyperlink"/>
          </w:rPr>
          <w:t xml:space="preserve">[tab:trial]</w:t>
        </w:r>
      </w:hyperlink>
      <w:r>
        <w:t xml:space="preserve"> </w:t>
      </w:r>
      <w:r>
        <w:t xml:space="preserve">presents a schematic design for a</w:t>
      </w:r>
      <w:r>
        <w:t xml:space="preserve"> </w:t>
      </w:r>
      <w:r>
        <w:t xml:space="preserve">proof-of-concept phase II randomised trial —</w:t>
      </w:r>
      <w:r>
        <w:t xml:space="preserve"> </w:t>
      </w:r>
      <w:r>
        <w:rPr>
          <w:i/>
          <w:iCs/>
        </w:rPr>
        <w:t xml:space="preserve">Chronotype-informed</w:t>
      </w:r>
      <w:r>
        <w:rPr>
          <w:i/>
          <w:iCs/>
        </w:rPr>
        <w:t xml:space="preserve"> </w:t>
      </w:r>
      <w:r>
        <w:rPr>
          <w:i/>
          <w:iCs/>
        </w:rPr>
        <w:t xml:space="preserve">cisplatin scheduling for toxicity reduction in OSCC/HNSCC receiving</w:t>
      </w:r>
      <w:r>
        <w:rPr>
          <w:i/>
          <w:iCs/>
        </w:rPr>
        <w:t xml:space="preserve"> </w:t>
      </w:r>
      <w:r>
        <w:rPr>
          <w:i/>
          <w:iCs/>
        </w:rPr>
        <w:t xml:space="preserve">chemoradiotherapy</w:t>
      </w:r>
      <w:r>
        <w:t xml:space="preserve"> </w:t>
      </w:r>
      <w:r>
        <w:t xml:space="preserve">— that embodies all five principles.</w:t>
      </w:r>
    </w:p>
    <w:bookmarkStart w:id="40" w:name="X5c3f6427b0004e1644c7a3a4c332d2ac2634321"/>
    <w:p>
      <w:pPr>
        <w:pStyle w:val="Heading2"/>
      </w:pPr>
      <w:r>
        <w:t xml:space="preserve">Design principle 1: chronotype-aware, not fixed clock</w:t>
      </w:r>
    </w:p>
    <w:p>
      <w:pPr>
        <w:pStyle w:val="FirstParagraph"/>
      </w:pPr>
      <w:r>
        <w:t xml:space="preserve">The principal failure mode of early chronotherapy trials was the</w:t>
      </w:r>
      <w:r>
        <w:t xml:space="preserve"> </w:t>
      </w:r>
      <w:r>
        <w:t xml:space="preserve">application of a universal clock time — typically a fixed morning</w:t>
      </w:r>
      <w:r>
        <w:t xml:space="preserve"> </w:t>
      </w:r>
      <w:r>
        <w:t xml:space="preserve">or evening infusion window — to an uncharacterised patient population.</w:t>
      </w:r>
      <w:r>
        <w:t xml:space="preserve"> </w:t>
      </w:r>
      <w:r>
        <w:t xml:space="preserve">Circadian phase varies substantially between individuals: the</w:t>
      </w:r>
      <w:r>
        <w:t xml:space="preserve"> </w:t>
      </w:r>
      <w:r>
        <w:t xml:space="preserve">midsleep-point on free days (the Munich Chronotype Questionnaire proxy</w:t>
      </w:r>
      <w:r>
        <w:t xml:space="preserve"> </w:t>
      </w:r>
      <w:r>
        <w:t xml:space="preserve">for intrinsic circadian phase) </w:t>
      </w:r>
      <w:r>
        <w:t xml:space="preserve">(Roenneberg et al. 2003)</w:t>
      </w:r>
      <w:r>
        <w:t xml:space="preserve"> </w:t>
      </w:r>
      <w:r>
        <w:t xml:space="preserve">varies by more than</w:t>
      </w:r>
      <w:r>
        <w:t xml:space="preserve"> </w:t>
      </w:r>
      <w:r>
        <w:t xml:space="preserve">four hours across a healthy adult population and by greater amounts in</w:t>
      </w:r>
      <w:r>
        <w:t xml:space="preserve"> </w:t>
      </w:r>
      <w:r>
        <w:t xml:space="preserve">elderly and oncology cohorts </w:t>
      </w:r>
      <w:r>
        <w:t xml:space="preserve">(Innominato et al. 2014)</w:t>
      </w:r>
      <w:r>
        <w:t xml:space="preserve">. A fixed 6 a.m. cisplatin delivery coincides with the low-OCT2 window for evening</w:t>
      </w:r>
      <w:r>
        <w:t xml:space="preserve"> </w:t>
      </w:r>
      <w:r>
        <w:t xml:space="preserve">chronotypes but with the high-OCT2 window for morning chronotypes,</w:t>
      </w:r>
      <w:r>
        <w:t xml:space="preserve"> </w:t>
      </w:r>
      <w:r>
        <w:t xml:space="preserve">which would predict equal or increased nephrotoxicity.</w:t>
      </w:r>
      <w:r>
        <w:t xml:space="preserve"> </w:t>
      </w:r>
      <w:r>
        <w:t xml:space="preserve">The proposed trial requires a 7-day pre-treatment actigraphy run-in</w:t>
      </w:r>
      <w:r>
        <w:t xml:space="preserve"> </w:t>
      </w:r>
      <w:r>
        <w:t xml:space="preserve">to estimate individual circadian phase, supplemented by the Munich</w:t>
      </w:r>
      <w:r>
        <w:t xml:space="preserve"> </w:t>
      </w:r>
      <w:r>
        <w:t xml:space="preserve">Chronotype Questionnaire </w:t>
      </w:r>
      <w:r>
        <w:t xml:space="preserve">(Roenneberg et al. 2003)</w:t>
      </w:r>
      <w:r>
        <w:t xml:space="preserve">, and delivers cisplatin</w:t>
      </w:r>
      <w:r>
        <w:t xml:space="preserve"> </w:t>
      </w:r>
      <w:r>
        <w:t xml:space="preserve">at a calculated time corresponding to approximately the mid-to-late</w:t>
      </w:r>
      <w:r>
        <w:t xml:space="preserve"> </w:t>
      </w:r>
      <w:r>
        <w:t xml:space="preserve">subjective day.</w:t>
      </w:r>
    </w:p>
    <w:p>
      <w:pPr>
        <w:pStyle w:val="BodyText"/>
      </w:pPr>
      <w:r>
        <w:t xml:space="preserve">The delivery-time formula is:</w:t>
      </w:r>
      <w:r>
        <w:t xml:space="preserve"> </w:t>
      </w:r>
      <w:r>
        <w:rPr>
          <w:i/>
          <w:iCs/>
        </w:rPr>
        <w:t xml:space="preserve">Cisplatin infusion time = midsleep on</w:t>
      </w:r>
      <w:r>
        <w:rPr>
          <w:i/>
          <w:iCs/>
        </w:rPr>
        <w:t xml:space="preserve"> </w:t>
      </w:r>
      <w:r>
        <w:rPr>
          <w:i/>
          <w:iCs/>
        </w:rPr>
        <w:t xml:space="preserve">free days (MSFsc)</w:t>
      </w:r>
      <w:r>
        <w:rPr>
          <w:i/>
          <w:iCs/>
        </w:rPr>
        <w:t xml:space="preserve"> </w:t>
      </w:r>
      <m:oMath>
        <m:r>
          <m:rPr>
            <m:sty m:val="p"/>
          </m:rPr>
          <m:t>−</m:t>
        </m:r>
      </m:oMath>
      <w:r>
        <w:rPr>
          <w:i/>
          <w:iCs/>
        </w:rPr>
        <w:t xml:space="preserve"> 7 hours</w:t>
      </w:r>
      <w:r>
        <w:t xml:space="preserve">. The</w:t>
      </w:r>
      <w:r>
        <w:t xml:space="preserve"> </w:t>
      </w:r>
      <m:oMath>
        <m:r>
          <m:rPr>
            <m:sty m:val="p"/>
          </m:rPr>
          <m:t>−</m:t>
        </m:r>
        <m:r>
          <m:t>7</m:t>
        </m:r>
      </m:oMath>
      <w:r>
        <w:t xml:space="preserve"> h offset is derived from the</w:t>
      </w:r>
      <w:r>
        <w:t xml:space="preserve"> </w:t>
      </w:r>
      <w:r>
        <w:t xml:space="preserve">OCT2 oscillation: renal OCT2 peaks near ZT14 (</w:t>
      </w:r>
      <m:oMath>
        <m:r>
          <m:rPr>
            <m:sty m:val="p"/>
          </m:rPr>
          <m:t>∼</m:t>
        </m:r>
      </m:oMath>
      <w:r>
        <w:t xml:space="preserve">mid-subjective</w:t>
      </w:r>
      <w:r>
        <w:t xml:space="preserve"> </w:t>
      </w:r>
      <w:r>
        <w:t xml:space="preserve">afternoon in diurnal organisms) and is at nadir near ZT2 (</w:t>
      </w:r>
      <m:oMath>
        <m:r>
          <m:rPr>
            <m:sty m:val="p"/>
          </m:rPr>
          <m:t>∼</m:t>
        </m:r>
      </m:oMath>
      <w:r>
        <w:t xml:space="preserve">early</w:t>
      </w:r>
      <w:r>
        <w:t xml:space="preserve"> </w:t>
      </w:r>
      <w:r>
        <w:t xml:space="preserve">subjective morning) </w:t>
      </w:r>
      <w:r>
        <w:t xml:space="preserve">(Oda et al. 2014)</w:t>
      </w:r>
      <w:r>
        <w:t xml:space="preserve">. Dosing at MSFsc </w:t>
      </w:r>
      <m:oMath>
        <m:r>
          <m:rPr>
            <m:sty m:val="p"/>
          </m:rPr>
          <m:t>−</m:t>
        </m:r>
      </m:oMath>
      <w:r>
        <w:t xml:space="preserve"> 7 h targets a</w:t>
      </w:r>
      <w:r>
        <w:t xml:space="preserve"> </w:t>
      </w:r>
      <w:r>
        <w:t xml:space="preserve">phase approximately 5–7 hours before the predicted OCT2 peak — the</w:t>
      </w:r>
      <w:r>
        <w:t xml:space="preserve"> </w:t>
      </w:r>
      <w:r>
        <w:t xml:space="preserve">window during which OCT2-mediated platinum uptake is declining and XPA-driven</w:t>
      </w:r>
      <w:r>
        <w:t xml:space="preserve"> </w:t>
      </w:r>
      <w:r>
        <w:t xml:space="preserve">NER capacity is approaching its zenith </w:t>
      </w:r>
      <w:r>
        <w:t xml:space="preserve">(Kang et al. 2010)</w:t>
      </w:r>
      <w:r>
        <w:t xml:space="preserve">.</w:t>
      </w:r>
    </w:p>
    <w:p>
      <w:pPr>
        <w:pStyle w:val="BodyText"/>
      </w:pPr>
      <w:r>
        <w:t xml:space="preserve">Worked examples for three chronotype strata:</w:t>
      </w:r>
    </w:p>
    <w:p>
      <w:pPr>
        <w:numPr>
          <w:ilvl w:val="0"/>
          <w:numId w:val="1001"/>
        </w:numPr>
      </w:pPr>
      <w:r>
        <w:rPr>
          <w:i/>
          <w:iCs/>
        </w:rPr>
        <w:t xml:space="preserve">Morning chronotype</w:t>
      </w:r>
      <w:r>
        <w:t xml:space="preserve"> </w:t>
      </w:r>
      <w:r>
        <w:t xml:space="preserve">(MSFsc 02:30): infusion at</w:t>
      </w:r>
      <w:r>
        <w:t xml:space="preserve"> </w:t>
      </w:r>
      <w:r>
        <w:t xml:space="preserve">approximately 07:30 a.m.</w:t>
      </w:r>
    </w:p>
    <w:p>
      <w:pPr>
        <w:numPr>
          <w:ilvl w:val="0"/>
          <w:numId w:val="1001"/>
        </w:numPr>
      </w:pPr>
      <w:r>
        <w:rPr>
          <w:i/>
          <w:iCs/>
        </w:rPr>
        <w:t xml:space="preserve">Intermediate chronotype</w:t>
      </w:r>
      <w:r>
        <w:t xml:space="preserve"> </w:t>
      </w:r>
      <w:r>
        <w:t xml:space="preserve">(MSFsc 04:00): infusion at</w:t>
      </w:r>
      <w:r>
        <w:t xml:space="preserve"> </w:t>
      </w:r>
      <w:r>
        <w:t xml:space="preserve">approximately 09:00 a.m.</w:t>
      </w:r>
    </w:p>
    <w:p>
      <w:pPr>
        <w:numPr>
          <w:ilvl w:val="0"/>
          <w:numId w:val="1001"/>
        </w:numPr>
      </w:pPr>
      <w:r>
        <w:rPr>
          <w:i/>
          <w:iCs/>
        </w:rPr>
        <w:t xml:space="preserve">Evening chronotype</w:t>
      </w:r>
      <w:r>
        <w:t xml:space="preserve"> </w:t>
      </w:r>
      <w:r>
        <w:t xml:space="preserve">(MSFsc 06:00): infusion at</w:t>
      </w:r>
      <w:r>
        <w:t xml:space="preserve"> </w:t>
      </w:r>
      <w:r>
        <w:t xml:space="preserve">approximately 11:00 p.m. (the previous evening) or 11:00 a.m. if a</w:t>
      </w:r>
      <w:r>
        <w:t xml:space="preserve"> </w:t>
      </w:r>
      <w:r>
        <w:t xml:space="preserve">phase-advance is applied for operational feasibility.</w:t>
      </w:r>
    </w:p>
    <w:p>
      <w:pPr>
        <w:pStyle w:val="FirstParagraph"/>
      </w:pPr>
      <w:r>
        <w:t xml:space="preserve">For the majority of patients (MSFsc between 02:00 and 05:00, consistent</w:t>
      </w:r>
      <w:r>
        <w:t xml:space="preserve"> </w:t>
      </w:r>
      <w:r>
        <w:t xml:space="preserve">with adult population distributions </w:t>
      </w:r>
      <w:r>
        <w:t xml:space="preserve">(Roenneberg et al. 2003)</w:t>
      </w:r>
      <w:r>
        <w:t xml:space="preserve">), chronotype-adjusted</w:t>
      </w:r>
      <w:r>
        <w:t xml:space="preserve"> </w:t>
      </w:r>
      <w:r>
        <w:t xml:space="preserve">cisplatin would fall between approximately 07:00 a.m. and 10:00 a.m.,</w:t>
      </w:r>
      <w:r>
        <w:t xml:space="preserve"> </w:t>
      </w:r>
      <w:r>
        <w:t xml:space="preserve">overlapping with standard outpatient infusion hours. For late chronotypes</w:t>
      </w:r>
      <w:r>
        <w:t xml:space="preserve"> </w:t>
      </w:r>
      <w:r>
        <w:t xml:space="preserve">(MSFsc </w:t>
      </w:r>
      <m:oMath>
        <m:r>
          <m:rPr>
            <m:sty m:val="p"/>
          </m:rPr>
          <m:t>&gt;</m:t>
        </m:r>
      </m:oMath>
      <w:r>
        <w:t xml:space="preserve"> 05:00, approximately 10–15% of the adult population), the</w:t>
      </w:r>
      <w:r>
        <w:t xml:space="preserve"> </w:t>
      </w:r>
      <w:r>
        <w:t xml:space="preserve">formula yields times outside standard hours, and an operational protocol for</w:t>
      </w:r>
      <w:r>
        <w:t xml:space="preserve"> </w:t>
      </w:r>
      <w:r>
        <w:t xml:space="preserve">accommodating these patients is a pre-specified feasibility objective.</w:t>
      </w:r>
    </w:p>
    <w:p>
      <w:pPr>
        <w:pStyle w:val="BodyText"/>
      </w:pPr>
      <w:r>
        <w:rPr>
          <w:b/>
          <w:bCs/>
        </w:rPr>
        <w:t xml:space="preserve">Phase-translation caveat:</w:t>
      </w:r>
      <w:r>
        <w:t xml:space="preserve"> </w:t>
      </w:r>
      <w:r>
        <w:t xml:space="preserve">The</w:t>
      </w:r>
      <w:r>
        <w:t xml:space="preserve"> </w:t>
      </w:r>
      <m:oMath>
        <m:r>
          <m:rPr>
            <m:sty m:val="p"/>
          </m:rPr>
          <m:t>−</m:t>
        </m:r>
        <m:r>
          <m:t>7</m:t>
        </m:r>
      </m:oMath>
      <w:r>
        <w:t xml:space="preserve"> h offset is a pragmatic</w:t>
      </w:r>
      <w:r>
        <w:t xml:space="preserve"> </w:t>
      </w:r>
      <w:r>
        <w:t xml:space="preserve">compromise primarily weighted toward the OCT2/nephrotoxicity gate, for</w:t>
      </w:r>
      <w:r>
        <w:t xml:space="preserve"> </w:t>
      </w:r>
      <w:r>
        <w:t xml:space="preserve">which the clock-to-phase evidence is most complete </w:t>
      </w:r>
      <w:r>
        <w:t xml:space="preserve">(Oda et al. 2014)</w:t>
      </w:r>
      <w:r>
        <w:t xml:space="preserve">. XPA</w:t>
      </w:r>
      <w:r>
        <w:t xml:space="preserve"> </w:t>
      </w:r>
      <w:r>
        <w:t xml:space="preserve">and OCT2 oscillate with a phase difference of approximately 4 hours</w:t>
      </w:r>
      <w:r>
        <w:t xml:space="preserve"> </w:t>
      </w:r>
      <w:r>
        <w:t xml:space="preserve">(XPA peak</w:t>
      </w:r>
      <w:r>
        <w:t xml:space="preserve"> </w:t>
      </w:r>
      <m:oMath>
        <m:r>
          <m:rPr>
            <m:sty m:val="p"/>
          </m:rPr>
          <m:t>∼</m:t>
        </m:r>
      </m:oMath>
      <w:r>
        <w:t xml:space="preserve">ZT10 vs OCT2 peak</w:t>
      </w:r>
      <w:r>
        <w:t xml:space="preserve"> </w:t>
      </w:r>
      <m:oMath>
        <m:r>
          <m:rPr>
            <m:sty m:val="p"/>
          </m:rPr>
          <m:t>∼</m:t>
        </m:r>
      </m:oMath>
      <w:r>
        <w:t xml:space="preserve">ZT14); the proposed infusion</w:t>
      </w:r>
      <w:r>
        <w:t xml:space="preserve"> </w:t>
      </w:r>
      <w:r>
        <w:t xml:space="preserve">time targets a position roughly midway between the OCT2 trough and the</w:t>
      </w:r>
      <w:r>
        <w:t xml:space="preserve"> </w:t>
      </w:r>
      <w:r>
        <w:t xml:space="preserve">XPA zenith. These phase relationships may not be identical across all</w:t>
      </w:r>
      <w:r>
        <w:t xml:space="preserve"> </w:t>
      </w:r>
      <w:r>
        <w:t xml:space="preserve">individuals, tissues, or clinical states, which is why continuous</w:t>
      </w:r>
      <w:r>
        <w:t xml:space="preserve"> </w:t>
      </w:r>
      <w:r>
        <w:t xml:space="preserve">actigraphy-based phase monitoring throughout treatment is required</w:t>
      </w:r>
      <w:r>
        <w:t xml:space="preserve"> </w:t>
      </w:r>
      <w:r>
        <w:t xml:space="preserve">rather than a single pre-treatment assessment.</w:t>
      </w:r>
    </w:p>
    <w:bookmarkEnd w:id="40"/>
    <w:bookmarkStart w:id="41" w:name="X47528faeca7dfd6dafbc8273a318c50701c64cf"/>
    <w:p>
      <w:pPr>
        <w:pStyle w:val="Heading2"/>
      </w:pPr>
      <w:r>
        <w:t xml:space="preserve">Design principle 2: toxicity-first endpoints</w:t>
      </w:r>
    </w:p>
    <w:p>
      <w:pPr>
        <w:pStyle w:val="FirstParagraph"/>
      </w:pPr>
      <w:r>
        <w:t xml:space="preserve">Survival-focused endpoints are inappropriate for a proof-of-concept</w:t>
      </w:r>
      <w:r>
        <w:t xml:space="preserve"> </w:t>
      </w:r>
      <w:r>
        <w:t xml:space="preserve">chronotherapy trial in OSCC/HNSCC. The proposed primary composite endpoint is the rate of Grade </w:t>
      </w:r>
      <m:oMath>
        <m:r>
          <m:rPr>
            <m:sty m:val="p"/>
          </m:rPr>
          <m:t>≥</m:t>
        </m:r>
      </m:oMath>
      <w:r>
        <w:t xml:space="preserve">3</w:t>
      </w:r>
      <w:r>
        <w:t xml:space="preserve"> </w:t>
      </w:r>
      <w:r>
        <w:t xml:space="preserve">mucositis (CTCAE v5.0) or Grade </w:t>
      </w:r>
      <m:oMath>
        <m:r>
          <m:rPr>
            <m:sty m:val="p"/>
          </m:rPr>
          <m:t>≥</m:t>
        </m:r>
      </m:oMath>
      <w:r>
        <w:t xml:space="preserve">3 nephrotoxicity within</w:t>
      </w:r>
      <w:r>
        <w:t xml:space="preserve"> </w:t>
      </w:r>
      <w:r>
        <w:rPr>
          <w:b/>
          <w:bCs/>
        </w:rPr>
        <w:t xml:space="preserve">six weeks of the first cisplatin infusion</w:t>
      </w:r>
      <w:r>
        <w:t xml:space="preserve"> </w:t>
      </w:r>
      <w:r>
        <w:t xml:space="preserve">— a fixed calendar</w:t>
      </w:r>
      <w:r>
        <w:t xml:space="preserve"> </w:t>
      </w:r>
      <w:r>
        <w:t xml:space="preserve">period chosen to capture the expected toxicity peak for both endpoints</w:t>
      </w:r>
      <w:r>
        <w:t xml:space="preserve"> </w:t>
      </w:r>
      <w:r>
        <w:t xml:space="preserve">(mucositis peaks at weeks 4–6 of concurrent CRT; cumulative nephrotoxicity</w:t>
      </w:r>
      <w:r>
        <w:t xml:space="preserve"> </w:t>
      </w:r>
      <w:r>
        <w:t xml:space="preserve">is most sensitive after two or more full-dose cycles). A calendar-period</w:t>
      </w:r>
      <w:r>
        <w:t xml:space="preserve"> </w:t>
      </w:r>
      <w:r>
        <w:t xml:space="preserve">definition avoids the schedule-dependent ambiguity of</w:t>
      </w:r>
      <w:r>
        <w:t xml:space="preserve"> </w:t>
      </w:r>
      <w:r>
        <w:t xml:space="preserve">“cycles 1–2”</w:t>
      </w:r>
      <w:r>
        <w:t xml:space="preserve">, which</w:t>
      </w:r>
      <w:r>
        <w:t xml:space="preserve"> </w:t>
      </w:r>
      <w:r>
        <w:t xml:space="preserve">covers 6 weeks for a q3wk regimen but only 2 weeks for a weekly</w:t>
      </w:r>
      <w:r>
        <w:t xml:space="preserve"> </w:t>
      </w:r>
      <w:r>
        <w:t xml:space="preserve">regimen </w:t>
      </w:r>
      <w:r>
        <w:t xml:space="preserve">(</w:t>
      </w:r>
      <w:r>
        <w:t xml:space="preserve">Kiyota et al.</w:t>
      </w:r>
      <w:r>
        <w:t xml:space="preserve"> </w:t>
      </w:r>
      <w:r>
        <w:t xml:space="preserve">2022)</w:t>
      </w:r>
      <w:r>
        <w:t xml:space="preserve">. Both endpoint components are directly plausible</w:t>
      </w:r>
      <w:r>
        <w:t xml:space="preserve"> </w:t>
      </w:r>
      <w:r>
        <w:t xml:space="preserve">targets of the mechanistic pathways described in</w:t>
      </w:r>
      <w:r>
        <w:t xml:space="preserve"> </w:t>
      </w:r>
      <w:r>
        <w:t xml:space="preserve">Sections </w:t>
      </w:r>
      <w:hyperlink w:anchor="sec:toxicity">
        <w:r>
          <w:rPr>
            <w:rStyle w:val="Hyperlink"/>
          </w:rPr>
          <w:t xml:space="preserve">4</w:t>
        </w:r>
      </w:hyperlink>
      <w:r>
        <w:t xml:space="preserve"> </w:t>
      </w:r>
      <w:r>
        <w:t xml:space="preserve">and </w:t>
      </w:r>
      <w:hyperlink w:anchor="sec:gates">
        <w:r>
          <w:rPr>
            <w:rStyle w:val="Hyperlink"/>
          </w:rPr>
          <w:t xml:space="preserve">5</w:t>
        </w:r>
      </w:hyperlink>
      <w:r>
        <w:t xml:space="preserve">, both drive treatment</w:t>
      </w:r>
      <w:r>
        <w:t xml:space="preserve"> </w:t>
      </w:r>
      <w:r>
        <w:t xml:space="preserve">interruptions and dose reductions that compromise long-term</w:t>
      </w:r>
      <w:r>
        <w:t xml:space="preserve"> </w:t>
      </w:r>
      <w:r>
        <w:t xml:space="preserve">outcomes </w:t>
      </w:r>
      <w:r>
        <w:t xml:space="preserve">(Szturz et al. 2017)</w:t>
      </w:r>
      <w:r>
        <w:t xml:space="preserve">, and both can be reliably assessed in a</w:t>
      </w:r>
      <w:r>
        <w:t xml:space="preserve"> </w:t>
      </w:r>
      <w:r>
        <w:t xml:space="preserve">moderate-sized trial. The composite endpoint will be analysed as a</w:t>
      </w:r>
      <w:r>
        <w:t xml:space="preserve"> </w:t>
      </w:r>
      <w:r>
        <w:t xml:space="preserve">hierarchy: if the composite endpoint is positive, mucositis and nephrotoxicity</w:t>
      </w:r>
      <w:r>
        <w:t xml:space="preserve"> </w:t>
      </w:r>
      <w:r>
        <w:t xml:space="preserve">components will be tested sequentially under a pre-specified hierarchical</w:t>
      </w:r>
      <w:r>
        <w:t xml:space="preserve"> </w:t>
      </w:r>
      <w:r>
        <w:t xml:space="preserve">testing procedure. A win-ratio analysis </w:t>
      </w:r>
      <w:r>
        <w:t xml:space="preserve">(Pocock et al. 2012)</w:t>
      </w:r>
      <w:r>
        <w:t xml:space="preserve"> </w:t>
      </w:r>
      <w:r>
        <w:t xml:space="preserve">will be performed</w:t>
      </w:r>
      <w:r>
        <w:t xml:space="preserve"> </w:t>
      </w:r>
      <w:r>
        <w:t xml:space="preserve">as a pre-specified sensitivity analysis. Secondary toxicity endpoints include:</w:t>
      </w:r>
      <w:r>
        <w:t xml:space="preserve"> </w:t>
      </w:r>
      <w:r>
        <w:t xml:space="preserve">emesis complete-response rate; audiometric hearing loss (SIOP Boston</w:t>
      </w:r>
      <w:r>
        <w:t xml:space="preserve"> </w:t>
      </w:r>
      <w:r>
        <w:t xml:space="preserve">Scale); neuropathy severity (NCI CTCAE); cumulative cisplatin dose</w:t>
      </w:r>
      <w:r>
        <w:t xml:space="preserve"> </w:t>
      </w:r>
      <w:r>
        <w:t xml:space="preserve">delivered; and the number of radiotherapy fractions missed due to</w:t>
      </w:r>
      <w:r>
        <w:t xml:space="preserve"> </w:t>
      </w:r>
      <w:r>
        <w:t xml:space="preserve">toxicity. Patient-reported outcomes (EORTC QLQ-C30, H&amp;N35)</w:t>
      </w:r>
      <w:r>
        <w:t xml:space="preserve"> </w:t>
      </w:r>
      <w:r>
        <w:t xml:space="preserve">are co-primary from the patient perspective.</w:t>
      </w:r>
    </w:p>
    <w:bookmarkEnd w:id="41"/>
    <w:bookmarkStart w:id="42" w:name="Xf5b59a76ee2304fbf78f1db7008886a5a12d077"/>
    <w:p>
      <w:pPr>
        <w:pStyle w:val="Heading2"/>
      </w:pPr>
      <w:r>
        <w:t xml:space="preserve">Design principle 3: circadian integrity assessment</w:t>
      </w:r>
    </w:p>
    <w:p>
      <w:pPr>
        <w:pStyle w:val="FirstParagraph"/>
      </w:pPr>
      <w:r>
        <w:t xml:space="preserve">Cancer patients frequently have disrupted rest–activity rhythms at</w:t>
      </w:r>
      <w:r>
        <w:t xml:space="preserve"> </w:t>
      </w:r>
      <w:r>
        <w:t xml:space="preserve">baseline </w:t>
      </w:r>
      <w:r>
        <w:t xml:space="preserve">(Mormont et al. 2000; Mormont and Lévi 2003)</w:t>
      </w:r>
      <w:r>
        <w:t xml:space="preserve">, and treatment itself —</w:t>
      </w:r>
      <w:r>
        <w:t xml:space="preserve"> </w:t>
      </w:r>
      <w:r>
        <w:t xml:space="preserve">inflammation, pain, anxiety, altered sleep hygiene during concurrent</w:t>
      </w:r>
      <w:r>
        <w:t xml:space="preserve"> </w:t>
      </w:r>
      <w:r>
        <w:t xml:space="preserve">chemoradiotherapy — further attenuates circadian amplitude. The</w:t>
      </w:r>
      <w:r>
        <w:t xml:space="preserve"> </w:t>
      </w:r>
      <w:r>
        <w:t xml:space="preserve">proposed trial incorporates continuous wrist actigraphy throughout</w:t>
      </w:r>
      <w:r>
        <w:t xml:space="preserve"> </w:t>
      </w:r>
      <w:r>
        <w:t xml:space="preserve">treatment and employs the circadian function index</w:t>
      </w:r>
      <w:r>
        <w:t xml:space="preserve"> </w:t>
      </w:r>
      <w:r>
        <w:t xml:space="preserve">(CFI) </w:t>
      </w:r>
      <w:r>
        <w:t xml:space="preserve">(Ortiz-Tudela et al. 2016)</w:t>
      </w:r>
      <w:r>
        <w:t xml:space="preserve"> </w:t>
      </w:r>
      <w:r>
        <w:t xml:space="preserve">and interdaily stability metrics to</w:t>
      </w:r>
      <w:r>
        <w:t xml:space="preserve"> </w:t>
      </w:r>
      <w:r>
        <w:t xml:space="preserve">quantify rhythm disruption in each patient. A wearable skin</w:t>
      </w:r>
      <w:r>
        <w:t xml:space="preserve"> </w:t>
      </w:r>
      <w:r>
        <w:t xml:space="preserve">temperature sensor, which tracks the distal–proximal skin temperature</w:t>
      </w:r>
      <w:r>
        <w:t xml:space="preserve"> </w:t>
      </w:r>
      <w:r>
        <w:t xml:space="preserve">gradient as a non-invasive circadian phase marker </w:t>
      </w:r>
      <w:r>
        <w:t xml:space="preserve">(</w:t>
      </w:r>
      <w:r>
        <w:t xml:space="preserve">Liu et al.</w:t>
      </w:r>
      <w:r>
        <w:t xml:space="preserve"> </w:t>
      </w:r>
      <w:r>
        <w:t xml:space="preserve">2025)</w:t>
      </w:r>
      <w:r>
        <w:t xml:space="preserve">,</w:t>
      </w:r>
      <w:r>
        <w:t xml:space="preserve"> </w:t>
      </w:r>
      <w:r>
        <w:t xml:space="preserve">provides a complementary continuous signal. Patients will be</w:t>
      </w:r>
      <w:r>
        <w:t xml:space="preserve"> </w:t>
      </w:r>
      <w:r>
        <w:t xml:space="preserve">stratified at enrolment into</w:t>
      </w:r>
      <w:r>
        <w:t xml:space="preserve"> </w:t>
      </w:r>
      <w:r>
        <w:t xml:space="preserve">“intact rhythm”</w:t>
      </w:r>
      <w:r>
        <w:t xml:space="preserve"> </w:t>
      </w:r>
      <w:r>
        <w:t xml:space="preserve">(CFI above threshold)</w:t>
      </w:r>
      <w:r>
        <w:t xml:space="preserve"> </w:t>
      </w:r>
      <w:r>
        <w:t xml:space="preserve">versus</w:t>
      </w:r>
      <w:r>
        <w:t xml:space="preserve"> </w:t>
      </w:r>
      <w:r>
        <w:t xml:space="preserve">“disrupted rhythm”</w:t>
      </w:r>
      <w:r>
        <w:t xml:space="preserve"> </w:t>
      </w:r>
      <w:r>
        <w:t xml:space="preserve">strata. This stratification enables</w:t>
      </w:r>
      <w:r>
        <w:t xml:space="preserve"> </w:t>
      </w:r>
      <w:r>
        <w:t xml:space="preserve">the trial to test the a priori hypothesis that the chronotherapy</w:t>
      </w:r>
      <w:r>
        <w:t xml:space="preserve"> </w:t>
      </w:r>
      <w:r>
        <w:t xml:space="preserve">benefit is restricted to patients with measurable circadian amplitude,</w:t>
      </w:r>
      <w:r>
        <w:t xml:space="preserve"> </w:t>
      </w:r>
      <w:r>
        <w:t xml:space="preserve">directly addressing the well-documented concern </w:t>
      </w:r>
      <w:r>
        <w:t xml:space="preserve">(Mormont et al. 2000; Innominato et al. 2014)</w:t>
      </w:r>
      <w:r>
        <w:t xml:space="preserve"> </w:t>
      </w:r>
      <w:r>
        <w:t xml:space="preserve">that timing interventions may be ineffective in</w:t>
      </w:r>
      <w:r>
        <w:t xml:space="preserve"> </w:t>
      </w:r>
      <w:r>
        <w:t xml:space="preserve">clock-disrupted patients.</w:t>
      </w:r>
    </w:p>
    <w:bookmarkEnd w:id="42"/>
    <w:bookmarkStart w:id="43" w:name="design-principle-4-biomarker-integration"/>
    <w:p>
      <w:pPr>
        <w:pStyle w:val="Heading2"/>
      </w:pPr>
      <w:r>
        <w:t xml:space="preserve">Design principle 4: biomarker integration</w:t>
      </w:r>
    </w:p>
    <w:p>
      <w:pPr>
        <w:pStyle w:val="FirstParagraph"/>
      </w:pPr>
      <w:r>
        <w:t xml:space="preserve">Pre-treatment peripheral blood leukocyte (PBL) clock gene expression</w:t>
      </w:r>
      <w:r>
        <w:t xml:space="preserve"> </w:t>
      </w:r>
      <w:r>
        <w:t xml:space="preserve">(hPER1, hBMAL1) will be quantified at three time points across a</w:t>
      </w:r>
      <w:r>
        <w:t xml:space="preserve"> </w:t>
      </w:r>
      <w:r>
        <w:t xml:space="preserve">circadian day (morning, afternoon, evening) to confirm the phase estimate</w:t>
      </w:r>
      <w:r>
        <w:t xml:space="preserve"> </w:t>
      </w:r>
      <w:r>
        <w:t xml:space="preserve">from actigraphy and identify patients with severely flat molecular rhythms.</w:t>
      </w:r>
      <w:r>
        <w:t xml:space="preserve"> </w:t>
      </w:r>
      <w:r>
        <w:t xml:space="preserve">This requires three timed blood draws within a single day, which for</w:t>
      </w:r>
      <w:r>
        <w:t xml:space="preserve"> </w:t>
      </w:r>
      <w:r>
        <w:t xml:space="preserve">the majority of patients can be arranged on an outpatient basis; the</w:t>
      </w:r>
      <w:r>
        <w:t xml:space="preserve"> </w:t>
      </w:r>
      <w:r>
        <w:t xml:space="preserve">protocol will specify whether inpatient or day-care attendance is</w:t>
      </w:r>
      <w:r>
        <w:t xml:space="preserve"> </w:t>
      </w:r>
      <w:r>
        <w:t xml:space="preserve">required for patients whose individual chronotype makes same-day</w:t>
      </w:r>
      <w:r>
        <w:t xml:space="preserve"> </w:t>
      </w:r>
      <w:r>
        <w:t xml:space="preserve">out-of-hours phlebotomy impractical.</w:t>
      </w:r>
    </w:p>
    <w:p>
      <w:pPr>
        <w:pStyle w:val="BodyText"/>
      </w:pPr>
      <w:r>
        <w:t xml:space="preserve">Urinary platinum excretion will be collected at 2-hourly intervals</w:t>
      </w:r>
      <w:r>
        <w:t xml:space="preserve"> </w:t>
      </w:r>
      <w:r>
        <w:t xml:space="preserve">during the first 8 hours post-infusion as a pharmacokinetic proxy</w:t>
      </w:r>
      <w:r>
        <w:t xml:space="preserve"> </w:t>
      </w:r>
      <w:r>
        <w:t xml:space="preserve">for effective renal cisplatin clearance, which is predicted to</w:t>
      </w:r>
      <w:r>
        <w:t xml:space="preserve"> </w:t>
      </w:r>
      <w:r>
        <w:t xml:space="preserve">be higher when OCT2 activity is lower. Serial collection requires a</w:t>
      </w:r>
      <w:r>
        <w:t xml:space="preserve"> </w:t>
      </w:r>
      <w:r>
        <w:t xml:space="preserve">structured hydration and urine-collection protocol on the infusion day;</w:t>
      </w:r>
      <w:r>
        <w:t xml:space="preserve"> </w:t>
      </w:r>
      <w:r>
        <w:t xml:space="preserve">institutional nursing capacity to implement this must be confirmed as</w:t>
      </w:r>
      <w:r>
        <w:t xml:space="preserve"> </w:t>
      </w:r>
      <w:r>
        <w:t xml:space="preserve">part of the feasibility sub-study.</w:t>
      </w:r>
    </w:p>
    <w:p>
      <w:pPr>
        <w:pStyle w:val="BodyText"/>
      </w:pPr>
      <w:r>
        <w:t xml:space="preserve">Tumour biopsy material from routine diagnostic FNAC or core biopsy</w:t>
      </w:r>
      <w:r>
        <w:t xml:space="preserve"> </w:t>
      </w:r>
      <w:r>
        <w:t xml:space="preserve">will undergo BMAL1/PER2 immunohistochemistry (IHC) to explore the</w:t>
      </w:r>
      <w:r>
        <w:t xml:space="preserve"> </w:t>
      </w:r>
      <w:r>
        <w:t xml:space="preserve">relationship between tumour clock status (Section </w:t>
      </w:r>
      <w:hyperlink w:anchor="sec:gates">
        <w:r>
          <w:rPr>
            <w:rStyle w:val="Hyperlink"/>
          </w:rPr>
          <w:t xml:space="preserve">5</w:t>
        </w:r>
      </w:hyperlink>
      <w:r>
        <w:t xml:space="preserve">)</w:t>
      </w:r>
      <w:r>
        <w:t xml:space="preserve"> </w:t>
      </w:r>
      <w:r>
        <w:t xml:space="preserve">and treatment response. For BMAL1 IHC, a validated antibody clone</w:t>
      </w:r>
      <w:r>
        <w:t xml:space="preserve"> </w:t>
      </w:r>
      <w:r>
        <w:t xml:space="preserve">(e.g., Abcam ab93806 anti-ARNTL, or equivalent with documented</w:t>
      </w:r>
      <w:r>
        <w:t xml:space="preserve"> </w:t>
      </w:r>
      <w:r>
        <w:t xml:space="preserve">specificity in head and neck tissue) must be specified in the laboratory</w:t>
      </w:r>
      <w:r>
        <w:t xml:space="preserve"> </w:t>
      </w:r>
      <w:r>
        <w:t xml:space="preserve">manual; staining will be scored using the H-score (0–300) with</w:t>
      </w:r>
      <w:r>
        <w:t xml:space="preserve"> </w:t>
      </w:r>
      <w:r>
        <w:t xml:space="preserve">pathologist blinding to treatment allocation and outcome. For PER2 IHC,</w:t>
      </w:r>
      <w:r>
        <w:t xml:space="preserve"> </w:t>
      </w:r>
      <w:r>
        <w:t xml:space="preserve">equivalent antibody validation and scoring criteria apply. Given the</w:t>
      </w:r>
      <w:r>
        <w:t xml:space="preserve"> </w:t>
      </w:r>
      <w:r>
        <w:t xml:space="preserve">absence of a CAP/CLIA-validated companion diagnostic assay for circadian</w:t>
      </w:r>
      <w:r>
        <w:t xml:space="preserve"> </w:t>
      </w:r>
      <w:r>
        <w:t xml:space="preserve">clock proteins, these biomarker analyses are designated as</w:t>
      </w:r>
      <w:r>
        <w:t xml:space="preserve"> </w:t>
      </w:r>
      <w:r>
        <w:rPr>
          <w:i/>
          <w:iCs/>
        </w:rPr>
        <w:t xml:space="preserve">exploratory</w:t>
      </w:r>
      <w:r>
        <w:rPr>
          <w:i/>
          <w:iCs/>
        </w:rPr>
        <w:t xml:space="preserve"> </w:t>
      </w:r>
      <w:r>
        <w:rPr>
          <w:i/>
          <w:iCs/>
        </w:rPr>
        <w:t xml:space="preserve">only</w:t>
      </w:r>
      <w:r>
        <w:t xml:space="preserve"> </w:t>
      </w:r>
      <w:r>
        <w:t xml:space="preserve">and will not be used for treatment allocation or interim stopping</w:t>
      </w:r>
      <w:r>
        <w:t xml:space="preserve"> </w:t>
      </w:r>
      <w:r>
        <w:t xml:space="preserve">decisions. Analytical validity must be confirmed with positive and negative</w:t>
      </w:r>
      <w:r>
        <w:t xml:space="preserve"> </w:t>
      </w:r>
      <w:r>
        <w:t xml:space="preserve">tissue controls before study commencement.</w:t>
      </w:r>
    </w:p>
    <w:bookmarkEnd w:id="43"/>
    <w:bookmarkStart w:id="44" w:name="design-principle-5-workflow-feasibility"/>
    <w:p>
      <w:pPr>
        <w:pStyle w:val="Heading2"/>
      </w:pPr>
      <w:r>
        <w:t xml:space="preserve">Design principle 5: workflow feasibility</w:t>
      </w:r>
    </w:p>
    <w:p>
      <w:pPr>
        <w:pStyle w:val="FirstParagraph"/>
      </w:pPr>
      <w:r>
        <w:t xml:space="preserve">Chronotype-adjusted cisplatin delivery requires individualized</w:t>
      </w:r>
      <w:r>
        <w:t xml:space="preserve"> </w:t>
      </w:r>
      <w:r>
        <w:t xml:space="preserve">infusion start times that may fall outside standard pharmacy</w:t>
      </w:r>
      <w:r>
        <w:t xml:space="preserve"> </w:t>
      </w:r>
      <w:r>
        <w:t xml:space="preserve">preparation and nursing shift hours. The proposed trial therefore</w:t>
      </w:r>
      <w:r>
        <w:t xml:space="preserve"> </w:t>
      </w:r>
      <w:r>
        <w:t xml:space="preserve">includes a feasibility sub-study in the first 20 patients, collecting</w:t>
      </w:r>
      <w:r>
        <w:t xml:space="preserve"> </w:t>
      </w:r>
      <w:r>
        <w:t xml:space="preserve">data on: time from randomisation to actual infusion start; pharmacy</w:t>
      </w:r>
      <w:r>
        <w:t xml:space="preserve"> </w:t>
      </w:r>
      <w:r>
        <w:t xml:space="preserve">preparation lead time required; nursing staff acceptability; and</w:t>
      </w:r>
      <w:r>
        <w:t xml:space="preserve"> </w:t>
      </w:r>
      <w:r>
        <w:t xml:space="preserve">patient preference for scheduling. Cisplatin can be varied</w:t>
      </w:r>
      <w:r>
        <w:t xml:space="preserve"> </w:t>
      </w:r>
      <w:r>
        <w:t xml:space="preserve">independently of radiotherapy timing, so no modification to the</w:t>
      </w:r>
      <w:r>
        <w:t xml:space="preserve"> </w:t>
      </w:r>
      <w:r>
        <w:t xml:space="preserve">radiotherapy workflow is required. Preliminary modelling suggests</w:t>
      </w:r>
      <w:r>
        <w:t xml:space="preserve"> </w:t>
      </w:r>
      <w:r>
        <w:t xml:space="preserve">that for most patients, chronotype-adjusted cisplatin would fall</w:t>
      </w:r>
      <w:r>
        <w:t xml:space="preserve"> </w:t>
      </w:r>
      <w:r>
        <w:t xml:space="preserve">between 10 a.m. and 6 p.m., overlapping substantially with standard</w:t>
      </w:r>
      <w:r>
        <w:t xml:space="preserve"> </w:t>
      </w:r>
      <w:r>
        <w:t xml:space="preserve">outpatient infusion hours and limiting the logistic burden </w:t>
      </w:r>
      <w:r>
        <w:t xml:space="preserve">(Lévi et al. 2020;</w:t>
      </w:r>
      <w:r>
        <w:t xml:space="preserve"> </w:t>
      </w:r>
      <w:r>
        <w:t xml:space="preserve">Innominato et al.</w:t>
      </w:r>
      <w:r>
        <w:t xml:space="preserve"> </w:t>
      </w:r>
      <w:r>
        <w:t xml:space="preserve">2012)</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Design element</w:t>
            </w:r>
          </w:p>
        </w:tc>
        <w:tc>
          <w:tcPr/>
          <w:p>
            <w:pPr>
              <w:pStyle w:val="Compact"/>
              <w:jc w:val="left"/>
            </w:pPr>
            <w:r>
              <w:rPr>
                <w:b/>
                <w:bCs/>
              </w:rPr>
              <w:t xml:space="preserve">Specification</w:t>
            </w:r>
          </w:p>
        </w:tc>
      </w:tr>
      <w:tr>
        <w:tc>
          <w:tcPr/>
          <w:p>
            <w:pPr>
              <w:pStyle w:val="Compact"/>
              <w:jc w:val="left"/>
            </w:pPr>
            <w:r>
              <w:t xml:space="preserve">Population</w:t>
            </w:r>
          </w:p>
        </w:tc>
        <w:tc>
          <w:tcPr/>
          <w:p>
            <w:pPr>
              <w:pStyle w:val="Compact"/>
              <w:jc w:val="left"/>
            </w:pPr>
            <w:r>
              <w:t xml:space="preserve">Histologically confirmed OSCC/HNSCC (stage III–IVA), planned for</w:t>
            </w:r>
            <w:r>
              <w:t xml:space="preserve"> </w:t>
            </w:r>
            <w:r>
              <w:t xml:space="preserve">concurrent cisplatin (100 mg m</w:t>
            </w:r>
            <m:oMath>
              <m:sSup>
                <m:e>
                  <m:r>
                    <m:t>​</m:t>
                  </m:r>
                </m:e>
                <m:sup>
                  <m:r>
                    <m:rPr>
                      <m:sty m:val="p"/>
                    </m:rPr>
                    <m:t>−</m:t>
                  </m:r>
                  <m:r>
                    <m:t>2</m:t>
                  </m:r>
                </m:sup>
              </m:sSup>
            </m:oMath>
            <w:r>
              <w:t xml:space="preserve"> </w:t>
            </w:r>
            <w:r>
              <w:t xml:space="preserve">q3wk or 40 mg m</w:t>
            </w:r>
            <m:oMath>
              <m:sSup>
                <m:e>
                  <m:r>
                    <m:t>​</m:t>
                  </m:r>
                </m:e>
                <m:sup>
                  <m:r>
                    <m:rPr>
                      <m:sty m:val="p"/>
                    </m:rPr>
                    <m:t>−</m:t>
                  </m:r>
                  <m:r>
                    <m:t>2</m:t>
                  </m:r>
                </m:sup>
              </m:sSup>
            </m:oMath>
            <w:r>
              <w:t xml:space="preserve"> </w:t>
            </w:r>
            <w:r>
              <w:t xml:space="preserve">weekly)</w:t>
            </w:r>
            <w:r>
              <w:t xml:space="preserve"> </w:t>
            </w:r>
            <w:r>
              <w:t xml:space="preserve">+ RT; ECOG PS 0–1; no prior platinum; creatinine clearance</w:t>
            </w:r>
            <w:r>
              <w:t xml:space="preserve"> </w:t>
            </w:r>
            <m:oMath>
              <m:r>
                <m:rPr>
                  <m:sty m:val="p"/>
                </m:rPr>
                <m:t>≥</m:t>
              </m:r>
            </m:oMath>
            <w:r>
              <w:t xml:space="preserve"> 55 mL min</w:t>
            </w:r>
            <m:oMath>
              <m:sSup>
                <m:e>
                  <m:r>
                    <m:t>​</m:t>
                  </m:r>
                </m:e>
                <m:sup>
                  <m:r>
                    <m:rPr>
                      <m:sty m:val="p"/>
                    </m:rPr>
                    <m:t>−</m:t>
                  </m:r>
                  <m:r>
                    <m:t>1</m:t>
                  </m:r>
                </m:sup>
              </m:sSup>
            </m:oMath>
            <w:r>
              <w:t xml:space="preserve"> </w:t>
            </w:r>
            <w:r>
              <w:t xml:space="preserve">(Cockcroft–Gault; preferred over eGFR due</w:t>
            </w:r>
            <w:r>
              <w:t xml:space="preserve"> </w:t>
            </w:r>
            <w:r>
              <w:t xml:space="preserve">to muscle-mass confounding in cachectic HNSCC patients </w:t>
            </w:r>
            <w:r>
              <w:t xml:space="preserve">(Strojan et al. 2016)</w:t>
            </w:r>
            <w:r>
              <w:t xml:space="preserve">);</w:t>
            </w:r>
            <w:r>
              <w:t xml:space="preserve"> </w:t>
            </w:r>
            <w:r>
              <w:t xml:space="preserve">baseline audiogram required; no pre-existing SIOP Boston Grade </w:t>
            </w:r>
            <m:oMath>
              <m:r>
                <m:rPr>
                  <m:sty m:val="p"/>
                </m:rPr>
                <m:t>≥</m:t>
              </m:r>
            </m:oMath>
            <w:r>
              <w:t xml:space="preserve"> 3</w:t>
            </w:r>
            <w:r>
              <w:t xml:space="preserve"> </w:t>
            </w:r>
            <w:r>
              <w:t xml:space="preserve">hearing loss; p16/HPV status documented at enrolment (stratification</w:t>
            </w:r>
            <w:r>
              <w:t xml:space="preserve"> </w:t>
            </w:r>
            <w:r>
              <w:t xml:space="preserve">variable); pregnancy testing required for female patients of childbearing</w:t>
            </w:r>
            <w:r>
              <w:t xml:space="preserve"> </w:t>
            </w:r>
            <w:r>
              <w:t xml:space="preserve">potential; reliable contraception for duration of treatment; ECOG PS 2</w:t>
            </w:r>
            <w:r>
              <w:t xml:space="preserve"> </w:t>
            </w:r>
            <w:r>
              <w:t xml:space="preserve">permitted only with documented MDT agreement (increased toxicity and</w:t>
            </w:r>
            <w:r>
              <w:t xml:space="preserve"> </w:t>
            </w:r>
            <w:r>
              <w:t xml:space="preserve">circadian disruption risk).</w:t>
            </w:r>
          </w:p>
        </w:tc>
      </w:tr>
      <w:tr>
        <w:tc>
          <w:tcPr/>
          <w:p>
            <w:pPr>
              <w:pStyle w:val="Compact"/>
              <w:jc w:val="left"/>
            </w:pPr>
            <w:r>
              <w:t xml:space="preserve">Chronotype assessment</w:t>
            </w:r>
          </w:p>
        </w:tc>
        <w:tc>
          <w:tcPr/>
          <w:p>
            <w:pPr>
              <w:pStyle w:val="Compact"/>
              <w:jc w:val="left"/>
            </w:pPr>
            <w:r>
              <w:t xml:space="preserve">7-day wrist actigraphy run-in + Munich Chronotype Questionnaire (MSFsc);</w:t>
            </w:r>
            <w:r>
              <w:t xml:space="preserve"> </w:t>
            </w:r>
            <w:r>
              <w:t xml:space="preserve">skin temperature wearable from day 1 of RT. Cisplatin delivered at</w:t>
            </w:r>
            <w:r>
              <w:t xml:space="preserve"> </w:t>
            </w:r>
            <w:r>
              <w:t xml:space="preserve">estimated MSFsc</w:t>
            </w:r>
            <m:oMath>
              <m:r>
                <m:rPr>
                  <m:sty m:val="p"/>
                </m:rPr>
                <m:t>−</m:t>
              </m:r>
            </m:oMath>
            <w:r>
              <w:t xml:space="preserve">7 h (individual-specific;</w:t>
            </w:r>
            <w:r>
              <w:t xml:space="preserve"> </w:t>
            </w:r>
            <w:r>
              <w:t xml:space="preserve">see Section </w:t>
            </w:r>
            <w:hyperlink w:anchor="sec:future">
              <w:r>
                <w:rPr>
                  <w:rStyle w:val="Hyperlink"/>
                </w:rPr>
                <w:t xml:space="preserve">7</w:t>
              </w:r>
            </w:hyperlink>
            <w:r>
              <w:t xml:space="preserve">).</w:t>
            </w:r>
          </w:p>
        </w:tc>
      </w:tr>
      <w:tr>
        <w:tc>
          <w:tcPr/>
          <w:p>
            <w:pPr>
              <w:pStyle w:val="Compact"/>
              <w:jc w:val="left"/>
            </w:pPr>
            <w:r>
              <w:t xml:space="preserve">Comparator</w:t>
            </w:r>
          </w:p>
        </w:tc>
        <w:tc>
          <w:tcPr/>
          <w:p>
            <w:pPr>
              <w:pStyle w:val="Compact"/>
              <w:jc w:val="left"/>
            </w:pPr>
            <w:r>
              <w:t xml:space="preserve">Cisplatin at institutional fixed time (standard of care).</w:t>
            </w:r>
          </w:p>
        </w:tc>
      </w:tr>
      <w:tr>
        <w:tc>
          <w:tcPr/>
          <w:p>
            <w:pPr>
              <w:pStyle w:val="Compact"/>
              <w:jc w:val="left"/>
            </w:pPr>
            <w:r>
              <w:t xml:space="preserve">Primary endpoint</w:t>
            </w:r>
          </w:p>
        </w:tc>
        <w:tc>
          <w:tcPr/>
          <w:p>
            <w:pPr>
              <w:pStyle w:val="Compact"/>
              <w:jc w:val="left"/>
            </w:pPr>
            <w:r>
              <w:t xml:space="preserve">Rate of Grade </w:t>
            </w:r>
            <m:oMath>
              <m:r>
                <m:rPr>
                  <m:sty m:val="p"/>
                </m:rPr>
                <m:t>≥</m:t>
              </m:r>
            </m:oMath>
            <w:r>
              <w:t xml:space="preserve"> 3 mucositis or Grade </w:t>
            </w:r>
            <m:oMath>
              <m:r>
                <m:rPr>
                  <m:sty m:val="p"/>
                </m:rPr>
                <m:t>≥</m:t>
              </m:r>
            </m:oMath>
            <w:r>
              <w:t xml:space="preserve"> 3 nephrotoxicity</w:t>
            </w:r>
            <w:r>
              <w:t xml:space="preserve"> </w:t>
            </w:r>
            <w:r>
              <w:t xml:space="preserve">within 6 weeks of first cisplatin infusion (fixed calendar window;</w:t>
            </w:r>
            <w:r>
              <w:t xml:space="preserve"> </w:t>
            </w:r>
            <w:r>
              <w:t xml:space="preserve">CTCAE v5.0). Hierarchical testing of components if composite significant;</w:t>
            </w:r>
            <w:r>
              <w:t xml:space="preserve"> </w:t>
            </w:r>
            <w:r>
              <w:t xml:space="preserve">win-ratio sensitivity analysis pre-specified.</w:t>
            </w:r>
          </w:p>
        </w:tc>
      </w:tr>
      <w:tr>
        <w:tc>
          <w:tcPr/>
          <w:p>
            <w:pPr>
              <w:pStyle w:val="Compact"/>
              <w:jc w:val="left"/>
            </w:pPr>
            <w:r>
              <w:t xml:space="preserve">Secondary endpoints</w:t>
            </w:r>
          </w:p>
        </w:tc>
        <w:tc>
          <w:tcPr/>
          <w:p>
            <w:pPr>
              <w:pStyle w:val="Compact"/>
              <w:jc w:val="left"/>
            </w:pPr>
            <w:r>
              <w:t xml:space="preserve">Emesis complete-response rate; SIOP Boston ototoxicity grade;</w:t>
            </w:r>
            <w:r>
              <w:t xml:space="preserve"> </w:t>
            </w:r>
            <w:r>
              <w:t xml:space="preserve">neuropathy (CTCAE); cumulative cisplatin dose delivered; RT fractions</w:t>
            </w:r>
            <w:r>
              <w:t xml:space="preserve"> </w:t>
            </w:r>
            <w:r>
              <w:t xml:space="preserve">missed; EORTC QLQ-C30/H&amp;N35 (QoL); host–tumour clock contrast</w:t>
            </w:r>
            <w:r>
              <w:t xml:space="preserve"> </w:t>
            </w:r>
            <w:r>
              <w:t xml:space="preserve">(tumour vs PBL BMAL1 expression ratio).</w:t>
            </w:r>
          </w:p>
        </w:tc>
      </w:tr>
      <w:tr>
        <w:tc>
          <w:tcPr/>
          <w:p>
            <w:pPr>
              <w:pStyle w:val="Compact"/>
              <w:jc w:val="left"/>
            </w:pPr>
            <w:r>
              <w:t xml:space="preserve">Stratification</w:t>
            </w:r>
          </w:p>
        </w:tc>
        <w:tc>
          <w:tcPr/>
          <w:p>
            <w:pPr>
              <w:pStyle w:val="Compact"/>
              <w:jc w:val="left"/>
            </w:pPr>
            <w:r>
              <w:t xml:space="preserve">Cisplatin schedule (q3wk vs weekly); tumour site (oral cavity vs</w:t>
            </w:r>
            <w:r>
              <w:t xml:space="preserve"> </w:t>
            </w:r>
            <w:r>
              <w:t xml:space="preserve">oropharynx/hypopharynx/larynx); circadian integrity (intact vs disrupted</w:t>
            </w:r>
            <w:r>
              <w:t xml:space="preserve"> </w:t>
            </w:r>
            <w:r>
              <w:t xml:space="preserve">CFI); sex; p16/HPV status (oropharynx patients).</w:t>
            </w:r>
          </w:p>
        </w:tc>
      </w:tr>
      <w:tr>
        <w:tc>
          <w:tcPr/>
          <w:p>
            <w:pPr>
              <w:pStyle w:val="Compact"/>
              <w:jc w:val="left"/>
            </w:pPr>
            <w:r>
              <w:t xml:space="preserve">Exploratory biomarkers</w:t>
            </w:r>
          </w:p>
        </w:tc>
        <w:tc>
          <w:tcPr/>
          <w:p>
            <w:pPr>
              <w:pStyle w:val="Compact"/>
              <w:jc w:val="left"/>
            </w:pPr>
            <w:r>
              <w:t xml:space="preserve">PBL clock gene expression (PER1, BMAL1; three time-points); serial</w:t>
            </w:r>
            <w:r>
              <w:t xml:space="preserve"> </w:t>
            </w:r>
            <w:r>
              <w:t xml:space="preserve">urinary Pt excretion (2-hourly, first 8 h); tumour BMAL1/PER2 IHC</w:t>
            </w:r>
            <w:r>
              <w:t xml:space="preserve"> </w:t>
            </w:r>
            <w:r>
              <w:t xml:space="preserve">(H-score; validated antibody; pathologist blinded); host–tumour clock</w:t>
            </w:r>
            <w:r>
              <w:t xml:space="preserve"> </w:t>
            </w:r>
            <w:r>
              <w:t xml:space="preserve">contrast.</w:t>
            </w:r>
          </w:p>
        </w:tc>
      </w:tr>
      <w:tr>
        <w:tc>
          <w:tcPr/>
          <w:p>
            <w:pPr>
              <w:pStyle w:val="Compact"/>
              <w:jc w:val="left"/>
            </w:pPr>
            <w:r>
              <w:t xml:space="preserve">Sample size</w:t>
            </w:r>
          </w:p>
        </w:tc>
        <w:tc>
          <w:tcPr/>
          <w:p>
            <w:pPr>
              <w:pStyle w:val="Compact"/>
              <w:jc w:val="left"/>
            </w:pPr>
            <w:r>
              <w:t xml:space="preserve">Assumes 50% baseline composite Grade </w:t>
            </w:r>
            <m:oMath>
              <m:r>
                <m:rPr>
                  <m:sty m:val="p"/>
                </m:rPr>
                <m:t>≥</m:t>
              </m:r>
            </m:oMath>
            <w:r>
              <w:t xml:space="preserve"> 3 rate (mucositis</w:t>
            </w:r>
            <w:r>
              <w:t xml:space="preserve"> </w:t>
            </w:r>
            <w:r>
              <w:t xml:space="preserve">35–45% </w:t>
            </w:r>
            <w:r>
              <w:t xml:space="preserve">(</w:t>
            </w:r>
            <w:r>
              <w:t xml:space="preserve">Lalla et al.</w:t>
            </w:r>
            <w:r>
              <w:t xml:space="preserve"> </w:t>
            </w:r>
            <w:r>
              <w:t xml:space="preserve">2014)</w:t>
            </w:r>
            <w:r>
              <w:t xml:space="preserve"> </w:t>
            </w:r>
            <m:oMath>
              <m:r>
                <m:rPr>
                  <m:sty m:val="p"/>
                </m:rPr>
                <m:t>+</m:t>
              </m:r>
            </m:oMath>
            <w:r>
              <w:t xml:space="preserve"> </w:t>
            </w:r>
            <w:r>
              <w:t xml:space="preserve">nephrotoxicity 20–30% </w:t>
            </w:r>
            <w:r>
              <w:t xml:space="preserve">(Manohar and Leung 2018)</w:t>
            </w:r>
            <w:r>
              <w:t xml:space="preserve">;</w:t>
            </w:r>
            <w:r>
              <w:t xml:space="preserve"> </w:t>
            </w:r>
            <w:r>
              <w:t xml:space="preserve">partial overlap; supported by concurrent CRT trial data). Sensitivity to</w:t>
            </w:r>
            <w:r>
              <w:t xml:space="preserve"> </w:t>
            </w:r>
            <w:r>
              <w:t xml:space="preserve">absolute risk reduction (ARR): ARR 10%: n = 180/arm; ARR 15%:</w:t>
            </w:r>
            <w:r>
              <w:t xml:space="preserve"> </w:t>
            </w:r>
            <w:r>
              <w:t xml:space="preserve">n = 110/arm; ARR 20%: n = 80/arm (primary design target);</w:t>
            </w:r>
            <w:r>
              <w:t xml:space="preserve"> </w:t>
            </w:r>
            <w:r>
              <w:t xml:space="preserve">ARR 25%: n = 55/arm (all at 80% power,</w:t>
            </w:r>
            <w:r>
              <w:t xml:space="preserve"> </w:t>
            </w:r>
            <m:oMath>
              <m:r>
                <m:t>α</m:t>
              </m:r>
            </m:oMath>
            <w:r>
              <w:t xml:space="preserve"> = 0.10 one-sided,</w:t>
            </w:r>
            <w:r>
              <w:t xml:space="preserve"> </w:t>
            </w:r>
            <m:oMath>
              <m:sSup>
                <m:e>
                  <m:r>
                    <m:t>χ</m:t>
                  </m:r>
                </m:e>
                <m:sup>
                  <m:r>
                    <m:t>2</m:t>
                  </m:r>
                </m:sup>
              </m:sSup>
            </m:oMath>
            <w:r>
              <w:t xml:space="preserve"> </w:t>
            </w:r>
            <w:r>
              <w:t xml:space="preserve">test with continuity correction). The primary design target of</w:t>
            </w:r>
            <w:r>
              <w:t xml:space="preserve"> </w:t>
            </w:r>
            <w:r>
              <w:t xml:space="preserve">80 per arm represents a minimum phase II signal-seeking design; the trial</w:t>
            </w:r>
            <w:r>
              <w:t xml:space="preserve"> </w:t>
            </w:r>
            <w:r>
              <w:t xml:space="preserve">may be expanded to 110/arm if early interim data suggest the effect size</w:t>
            </w:r>
            <w:r>
              <w:t xml:space="preserve"> </w:t>
            </w:r>
            <w:r>
              <w:t xml:space="preserve">is nearer 15%.</w:t>
            </w:r>
          </w:p>
        </w:tc>
      </w:tr>
      <w:tr>
        <w:tc>
          <w:tcPr/>
          <w:p>
            <w:pPr>
              <w:pStyle w:val="Compact"/>
              <w:jc w:val="left"/>
            </w:pPr>
            <w:r>
              <w:t xml:space="preserve">Statistical analysis plan</w:t>
            </w:r>
          </w:p>
        </w:tc>
        <w:tc>
          <w:tcPr/>
          <w:p>
            <w:pPr>
              <w:pStyle w:val="Compact"/>
              <w:jc w:val="left"/>
            </w:pPr>
            <w:r>
              <w:t xml:space="preserve">Primary: two-sided</w:t>
            </w:r>
            <w:r>
              <w:t xml:space="preserve"> </w:t>
            </w:r>
            <m:oMath>
              <m:sSup>
                <m:e>
                  <m:r>
                    <m:t>χ</m:t>
                  </m:r>
                </m:e>
                <m:sup>
                  <m:r>
                    <m:t>2</m:t>
                  </m:r>
                </m:sup>
              </m:sSup>
            </m:oMath>
            <w:r>
              <w:t xml:space="preserve"> </w:t>
            </w:r>
            <w:r>
              <w:t xml:space="preserve">with continuity correction; one-sided</w:t>
            </w:r>
            <w:r>
              <w:t xml:space="preserve"> </w:t>
            </w:r>
            <m:oMath>
              <m:r>
                <m:t>α</m:t>
              </m:r>
            </m:oMath>
            <w:r>
              <w:t xml:space="preserve"> = 0.10. Pre-specified sex</w:t>
            </w:r>
            <m:oMath>
              <m:r>
                <m:rPr>
                  <m:sty m:val="p"/>
                </m:rPr>
                <m:t>×</m:t>
              </m:r>
            </m:oMath>
            <w:r>
              <w:t xml:space="preserve">timing interaction test</w:t>
            </w:r>
            <w:r>
              <w:t xml:space="preserve"> </w:t>
            </w:r>
            <w:r>
              <w:t xml:space="preserve">(formal</w:t>
            </w:r>
            <w:r>
              <w:t xml:space="preserve"> </w:t>
            </w:r>
            <m:oMath>
              <m:r>
                <m:t>F</m:t>
              </m:r>
            </m:oMath>
            <w:r>
              <w:t xml:space="preserve">-test; descriptive power only at 80/arm). DSMB interim review</w:t>
            </w:r>
            <w:r>
              <w:t xml:space="preserve"> </w:t>
            </w:r>
            <w:r>
              <w:t xml:space="preserve">of toxicity by sex after 40 evaluable patients/arm; enrolment in female</w:t>
            </w:r>
            <w:r>
              <w:t xml:space="preserve"> </w:t>
            </w:r>
            <w:r>
              <w:t xml:space="preserve">stratum paused if safety threshold crossed.</w:t>
            </w:r>
          </w:p>
        </w:tc>
      </w:tr>
      <w:tr>
        <w:tc>
          <w:tcPr/>
          <w:p>
            <w:pPr>
              <w:pStyle w:val="Compact"/>
              <w:jc w:val="left"/>
            </w:pPr>
            <w:r>
              <w:t xml:space="preserve">Feasibility sub-study</w:t>
            </w:r>
          </w:p>
        </w:tc>
        <w:tc>
          <w:tcPr/>
          <w:p>
            <w:pPr>
              <w:pStyle w:val="Compact"/>
              <w:jc w:val="left"/>
            </w:pPr>
            <w:r>
              <w:t xml:space="preserve">First 20 patients: pharmacy preparation lead time; actual vs target</w:t>
            </w:r>
            <w:r>
              <w:t xml:space="preserve"> </w:t>
            </w:r>
            <w:r>
              <w:t xml:space="preserve">infusion start; nursing acceptability; patient preference for scheduling.</w:t>
            </w:r>
          </w:p>
        </w:tc>
      </w:tr>
    </w:tbl>
    <w:bookmarkEnd w:id="44"/>
    <w:bookmarkStart w:id="45" w:name="X0a15eb299160724f4c6f5277a5f17fefe1200b4"/>
    <w:p>
      <w:pPr>
        <w:pStyle w:val="Heading2"/>
      </w:pPr>
      <w:r>
        <w:t xml:space="preserve">Chronotherapy in the context of established toxicity-reduction strategies</w:t>
      </w:r>
    </w:p>
    <w:p>
      <w:pPr>
        <w:pStyle w:val="FirstParagraph"/>
      </w:pPr>
      <w:r>
        <w:t xml:space="preserve">Any evaluation of cisplatin chronotherapy must be contextualised within the</w:t>
      </w:r>
      <w:r>
        <w:t xml:space="preserve"> </w:t>
      </w:r>
      <w:r>
        <w:t xml:space="preserve">established repertoire of toxicity-reduction strategies with which it would</w:t>
      </w:r>
      <w:r>
        <w:t xml:space="preserve"> </w:t>
      </w:r>
      <w:r>
        <w:t xml:space="preserve">compete or complement in clinical practice. Several approaches have already</w:t>
      </w:r>
      <w:r>
        <w:t xml:space="preserve"> </w:t>
      </w:r>
      <w:r>
        <w:t xml:space="preserve">demonstrated efficacy or are under active investigation.</w:t>
      </w:r>
    </w:p>
    <w:p>
      <w:pPr>
        <w:pStyle w:val="BodyText"/>
      </w:pPr>
      <w:r>
        <w:rPr>
          <w:i/>
          <w:iCs/>
        </w:rPr>
        <w:t xml:space="preserve">Radioprotection and hyperhydration:</w:t>
      </w:r>
      <w:r>
        <w:t xml:space="preserve"> </w:t>
      </w:r>
      <w:r>
        <w:t xml:space="preserve">Intensive intravenous hydration</w:t>
      </w:r>
      <w:r>
        <w:t xml:space="preserve"> </w:t>
      </w:r>
      <w:r>
        <w:t xml:space="preserve">with forced saline diuresis and magnesium supplementation substantially</w:t>
      </w:r>
      <w:r>
        <w:t xml:space="preserve"> </w:t>
      </w:r>
      <w:r>
        <w:t xml:space="preserve">reduces nephrotoxicity incidence and remains the current standard of</w:t>
      </w:r>
      <w:r>
        <w:t xml:space="preserve"> </w:t>
      </w:r>
      <w:r>
        <w:t xml:space="preserve">care </w:t>
      </w:r>
      <w:r>
        <w:t xml:space="preserve">(Manohar and Leung 2018)</w:t>
      </w:r>
      <w:r>
        <w:t xml:space="preserve">. These manoeuvres address the</w:t>
      </w:r>
      <w:r>
        <w:t xml:space="preserve"> </w:t>
      </w:r>
      <w:r>
        <w:rPr>
          <w:i/>
          <w:iCs/>
        </w:rPr>
        <w:t xml:space="preserve">concentration</w:t>
      </w:r>
      <w:r>
        <w:t xml:space="preserve"> </w:t>
      </w:r>
      <w:r>
        <w:t xml:space="preserve">of cisplatin in the tubular lumen, whereas chronotherapy addresses the</w:t>
      </w:r>
      <w:r>
        <w:t xml:space="preserve"> </w:t>
      </w:r>
      <w:r>
        <w:rPr>
          <w:i/>
          <w:iCs/>
        </w:rPr>
        <w:t xml:space="preserve">transporter-mediated uptake</w:t>
      </w:r>
      <w:r>
        <w:t xml:space="preserve"> </w:t>
      </w:r>
      <w:r>
        <w:t xml:space="preserve">at the basolateral membrane — different</w:t>
      </w:r>
      <w:r>
        <w:t xml:space="preserve"> </w:t>
      </w:r>
      <w:r>
        <w:t xml:space="preserve">mechanistic targets that are not mutually exclusive.</w:t>
      </w:r>
    </w:p>
    <w:p>
      <w:pPr>
        <w:pStyle w:val="BodyText"/>
      </w:pPr>
      <w:r>
        <w:rPr>
          <w:i/>
          <w:iCs/>
        </w:rPr>
        <w:t xml:space="preserve">Sodium thiosulfate (STS) otoprotection:</w:t>
      </w:r>
      <w:r>
        <w:t xml:space="preserve"> </w:t>
      </w:r>
      <w:r>
        <w:t xml:space="preserve">As reviewed in</w:t>
      </w:r>
      <w:r>
        <w:t xml:space="preserve"> </w:t>
      </w:r>
      <w:r>
        <w:t xml:space="preserve">Section </w:t>
      </w:r>
      <w:hyperlink w:anchor="sec:toxicity">
        <w:r>
          <w:rPr>
            <w:rStyle w:val="Hyperlink"/>
          </w:rPr>
          <w:t xml:space="preserve">4</w:t>
        </w:r>
      </w:hyperlink>
      <w:r>
        <w:t xml:space="preserve">, STS is approved for paediatric hepatoblastoma</w:t>
      </w:r>
      <w:r>
        <w:t xml:space="preserve"> </w:t>
      </w:r>
      <w:r>
        <w:t xml:space="preserve">but carries antitumour antagonism concerns in adult HNSCC </w:t>
      </w:r>
      <w:r>
        <w:t xml:space="preserve">(Brock et al. 2018; Freyer et al. 2017)</w:t>
      </w:r>
      <w:r>
        <w:t xml:space="preserve">. Chronotherapy offers a mechanism-based alternative that avoids</w:t>
      </w:r>
      <w:r>
        <w:t xml:space="preserve"> </w:t>
      </w:r>
      <w:r>
        <w:t xml:space="preserve">this trade-off.</w:t>
      </w:r>
    </w:p>
    <w:p>
      <w:pPr>
        <w:pStyle w:val="BodyText"/>
      </w:pPr>
      <w:r>
        <w:rPr>
          <w:i/>
          <w:iCs/>
        </w:rPr>
        <w:t xml:space="preserve">Amifostine:</w:t>
      </w:r>
      <w:r>
        <w:t xml:space="preserve"> </w:t>
      </w:r>
      <w:r>
        <w:t xml:space="preserve">The thiol radioprotector amifostine reduces nephrotoxicity</w:t>
      </w:r>
      <w:r>
        <w:t xml:space="preserve"> </w:t>
      </w:r>
      <w:r>
        <w:t xml:space="preserve">and xerostomia but is associated with significant acute toxicity (nausea,</w:t>
      </w:r>
      <w:r>
        <w:t xml:space="preserve"> </w:t>
      </w:r>
      <w:r>
        <w:t xml:space="preserve">hypotension, vomiting) that limits its tolerability in the chemoradiotherapy</w:t>
      </w:r>
      <w:r>
        <w:t xml:space="preserve"> </w:t>
      </w:r>
      <w:r>
        <w:t xml:space="preserve">setting </w:t>
      </w:r>
      <w:r>
        <w:t xml:space="preserve">(Szturz et al. 2017)</w:t>
      </w:r>
      <w:r>
        <w:t xml:space="preserve">, and its routine use is not recommended.</w:t>
      </w:r>
      <w:r>
        <w:t xml:space="preserve"> </w:t>
      </w:r>
      <w:r>
        <w:t xml:space="preserve">Chronotherapy would not be expected to interact with amifostine’s mechanism.</w:t>
      </w:r>
    </w:p>
    <w:p>
      <w:pPr>
        <w:pStyle w:val="BodyText"/>
      </w:pPr>
      <w:r>
        <w:rPr>
          <w:i/>
          <w:iCs/>
        </w:rPr>
        <w:t xml:space="preserve">Proton therapy, IMRT, and parotid-sparing radiotherapy:</w:t>
      </w:r>
      <w:r>
        <w:t xml:space="preserve"> </w:t>
      </w:r>
      <w:r>
        <w:t xml:space="preserve">These</w:t>
      </w:r>
      <w:r>
        <w:t xml:space="preserve"> </w:t>
      </w:r>
      <w:r>
        <w:t xml:space="preserve">radiotherapy techniques reduce xerostomia and dysphagia but do not directly</w:t>
      </w:r>
      <w:r>
        <w:t xml:space="preserve"> </w:t>
      </w:r>
      <w:r>
        <w:t xml:space="preserve">address cisplatin nephrotoxicity or ototoxicity — the principal</w:t>
      </w:r>
      <w:r>
        <w:t xml:space="preserve"> </w:t>
      </w:r>
      <w:r>
        <w:t xml:space="preserve">dose-limiting toxicities. Chronotherapy is orthogonal to these</w:t>
      </w:r>
      <w:r>
        <w:t xml:space="preserve"> </w:t>
      </w:r>
      <w:r>
        <w:t xml:space="preserve">radiotherapy-based strategies.</w:t>
      </w:r>
    </w:p>
    <w:p>
      <w:pPr>
        <w:pStyle w:val="BodyText"/>
      </w:pPr>
      <w:r>
        <w:rPr>
          <w:i/>
          <w:iCs/>
        </w:rPr>
        <w:t xml:space="preserve">Schedule modification (weekly vs three-weekly):</w:t>
      </w:r>
      <w:r>
        <w:t xml:space="preserve"> </w:t>
      </w:r>
      <w:r>
        <w:t xml:space="preserve">As reviewed in</w:t>
      </w:r>
      <w:r>
        <w:t xml:space="preserve"> </w:t>
      </w:r>
      <w:r>
        <w:t xml:space="preserve">Section </w:t>
      </w:r>
      <w:hyperlink w:anchor="sec:clinical">
        <w:r>
          <w:rPr>
            <w:rStyle w:val="Hyperlink"/>
          </w:rPr>
          <w:t xml:space="preserve">3</w:t>
        </w:r>
      </w:hyperlink>
      <w:r>
        <w:t xml:space="preserve">, schedule modification alters the</w:t>
      </w:r>
      <w:r>
        <w:t xml:space="preserve"> </w:t>
      </w:r>
      <w:r>
        <w:rPr>
          <w:i/>
          <w:iCs/>
        </w:rPr>
        <w:t xml:space="preserve">cumulative dose rate</w:t>
      </w:r>
      <w:r>
        <w:t xml:space="preserve"> </w:t>
      </w:r>
      <w:r>
        <w:t xml:space="preserve">but not the</w:t>
      </w:r>
      <w:r>
        <w:t xml:space="preserve"> </w:t>
      </w:r>
      <w:r>
        <w:rPr>
          <w:i/>
          <w:iCs/>
        </w:rPr>
        <w:t xml:space="preserve">circadian timing</w:t>
      </w:r>
      <w:r>
        <w:t xml:space="preserve"> </w:t>
      </w:r>
      <w:r>
        <w:t xml:space="preserve">of any</w:t>
      </w:r>
      <w:r>
        <w:t xml:space="preserve"> </w:t>
      </w:r>
      <w:r>
        <w:t xml:space="preserve">individual infusion. The two approaches are complementary: chronotherapy</w:t>
      </w:r>
      <w:r>
        <w:t xml:space="preserve"> </w:t>
      </w:r>
      <w:r>
        <w:t xml:space="preserve">personalises</w:t>
      </w:r>
      <w:r>
        <w:t xml:space="preserve"> </w:t>
      </w:r>
      <w:r>
        <w:rPr>
          <w:i/>
          <w:iCs/>
        </w:rPr>
        <w:t xml:space="preserve">when</w:t>
      </w:r>
      <w:r>
        <w:t xml:space="preserve"> </w:t>
      </w:r>
      <w:r>
        <w:t xml:space="preserve">each dose is given; schedule modification</w:t>
      </w:r>
      <w:r>
        <w:t xml:space="preserve"> </w:t>
      </w:r>
      <w:r>
        <w:t xml:space="preserve">determines</w:t>
      </w:r>
      <w:r>
        <w:t xml:space="preserve"> </w:t>
      </w:r>
      <w:r>
        <w:rPr>
          <w:i/>
          <w:iCs/>
        </w:rPr>
        <w:t xml:space="preserve">how much</w:t>
      </w:r>
      <w:r>
        <w:t xml:space="preserve"> </w:t>
      </w:r>
      <w:r>
        <w:t xml:space="preserve">and</w:t>
      </w:r>
      <w:r>
        <w:t xml:space="preserve"> </w:t>
      </w:r>
      <w:r>
        <w:rPr>
          <w:i/>
          <w:iCs/>
        </w:rPr>
        <w:t xml:space="preserve">how often</w:t>
      </w:r>
      <w:r>
        <w:t xml:space="preserve">. Weekly schedules are</w:t>
      </w:r>
      <w:r>
        <w:t xml:space="preserve"> </w:t>
      </w:r>
      <w:r>
        <w:t xml:space="preserve">particularly compatible with chronotherapy because they provide 6–7</w:t>
      </w:r>
      <w:r>
        <w:t xml:space="preserve"> </w:t>
      </w:r>
      <w:r>
        <w:t xml:space="preserve">opportunities for chronotype-adjusted dosing versus only 3 for the</w:t>
      </w:r>
      <w:r>
        <w:t xml:space="preserve"> </w:t>
      </w:r>
      <w:r>
        <w:t xml:space="preserve">three-weekly regimen.</w:t>
      </w:r>
    </w:p>
    <w:p>
      <w:pPr>
        <w:pStyle w:val="BodyText"/>
      </w:pPr>
      <w:r>
        <w:rPr>
          <w:i/>
          <w:iCs/>
        </w:rPr>
        <w:t xml:space="preserve">What chronotherapy uniquely offers</w:t>
      </w:r>
      <w:r>
        <w:t xml:space="preserve"> </w:t>
      </w:r>
      <w:r>
        <w:t xml:space="preserve">is a mechanism that operates</w:t>
      </w:r>
      <w:r>
        <w:t xml:space="preserve"> </w:t>
      </w:r>
      <w:r>
        <w:rPr>
          <w:i/>
          <w:iCs/>
        </w:rPr>
        <w:t xml:space="preserve">without dose reduction, without additional pharmacological agents,</w:t>
      </w:r>
      <w:r>
        <w:rPr>
          <w:i/>
          <w:iCs/>
        </w:rPr>
        <w:t xml:space="preserve"> </w:t>
      </w:r>
      <w:r>
        <w:rPr>
          <w:i/>
          <w:iCs/>
        </w:rPr>
        <w:t xml:space="preserve">and without modification to the radiotherapy workflow</w:t>
      </w:r>
      <w:r>
        <w:t xml:space="preserve">: the dose, formulation,</w:t>
      </w:r>
      <w:r>
        <w:t xml:space="preserve"> </w:t>
      </w:r>
      <w:r>
        <w:t xml:space="preserve">and schedule are unchanged; only the clock-time of delivery is adjusted.</w:t>
      </w:r>
      <w:r>
        <w:t xml:space="preserve"> </w:t>
      </w:r>
      <w:r>
        <w:t xml:space="preserve">If a 20–25% reduction in Grade </w:t>
      </w:r>
      <m:oMath>
        <m:r>
          <m:rPr>
            <m:sty m:val="p"/>
          </m:rPr>
          <m:t>≥</m:t>
        </m:r>
      </m:oMath>
      <w:r>
        <w:t xml:space="preserve">3 combined toxicity can be achieved</w:t>
      </w:r>
      <w:r>
        <w:t xml:space="preserve"> </w:t>
      </w:r>
      <w:r>
        <w:t xml:space="preserve">through scheduling alone, the clinical argument for its routine adoption —</w:t>
      </w:r>
      <w:r>
        <w:t xml:space="preserve"> </w:t>
      </w:r>
      <w:r>
        <w:t xml:space="preserve">particularly in combination with hyperhydration and radiotherapy</w:t>
      </w:r>
      <w:r>
        <w:t xml:space="preserve"> </w:t>
      </w:r>
      <w:r>
        <w:t xml:space="preserve">optimisation — would be compelling.</w:t>
      </w:r>
    </w:p>
    <w:p>
      <w:pPr>
        <w:pStyle w:val="BodyText"/>
      </w:pPr>
      <w:r>
        <w:t xml:space="preserve">This conceptual framework is intentionally modest: it seeks to</w:t>
      </w:r>
      <w:r>
        <w:t xml:space="preserve"> </w:t>
      </w:r>
      <w:r>
        <w:t xml:space="preserve">establish whether chronotype-adjusted delivery reduces toxicity</w:t>
      </w:r>
      <w:r>
        <w:t xml:space="preserve"> </w:t>
      </w:r>
      <w:r>
        <w:t xml:space="preserve">in a measurable way before any claim about efficacy. If a 20–25%</w:t>
      </w:r>
      <w:r>
        <w:t xml:space="preserve"> </w:t>
      </w:r>
      <w:r>
        <w:t xml:space="preserve">reduction in Grade </w:t>
      </w:r>
      <m:oMath>
        <m:r>
          <m:rPr>
            <m:sty m:val="p"/>
          </m:rPr>
          <m:t>≥</m:t>
        </m:r>
      </m:oMath>
      <w:r>
        <w:t xml:space="preserve">3 combined toxicity can be demonstrated</w:t>
      </w:r>
      <w:r>
        <w:t xml:space="preserve"> </w:t>
      </w:r>
      <w:r>
        <w:t xml:space="preserve">while preserving dose intensity, the case for a phase III survival</w:t>
      </w:r>
      <w:r>
        <w:t xml:space="preserve"> </w:t>
      </w:r>
      <w:r>
        <w:t xml:space="preserve">trial — incorporating the sex-stratification lessons of</w:t>
      </w:r>
      <w:r>
        <w:t xml:space="preserve"> </w:t>
      </w:r>
      <w:r>
        <w:t xml:space="preserve">Giacchetti </w:t>
      </w:r>
      <w:r>
        <w:t xml:space="preserve">(</w:t>
      </w:r>
      <w:r>
        <w:t xml:space="preserve">Giacchetti et al.</w:t>
      </w:r>
      <w:r>
        <w:t xml:space="preserve"> </w:t>
      </w:r>
      <w:r>
        <w:t xml:space="preserve">2006)</w:t>
      </w:r>
      <w:r>
        <w:t xml:space="preserve"> </w:t>
      </w:r>
      <w:r>
        <w:t xml:space="preserve">and the circadian monitoring</w:t>
      </w:r>
      <w:r>
        <w:t xml:space="preserve"> </w:t>
      </w:r>
      <w:r>
        <w:t xml:space="preserve">infrastructure of Innominato et al. </w:t>
      </w:r>
      <w:r>
        <w:t xml:space="preserve">(Innominato et al. 2014)</w:t>
      </w:r>
      <w:r>
        <w:t xml:space="preserve"> </w:t>
      </w:r>
      <w:r>
        <w:t xml:space="preserve">— becomes</w:t>
      </w:r>
      <w:r>
        <w:t xml:space="preserve"> </w:t>
      </w:r>
      <w:r>
        <w:t xml:space="preserve">credible and clinically compelling.</w:t>
      </w:r>
    </w:p>
    <w:bookmarkEnd w:id="45"/>
    <w:bookmarkEnd w:id="46"/>
    <w:bookmarkStart w:id="182" w:name="sec:conclusion"/>
    <w:p>
      <w:pPr>
        <w:pStyle w:val="Heading1"/>
      </w:pPr>
      <w:r>
        <w:t xml:space="preserve">Conclusion</w:t>
      </w:r>
    </w:p>
    <w:p>
      <w:pPr>
        <w:pStyle w:val="FirstParagraph"/>
      </w:pPr>
      <w:r>
        <w:t xml:space="preserve">Cisplatin remains the most important chemotherapeutic agent in the</w:t>
      </w:r>
      <w:r>
        <w:t xml:space="preserve"> </w:t>
      </w:r>
      <w:r>
        <w:t xml:space="preserve">concurrent management of locally advanced OSCC and HNSCC, but its</w:t>
      </w:r>
      <w:r>
        <w:t xml:space="preserve"> </w:t>
      </w:r>
      <w:r>
        <w:t xml:space="preserve">organ-specific toxicities — nephrotoxicity, ototoxicity, oral mucositis,</w:t>
      </w:r>
      <w:r>
        <w:t xml:space="preserve"> </w:t>
      </w:r>
      <w:r>
        <w:t xml:space="preserve">nausea and vomiting, and peripheral neuropathy — constitute the</w:t>
      </w:r>
      <w:r>
        <w:t xml:space="preserve"> </w:t>
      </w:r>
      <w:r>
        <w:t xml:space="preserve">principal barrier to treatment completion and full-dose delivery.</w:t>
      </w:r>
      <w:r>
        <w:t xml:space="preserve"> </w:t>
      </w:r>
      <w:r>
        <w:t xml:space="preserve">These toxicities are not interchangeable: each reflects a distinct</w:t>
      </w:r>
      <w:r>
        <w:t xml:space="preserve"> </w:t>
      </w:r>
      <w:r>
        <w:t xml:space="preserve">biology of transporter-mediated platinum uptake, localised adduct</w:t>
      </w:r>
      <w:r>
        <w:t xml:space="preserve"> </w:t>
      </w:r>
      <w:r>
        <w:t xml:space="preserve">formation, and organ-specific apoptotic response. Dose reduction and</w:t>
      </w:r>
      <w:r>
        <w:t xml:space="preserve"> </w:t>
      </w:r>
      <w:r>
        <w:t xml:space="preserve">schedule modification address the aggregate toxicity signal but ignore</w:t>
      </w:r>
      <w:r>
        <w:t xml:space="preserve"> </w:t>
      </w:r>
      <w:r>
        <w:t xml:space="preserve">the mechanistic specificity that makes each organ differently vulnerable.</w:t>
      </w:r>
    </w:p>
    <w:p>
      <w:pPr>
        <w:pStyle w:val="BodyText"/>
      </w:pPr>
      <w:r>
        <w:t xml:space="preserve">The circadian molecular clock is documented to regulate, in a</w:t>
      </w:r>
      <w:r>
        <w:t xml:space="preserve"> </w:t>
      </w:r>
      <w:r>
        <w:t xml:space="preserve">tissue-specific manner, at least four of the processes most critical</w:t>
      </w:r>
      <w:r>
        <w:t xml:space="preserve"> </w:t>
      </w:r>
      <w:r>
        <w:t xml:space="preserve">to cisplatin toxicity: OCT2-dependent renal tubular cisplatin</w:t>
      </w:r>
      <w:r>
        <w:t xml:space="preserve"> </w:t>
      </w:r>
      <w:r>
        <w:t xml:space="preserve">influx, XPA-dependent nucleotide excision repair of platinum–DNA</w:t>
      </w:r>
      <w:r>
        <w:t xml:space="preserve"> </w:t>
      </w:r>
      <w:r>
        <w:t xml:space="preserve">adducts, glutathione redox buffering, and mucosal epithelial</w:t>
      </w:r>
      <w:r>
        <w:t xml:space="preserve"> </w:t>
      </w:r>
      <w:r>
        <w:t xml:space="preserve">proliferative rate. The mechanistic case for timing-based toxicity modulation is therefore</w:t>
      </w:r>
      <w:r>
        <w:t xml:space="preserve"> </w:t>
      </w:r>
      <w:r>
        <w:t xml:space="preserve">supported by a body of quantitative molecular data, not by empirical</w:t>
      </w:r>
      <w:r>
        <w:t xml:space="preserve"> </w:t>
      </w:r>
      <w:r>
        <w:t xml:space="preserve">dose-scheduling intuition alone — while remaining</w:t>
      </w:r>
      <w:r>
        <w:t xml:space="preserve"> </w:t>
      </w:r>
      <w:r>
        <w:rPr>
          <w:i/>
          <w:iCs/>
        </w:rPr>
        <w:t xml:space="preserve">mechanistically</w:t>
      </w:r>
      <w:r>
        <w:rPr>
          <w:i/>
          <w:iCs/>
        </w:rPr>
        <w:t xml:space="preserve"> </w:t>
      </w:r>
      <w:r>
        <w:rPr>
          <w:i/>
          <w:iCs/>
        </w:rPr>
        <w:t xml:space="preserve">plausible</w:t>
      </w:r>
      <w:r>
        <w:t xml:space="preserve"> </w:t>
      </w:r>
      <w:r>
        <w:t xml:space="preserve">rather than proven in the specific context of OSCC/HNSCC</w:t>
      </w:r>
      <w:r>
        <w:t xml:space="preserve"> </w:t>
      </w:r>
      <w:r>
        <w:t xml:space="preserve">patient tissues. The BMAL1/ARNTL data reveal a two-tissue asymmetry</w:t>
      </w:r>
      <w:r>
        <w:t xml:space="preserve"> </w:t>
      </w:r>
      <w:r>
        <w:t xml:space="preserve">with tumour-side concordance: both OSCC and NPC studies find that</w:t>
      </w:r>
      <w:r>
        <w:t xml:space="preserve"> </w:t>
      </w:r>
      <w:r>
        <w:t xml:space="preserve">BMAL1 promotes cisplatin sensitivity, while the renal pro-injury role</w:t>
      </w:r>
      <w:r>
        <w:t xml:space="preserve"> </w:t>
      </w:r>
      <w:r>
        <w:t xml:space="preserve">(Zha 2020) awaits independent replication. If confirmed, this</w:t>
      </w:r>
      <w:r>
        <w:t xml:space="preserve"> </w:t>
      </w:r>
      <w:r>
        <w:t xml:space="preserve">host–tumour clock contrast would itself be a targetable feature of</w:t>
      </w:r>
      <w:r>
        <w:t xml:space="preserve"> </w:t>
      </w:r>
      <w:r>
        <w:t xml:space="preserve">chronotherapy — a window in which tumour cisplatin sensitivity is</w:t>
      </w:r>
      <w:r>
        <w:t xml:space="preserve"> </w:t>
      </w:r>
      <w:r>
        <w:t xml:space="preserve">maximised while host uptake and injury are minimised.</w:t>
      </w:r>
    </w:p>
    <w:p>
      <w:pPr>
        <w:pStyle w:val="BodyText"/>
      </w:pPr>
      <w:r>
        <w:t xml:space="preserve">The existing clinical evidence for cisplatin chronotherapy in</w:t>
      </w:r>
      <w:r>
        <w:t xml:space="preserve"> </w:t>
      </w:r>
      <w:r>
        <w:t xml:space="preserve">head-and-neck cancer is preliminary: a small OSCC pilot study and</w:t>
      </w:r>
      <w:r>
        <w:t xml:space="preserve"> </w:t>
      </w:r>
      <w:r>
        <w:t xml:space="preserve">a single NPC phase II trial support toxicity-reduction endpoints,</w:t>
      </w:r>
      <w:r>
        <w:t xml:space="preserve"> </w:t>
      </w:r>
      <w:r>
        <w:t xml:space="preserve">but neither is powered for survival, and neither incorporates</w:t>
      </w:r>
      <w:r>
        <w:t xml:space="preserve"> </w:t>
      </w:r>
      <w:r>
        <w:t xml:space="preserve">individual chronotype characterisation. The sex</w:t>
      </w:r>
      <m:oMath>
        <m:r>
          <m:rPr>
            <m:sty m:val="p"/>
          </m:rPr>
          <m:t>×</m:t>
        </m:r>
      </m:oMath>
      <w:r>
        <w:t xml:space="preserve">timing</w:t>
      </w:r>
      <w:r>
        <w:t xml:space="preserve"> </w:t>
      </w:r>
      <w:r>
        <w:t xml:space="preserve">interaction observed in colorectal cancer chronotherapy trials</w:t>
      </w:r>
      <w:r>
        <w:t xml:space="preserve"> </w:t>
      </w:r>
      <w:r>
        <w:t xml:space="preserve">is a mandatory design constraint for future OSCC/HNSCC work.</w:t>
      </w:r>
      <w:r>
        <w:t xml:space="preserve"> </w:t>
      </w:r>
      <w:r>
        <w:t xml:space="preserve">Chronotherapy does not replace established toxicity-reduction strategies</w:t>
      </w:r>
      <w:r>
        <w:t xml:space="preserve"> </w:t>
      </w:r>
      <w:r>
        <w:t xml:space="preserve">— hyperhydration, schedule modification, and radiotherapy optimisation</w:t>
      </w:r>
      <w:r>
        <w:t xml:space="preserve"> </w:t>
      </w:r>
      <w:r>
        <w:t xml:space="preserve">remain the clinical standard — but it occupies a distinct mechanistic</w:t>
      </w:r>
      <w:r>
        <w:t xml:space="preserve"> </w:t>
      </w:r>
      <w:r>
        <w:t xml:space="preserve">niche: it targets cisplatin uptake and repair at the cellular level</w:t>
      </w:r>
      <w:r>
        <w:t xml:space="preserve"> </w:t>
      </w:r>
      <w:r>
        <w:t xml:space="preserve">without dose reduction, pharmacological additives, or changes to the</w:t>
      </w:r>
      <w:r>
        <w:t xml:space="preserve"> </w:t>
      </w:r>
      <w:r>
        <w:t xml:space="preserve">radiotherapy workflow. It is therefore complementary to, not competitive</w:t>
      </w:r>
      <w:r>
        <w:t xml:space="preserve"> </w:t>
      </w:r>
      <w:r>
        <w:t xml:space="preserve">with, existing approaches.</w:t>
      </w:r>
    </w:p>
    <w:p>
      <w:pPr>
        <w:pStyle w:val="BodyText"/>
      </w:pPr>
      <w:r>
        <w:t xml:space="preserve">A phase II chronotype-aware trial — using Grade </w:t>
      </w:r>
      <m:oMath>
        <m:r>
          <m:rPr>
            <m:sty m:val="p"/>
          </m:rPr>
          <m:t>≥</m:t>
        </m:r>
      </m:oMath>
      <w:r>
        <w:t xml:space="preserve">3 mucositis or</w:t>
      </w:r>
      <w:r>
        <w:t xml:space="preserve"> </w:t>
      </w:r>
      <w:r>
        <w:t xml:space="preserve">nephrotoxicity within six weeks of first cisplatin as the primary endpoint,</w:t>
      </w:r>
      <w:r>
        <w:t xml:space="preserve"> </w:t>
      </w:r>
      <w:r>
        <w:t xml:space="preserve">with pre-specified sex stratification, prospective CFI monitoring, and</w:t>
      </w:r>
      <w:r>
        <w:t xml:space="preserve"> </w:t>
      </w:r>
      <w:r>
        <w:t xml:space="preserve">biomarker integration — is both scientifically warranted and logistically</w:t>
      </w:r>
      <w:r>
        <w:t xml:space="preserve"> </w:t>
      </w:r>
      <w:r>
        <w:t xml:space="preserve">achievable within standard chemoradiotherapy delivery infrastructure.</w:t>
      </w:r>
      <w:r>
        <w:t xml:space="preserve"> </w:t>
      </w:r>
      <w:r>
        <w:t xml:space="preserve">Whether timing can reduce the toxicity burden enough to improve dose</w:t>
      </w:r>
      <w:r>
        <w:t xml:space="preserve"> </w:t>
      </w:r>
      <w:r>
        <w:t xml:space="preserve">completion rates and, ultimately, survival outcomes in this disease is</w:t>
      </w:r>
      <w:r>
        <w:t xml:space="preserve"> </w:t>
      </w:r>
      <w:r>
        <w:t xml:space="preserve">the question that such a trial is positioned to answer.</w:t>
      </w:r>
    </w:p>
    <w:bookmarkStart w:id="50" w:name="fig:mechanism"/>
    <w:p>
      <w:pPr>
        <w:pStyle w:val="CaptionedFigure"/>
      </w:pPr>
      <w:r>
        <w:drawing>
          <wp:inline>
            <wp:extent cx="5334000" cy="3774225"/>
            <wp:effectExtent b="0" l="0" r="0" t="0"/>
            <wp:docPr descr="" title="" id="48" name="Picture"/>
            <a:graphic>
              <a:graphicData uri="http://schemas.openxmlformats.org/drawingml/2006/picture">
                <pic:pic>
                  <pic:nvPicPr>
                    <pic:cNvPr descr="../figure/fig1.png" id="49" name="Picture"/>
                    <pic:cNvPicPr>
                      <a:picLocks noChangeArrowheads="1" noChangeAspect="1"/>
                    </pic:cNvPicPr>
                  </pic:nvPicPr>
                  <pic:blipFill>
                    <a:blip r:embed="rId47"/>
                    <a:stretch>
                      <a:fillRect/>
                    </a:stretch>
                  </pic:blipFill>
                  <pic:spPr bwMode="auto">
                    <a:xfrm>
                      <a:off x="0" y="0"/>
                      <a:ext cx="5334000" cy="3774225"/>
                    </a:xfrm>
                    <a:prstGeom prst="rect">
                      <a:avLst/>
                    </a:prstGeom>
                    <a:noFill/>
                    <a:ln w="9525">
                      <a:noFill/>
                      <a:headEnd/>
                      <a:tailEnd/>
                    </a:ln>
                  </pic:spPr>
                </pic:pic>
              </a:graphicData>
            </a:graphic>
          </wp:inline>
        </w:drawing>
      </w:r>
    </w:p>
    <w:p>
      <w:pPr>
        <w:pStyle w:val="ImageCaption"/>
      </w:pPr>
      <w:r>
        <w:rPr>
          <w:b/>
          <w:bCs/>
        </w:rPr>
        <w:t xml:space="preserve">Cisplatin mechanism of action, organ-specific toxicity</w:t>
      </w:r>
      <w:r>
        <w:rPr>
          <w:b/>
          <w:bCs/>
        </w:rPr>
        <w:t xml:space="preserve"> </w:t>
      </w:r>
      <w:r>
        <w:rPr>
          <w:b/>
          <w:bCs/>
        </w:rPr>
        <w:t xml:space="preserve">pathways, and circadian timing gates.</w:t>
      </w:r>
      <w:r>
        <w:t xml:space="preserve"> </w:t>
      </w:r>
      <w:r>
        <w:rPr>
          <w:b/>
          <w:bCs/>
        </w:rPr>
        <w:t xml:space="preserve">(A)</w:t>
      </w:r>
      <w:r>
        <w:t xml:space="preserve"> Cellular mechanism of cisplatin cytotoxicity. Cisplatin</w:t>
      </w:r>
      <w:r>
        <w:t xml:space="preserve"> </w:t>
      </w:r>
      <w:r>
        <w:t xml:space="preserve">enters cells via CTR1 (influx) and OCT2 (tissue-specific influx in</w:t>
      </w:r>
      <w:r>
        <w:t xml:space="preserve"> </w:t>
      </w:r>
      <w:r>
        <w:t xml:space="preserve">kidney and cochlea); intracellular export is mediated by ATP7B.</w:t>
      </w:r>
      <w:r>
        <w:t xml:space="preserve"> </w:t>
      </w:r>
      <w:r>
        <w:t xml:space="preserve">Aquation in the low-chloride cytoplasm generates reactive platinum</w:t>
      </w:r>
      <w:r>
        <w:t xml:space="preserve"> </w:t>
      </w:r>
      <w:r>
        <w:t xml:space="preserve">species that form 1,2-d(GpG) intrastrand crosslinks (65–70% of</w:t>
      </w:r>
      <w:r>
        <w:t xml:space="preserve"> </w:t>
      </w:r>
      <w:r>
        <w:t xml:space="preserve">adducts) on nuclear DNA. The NER pathway (XPA scaffold→RPA→TFIIH→</w:t>
      </w:r>
      <w:r>
        <w:t xml:space="preserve"> </w:t>
      </w:r>
      <w:r>
        <w:t xml:space="preserve">dual incision→gap-fill ligation) resolves adducts when repair capacity</w:t>
      </w:r>
      <w:r>
        <w:t xml:space="preserve"> </w:t>
      </w:r>
      <w:r>
        <w:t xml:space="preserve">is sufficient; when overwhelmed, ATR→Chk1→p53→BAX/PUMA→caspase 3/7</w:t>
      </w:r>
      <w:r>
        <w:t xml:space="preserve"> </w:t>
      </w:r>
      <w:r>
        <w:t xml:space="preserve">apoptosis is activated. XPA protein abundance oscillates with circadian</w:t>
      </w:r>
      <w:r>
        <w:t xml:space="preserve"> </w:t>
      </w:r>
      <w:r>
        <w:t xml:space="preserve">periodicity (peak ZT10, nadir ZT22; 5–10</w:t>
      </w:r>
      <m:oMath>
        <m:r>
          <m:rPr>
            <m:sty m:val="p"/>
          </m:rPr>
          <m:t>×</m:t>
        </m:r>
      </m:oMath>
      <w:r>
        <w:t xml:space="preserve"> </w:t>
      </w:r>
      <w:r>
        <w:t xml:space="preserve">amplitude), annotated</w:t>
      </w:r>
      <w:r>
        <w:t xml:space="preserve"> </w:t>
      </w:r>
      <w:r>
        <w:t xml:space="preserve">by the dashed clock box.</w:t>
      </w:r>
      <w:r>
        <w:t xml:space="preserve"> </w:t>
      </w:r>
      <w:r>
        <w:rPr>
          <w:b/>
          <w:bCs/>
        </w:rPr>
        <w:t xml:space="preserve">(B)</w:t>
      </w:r>
      <w:r>
        <w:t xml:space="preserve"> Organ-specific toxicity compartments.</w:t>
      </w:r>
      <w:r>
        <w:t xml:space="preserve"> </w:t>
      </w:r>
      <w:r>
        <w:rPr>
          <w:i/>
          <w:iCs/>
        </w:rPr>
        <w:t xml:space="preserve">Kidney:</w:t>
      </w:r>
      <w:r>
        <w:t xml:space="preserve"> </w:t>
      </w:r>
      <w:r>
        <w:t xml:space="preserve">basolateral OCT2 concentrates cisplatin in proximal tubular S3 cells;</w:t>
      </w:r>
      <w:r>
        <w:t xml:space="preserve"> </w:t>
      </w:r>
      <w:r>
        <w:t xml:space="preserve">ROS generation and caspase 2 activation drive AKI (</w:t>
      </w:r>
      <m:oMath>
        <m:r>
          <m:rPr>
            <m:sty m:val="p"/>
          </m:rPr>
          <m:t>∼</m:t>
        </m:r>
      </m:oMath>
      <w:r>
        <w:t xml:space="preserve">40% of</w:t>
      </w:r>
      <w:r>
        <w:t xml:space="preserve"> </w:t>
      </w:r>
      <w:r>
        <w:t xml:space="preserve">patients; OCT2 expression is circadian, peaking ZT14).</w:t>
      </w:r>
      <w:r>
        <w:t xml:space="preserve"> </w:t>
      </w:r>
      <w:r>
        <w:rPr>
          <w:i/>
          <w:iCs/>
        </w:rPr>
        <w:t xml:space="preserve">Cochlea:</w:t>
      </w:r>
      <w:r>
        <w:t xml:space="preserve"> </w:t>
      </w:r>
      <w:r>
        <w:t xml:space="preserve">platinum is retained in stria vascularis and outer</w:t>
      </w:r>
      <w:r>
        <w:t xml:space="preserve"> </w:t>
      </w:r>
      <w:r>
        <w:t xml:space="preserve">hair cells for months to years post-treatment </w:t>
      </w:r>
      <w:r>
        <w:t xml:space="preserve">(</w:t>
      </w:r>
      <w:r>
        <w:t xml:space="preserve">Breglio et al.</w:t>
      </w:r>
      <w:r>
        <w:t xml:space="preserve"> </w:t>
      </w:r>
      <w:r>
        <w:t xml:space="preserve">2017)</w:t>
      </w:r>
      <w:r>
        <w:t xml:space="preserve">;</w:t>
      </w:r>
      <w:r>
        <w:t xml:space="preserve"> </w:t>
      </w:r>
      <w:r>
        <w:t xml:space="preserve">irreversible SNHL affects 40–80% of adults; STS otoprotection shown</w:t>
      </w:r>
      <w:r>
        <w:t xml:space="preserve"> </w:t>
      </w:r>
      <w:r>
        <w:t xml:space="preserve">in paediatric trials </w:t>
      </w:r>
      <w:r>
        <w:t xml:space="preserve">(Brock et al. 2018)</w:t>
      </w:r>
      <w:r>
        <w:t xml:space="preserve">.</w:t>
      </w:r>
      <w:r>
        <w:t xml:space="preserve"> </w:t>
      </w:r>
      <w:r>
        <w:rPr>
          <w:i/>
          <w:iCs/>
        </w:rPr>
        <w:t xml:space="preserve">Oral mucosa:</w:t>
      </w:r>
      <w:r>
        <w:t xml:space="preserve"> </w:t>
      </w:r>
      <w:r>
        <w:t xml:space="preserve">radiation and cisplatin synergise to activate</w:t>
      </w:r>
      <w:r>
        <w:t xml:space="preserve"> </w:t>
      </w:r>
      <w:r>
        <w:t xml:space="preserve">NF-</w:t>
      </w:r>
      <m:oMath>
        <m:r>
          <m:t>κ</m:t>
        </m:r>
      </m:oMath>
      <w:r>
        <w:t xml:space="preserve">B→IL-1</w:t>
      </w:r>
      <m:oMath>
        <m:r>
          <m:t>β</m:t>
        </m:r>
      </m:oMath>
      <w:r>
        <w:t xml:space="preserve">/TNF-</w:t>
      </w:r>
      <m:oMath>
        <m:r>
          <m:t>α</m:t>
        </m:r>
      </m:oMath>
      <w:r>
        <w:t xml:space="preserve">, driving ulceration in nearly</w:t>
      </w:r>
      <w:r>
        <w:t xml:space="preserve"> </w:t>
      </w:r>
      <w:r>
        <w:t xml:space="preserve">all CRT patients; thymidylate synthase (TS) activity peaks at</w:t>
      </w:r>
      <w:r>
        <w:t xml:space="preserve"> </w:t>
      </w:r>
      <m:oMath>
        <m:r>
          <m:rPr>
            <m:sty m:val="p"/>
          </m:rPr>
          <m:t>∼</m:t>
        </m:r>
      </m:oMath>
      <w:r>
        <w:t xml:space="preserve">13:27, identifying the mid-afternoon proliferative</w:t>
      </w:r>
      <w:r>
        <w:t xml:space="preserve"> </w:t>
      </w:r>
      <w:r>
        <w:t xml:space="preserve">window </w:t>
      </w:r>
      <w:r>
        <w:t xml:space="preserve">(Bjarnason et al. 2001)</w:t>
      </w:r>
      <w:r>
        <w:t xml:space="preserve">.</w:t>
      </w:r>
      <w:r>
        <w:t xml:space="preserve"> </w:t>
      </w:r>
      <w:r>
        <w:rPr>
          <w:i/>
          <w:iCs/>
        </w:rPr>
        <w:t xml:space="preserve">DRG neuron:</w:t>
      </w:r>
      <w:r>
        <w:t xml:space="preserve"> </w:t>
      </w:r>
      <w:r>
        <w:t xml:space="preserve">platinum accumulates without blood–nerve barrier</w:t>
      </w:r>
      <w:r>
        <w:t xml:space="preserve"> </w:t>
      </w:r>
      <w:r>
        <w:t xml:space="preserve">protection; sensory neuropathy emerges above</w:t>
      </w:r>
      <w:r>
        <w:t xml:space="preserve"> </w:t>
      </w:r>
      <m:oMath>
        <m:r>
          <m:rPr>
            <m:sty m:val="p"/>
          </m:rPr>
          <m:t>∼</m:t>
        </m:r>
      </m:oMath>
      <w:r>
        <w:t xml:space="preserve">350 mg m</w:t>
      </w:r>
      <m:oMath>
        <m:sSup>
          <m:e>
            <m:r>
              <m:t>​</m:t>
            </m:r>
          </m:e>
          <m:sup>
            <m:r>
              <m:rPr>
                <m:sty m:val="p"/>
              </m:rPr>
              <m:t>−</m:t>
            </m:r>
            <m:r>
              <m:t>2</m:t>
            </m:r>
          </m:sup>
        </m:sSup>
      </m:oMath>
      <w:r>
        <w:t xml:space="preserve"> </w:t>
      </w:r>
      <w:r>
        <w:t xml:space="preserve">cumulative with a characteristic</w:t>
      </w:r>
      <w:r>
        <w:t xml:space="preserve"> </w:t>
      </w:r>
      <w:r>
        <w:t xml:space="preserve">“coasting”</w:t>
      </w:r>
      <w:r>
        <w:t xml:space="preserve"> </w:t>
      </w:r>
      <w:r>
        <w:t xml:space="preserve">effect </w:t>
      </w:r>
      <w:r>
        <w:t xml:space="preserve">(Park et al. 2013)</w:t>
      </w:r>
      <w:r>
        <w:t xml:space="preserve">.</w:t>
      </w:r>
      <w:r>
        <w:t xml:space="preserve"> </w:t>
      </w:r>
      <w:r>
        <w:rPr>
          <w:b/>
          <w:bCs/>
        </w:rPr>
        <w:t xml:space="preserve">(C)</w:t>
      </w:r>
      <w:r>
        <w:t xml:space="preserve"> Circadian clock gates superimposed on a 24-hour dial</w:t>
      </w:r>
      <w:r>
        <w:t xml:space="preserve"> </w:t>
      </w:r>
      <w:r>
        <w:t xml:space="preserve">(ZT0 = lights-on/subjective morning). Five oscillating traces are</w:t>
      </w:r>
      <w:r>
        <w:t xml:space="preserve"> </w:t>
      </w:r>
      <w:r>
        <w:t xml:space="preserve">shown: OCT2 renal uptake (solid blue; peak ZT14), XPA NER capacity</w:t>
      </w:r>
      <w:r>
        <w:t xml:space="preserve"> </w:t>
      </w:r>
      <w:r>
        <w:t xml:space="preserve">(dashed blue; peak ZT10), glutathione redox buffer (green; trough</w:t>
      </w:r>
      <w:r>
        <w:t xml:space="preserve"> </w:t>
      </w:r>
      <w:r>
        <w:t xml:space="preserve">resting phase), mucosal S-phase proliferation (orange; peak ZT5–6),</w:t>
      </w:r>
      <w:r>
        <w:t xml:space="preserve"> </w:t>
      </w:r>
      <w:r>
        <w:t xml:space="preserve">and BMAL1 mRNA (red; peak early subjective night). Amber shading</w:t>
      </w:r>
      <w:r>
        <w:t xml:space="preserve"> </w:t>
      </w:r>
      <w:r>
        <w:t xml:space="preserve">marks the</w:t>
      </w:r>
      <w:r>
        <w:t xml:space="preserve"> </w:t>
      </w:r>
      <w:r>
        <w:rPr>
          <w:i/>
          <w:iCs/>
        </w:rPr>
        <w:t xml:space="preserve">high-toxicity window</w:t>
      </w:r>
      <w:r>
        <w:t xml:space="preserve"> </w:t>
      </w:r>
      <w:r>
        <w:t xml:space="preserve">(ZT6–8: rising OCT2, low XPA);</w:t>
      </w:r>
      <w:r>
        <w:t xml:space="preserve"> </w:t>
      </w:r>
      <w:r>
        <w:t xml:space="preserve">teal shading marks the</w:t>
      </w:r>
      <w:r>
        <w:t xml:space="preserve"> </w:t>
      </w:r>
      <w:r>
        <w:rPr>
          <w:i/>
          <w:iCs/>
        </w:rPr>
        <w:t xml:space="preserve">lower-toxicity window</w:t>
      </w:r>
      <w:r>
        <w:t xml:space="preserve"> </w:t>
      </w:r>
      <w:r>
        <w:t xml:space="preserve">(ZT14–20: declining</w:t>
      </w:r>
      <w:r>
        <w:t xml:space="preserve"> </w:t>
      </w:r>
      <w:r>
        <w:t xml:space="preserve">OCT2, rising XPA). Inset: CLOCK/BMAL1→PER/CRY→HERC2-XPA degradation</w:t>
      </w:r>
      <w:r>
        <w:t xml:space="preserve"> </w:t>
      </w:r>
      <w:r>
        <w:t xml:space="preserve">feedback loop. BMAL1 annotation reflects tissue-specific duality</w:t>
      </w:r>
      <w:r>
        <w:t xml:space="preserve"> </w:t>
      </w:r>
      <w:r>
        <w:t xml:space="preserve">(Section </w:t>
      </w:r>
      <w:hyperlink w:anchor="sec:gates">
        <w:r>
          <w:rPr>
            <w:rStyle w:val="Hyperlink"/>
          </w:rPr>
          <w:t xml:space="preserve">5</w:t>
        </w:r>
      </w:hyperlink>
      <w:r>
        <w:t xml:space="preserve">).</w:t>
      </w:r>
      <w:r>
        <w:t xml:space="preserve"> </w:t>
      </w:r>
      <w:r>
        <w:t xml:space="preserve">Abbreviations: AKI, acute kidney injury; CTR1, copper transporter 1;</w:t>
      </w:r>
      <w:r>
        <w:t xml:space="preserve"> </w:t>
      </w:r>
      <w:r>
        <w:t xml:space="preserve">DRG, dorsal root ganglion; NER, nucleotide excision repair; OHC,</w:t>
      </w:r>
      <w:r>
        <w:t xml:space="preserve"> </w:t>
      </w:r>
      <w:r>
        <w:t xml:space="preserve">outer hair cell; OCT2, organic cation transporter 2; ROS, reactive</w:t>
      </w:r>
      <w:r>
        <w:t xml:space="preserve"> </w:t>
      </w:r>
      <w:r>
        <w:t xml:space="preserve">oxygen species; SNHL, sensorineural hearing loss; STS, sodium</w:t>
      </w:r>
      <w:r>
        <w:t xml:space="preserve"> </w:t>
      </w:r>
      <w:r>
        <w:t xml:space="preserve">thiosulfate; TS, thymidylate synthase; XPA, xeroderma pigmentosum</w:t>
      </w:r>
      <w:r>
        <w:t xml:space="preserve"> </w:t>
      </w:r>
      <w:r>
        <w:t xml:space="preserve">complementation group A; ZT, Zeitgeber time.</w:t>
      </w:r>
    </w:p>
    <w:bookmarkEnd w:id="50"/>
    <w:bookmarkStart w:id="54" w:name="fig:framework"/>
    <w:p>
      <w:pPr>
        <w:pStyle w:val="CaptionedFigure"/>
      </w:pPr>
      <w:r>
        <w:drawing>
          <wp:inline>
            <wp:extent cx="5334000" cy="3774225"/>
            <wp:effectExtent b="0" l="0" r="0" t="0"/>
            <wp:docPr descr="" title="" id="52" name="Picture"/>
            <a:graphic>
              <a:graphicData uri="http://schemas.openxmlformats.org/drawingml/2006/picture">
                <pic:pic>
                  <pic:nvPicPr>
                    <pic:cNvPr descr="../figure/fig2.png" id="53" name="Picture"/>
                    <pic:cNvPicPr>
                      <a:picLocks noChangeArrowheads="1" noChangeAspect="1"/>
                    </pic:cNvPicPr>
                  </pic:nvPicPr>
                  <pic:blipFill>
                    <a:blip r:embed="rId51"/>
                    <a:stretch>
                      <a:fillRect/>
                    </a:stretch>
                  </pic:blipFill>
                  <pic:spPr bwMode="auto">
                    <a:xfrm>
                      <a:off x="0" y="0"/>
                      <a:ext cx="5334000" cy="3774225"/>
                    </a:xfrm>
                    <a:prstGeom prst="rect">
                      <a:avLst/>
                    </a:prstGeom>
                    <a:noFill/>
                    <a:ln w="9525">
                      <a:noFill/>
                      <a:headEnd/>
                      <a:tailEnd/>
                    </a:ln>
                  </pic:spPr>
                </pic:pic>
              </a:graphicData>
            </a:graphic>
          </wp:inline>
        </w:drawing>
      </w:r>
    </w:p>
    <w:p>
      <w:pPr>
        <w:pStyle w:val="ImageCaption"/>
      </w:pPr>
      <w:r>
        <w:rPr>
          <w:b/>
          <w:bCs/>
        </w:rPr>
        <w:t xml:space="preserve">Proposed framework for chronotype-aware cisplatin</w:t>
      </w:r>
      <w:r>
        <w:rPr>
          <w:b/>
          <w:bCs/>
        </w:rPr>
        <w:t xml:space="preserve"> </w:t>
      </w:r>
      <w:r>
        <w:rPr>
          <w:b/>
          <w:bCs/>
        </w:rPr>
        <w:t xml:space="preserve">scheduling in OSCC/HNSCC: rationale, phase estimation, and trial</w:t>
      </w:r>
      <w:r>
        <w:rPr>
          <w:b/>
          <w:bCs/>
        </w:rPr>
        <w:t xml:space="preserve"> </w:t>
      </w:r>
      <w:r>
        <w:rPr>
          <w:b/>
          <w:bCs/>
        </w:rPr>
        <w:t xml:space="preserve">design.</w:t>
      </w:r>
      <w:r>
        <w:t xml:space="preserve"> </w:t>
      </w:r>
      <w:r>
        <w:rPr>
          <w:b/>
          <w:bCs/>
        </w:rPr>
        <w:t xml:space="preserve">(A)</w:t>
      </w:r>
      <w:r>
        <w:t xml:space="preserve"> The chronotype problem.</w:t>
      </w:r>
      <w:r>
        <w:t xml:space="preserve"> </w:t>
      </w:r>
      <w:r>
        <w:rPr>
          <w:i/>
          <w:iCs/>
        </w:rPr>
        <w:t xml:space="preserve">Upper left:</w:t>
      </w:r>
      <w:r>
        <w:t xml:space="preserve"> </w:t>
      </w:r>
      <w:r>
        <w:t xml:space="preserve">Under fixed</w:t>
      </w:r>
      <w:r>
        <w:t xml:space="preserve"> </w:t>
      </w:r>
      <w:r>
        <w:t xml:space="preserve">institutional clock-time dosing (e.g., 09:00), one single infusion</w:t>
      </w:r>
      <w:r>
        <w:t xml:space="preserve"> </w:t>
      </w:r>
      <w:r>
        <w:t xml:space="preserve">time is applied to all patients regardless of their individual</w:t>
      </w:r>
      <w:r>
        <w:t xml:space="preserve"> </w:t>
      </w:r>
      <w:r>
        <w:t xml:space="preserve">circadian phase. Patient icons are distributed by midsleep on free</w:t>
      </w:r>
      <w:r>
        <w:t xml:space="preserve"> </w:t>
      </w:r>
      <w:r>
        <w:t xml:space="preserve">days (MSFsc; x-axis): early chronotypes (green; midsleep 01:00–02:30)</w:t>
      </w:r>
      <w:r>
        <w:t xml:space="preserve"> </w:t>
      </w:r>
      <w:r>
        <w:t xml:space="preserve">receive cisplatin in their low-toxicity window, whereas late</w:t>
      </w:r>
      <w:r>
        <w:t xml:space="preserve"> </w:t>
      </w:r>
      <w:r>
        <w:t xml:space="preserve">chronotypes (red; midsleep 03:30–05:00) receive it during their</w:t>
      </w:r>
      <w:r>
        <w:t xml:space="preserve"> </w:t>
      </w:r>
      <w:r>
        <w:t xml:space="preserve">high-toxicity window — suboptimal for 40–50% of patients.</w:t>
      </w:r>
      <w:r>
        <w:t xml:space="preserve"> </w:t>
      </w:r>
      <w:r>
        <w:rPr>
          <w:i/>
          <w:iCs/>
        </w:rPr>
        <w:t xml:space="preserve">Lower left:</w:t>
      </w:r>
      <w:r>
        <w:t xml:space="preserve"> </w:t>
      </w:r>
      <w:r>
        <w:t xml:space="preserve">Chronotype-adjusted dosing individualises the</w:t>
      </w:r>
      <w:r>
        <w:t xml:space="preserve"> </w:t>
      </w:r>
      <w:r>
        <w:t xml:space="preserve">infusion time so that every patient receives cisplatin in their</w:t>
      </w:r>
      <w:r>
        <w:t xml:space="preserve"> </w:t>
      </w:r>
      <w:r>
        <w:t xml:space="preserve">personal low-toxicity window, assessed by the Munich Chronotype</w:t>
      </w:r>
      <w:r>
        <w:t xml:space="preserve"> </w:t>
      </w:r>
      <w:r>
        <w:t xml:space="preserve">Questionnaire (MCTQ) and 7-day actigraphy.</w:t>
      </w:r>
      <w:r>
        <w:t xml:space="preserve"> </w:t>
      </w:r>
      <w:r>
        <w:rPr>
          <w:b/>
          <w:bCs/>
        </w:rPr>
        <w:t xml:space="preserve">(B)</w:t>
      </w:r>
      <w:r>
        <w:t xml:space="preserve"> Personalised circadian phase estimation. Three</w:t>
      </w:r>
      <w:r>
        <w:t xml:space="preserve"> </w:t>
      </w:r>
      <w:r>
        <w:t xml:space="preserve">measurement streams converge to estimate individual midsleep (MSFsc):</w:t>
      </w:r>
      <w:r>
        <w:t xml:space="preserve"> </w:t>
      </w:r>
      <w:r>
        <w:t xml:space="preserve">(a) self-reported MCTQ; (b) wrist actigraphy rest–activity rhythm</w:t>
      </w:r>
      <w:r>
        <w:t xml:space="preserve"> </w:t>
      </w:r>
      <w:r>
        <w:t xml:space="preserve">(midpoint of inactivity marked); and (c) continuous distal–proximal</w:t>
      </w:r>
      <w:r>
        <w:t xml:space="preserve"> </w:t>
      </w:r>
      <w:r>
        <w:t xml:space="preserve">skin temperature gradient (nocturnal peak used as phase anchor), plus</w:t>
      </w:r>
      <w:r>
        <w:t xml:space="preserve"> </w:t>
      </w:r>
      <w:r>
        <w:t xml:space="preserve">timed peripheral blood leukocyte (PBL) clock gene expression</w:t>
      </w:r>
      <w:r>
        <w:t xml:space="preserve"> </w:t>
      </w:r>
      <w:r>
        <w:t xml:space="preserve">(PER1/BMAL1 at three time-points). The estimated MSFsc determines the</w:t>
      </w:r>
      <w:r>
        <w:t xml:space="preserve"> </w:t>
      </w:r>
      <w:r>
        <w:t xml:space="preserve">infusion time via the formula</w:t>
      </w:r>
      <w:r>
        <w:t xml:space="preserve"> </w:t>
      </w:r>
      <w:r>
        <w:rPr>
          <w:i/>
          <w:iCs/>
        </w:rPr>
        <w:t xml:space="preserve">Infusion time = MSFsc</w:t>
      </w:r>
      <w:r>
        <w:rPr>
          <w:i/>
          <w:iCs/>
        </w:rPr>
        <w:t xml:space="preserve"> </w:t>
      </w:r>
      <m:oMath>
        <m:r>
          <m:rPr>
            <m:sty m:val="p"/>
          </m:rPr>
          <m:t>−</m:t>
        </m:r>
      </m:oMath>
      <w:r>
        <w:rPr>
          <w:i/>
          <w:iCs/>
        </w:rPr>
        <w:t xml:space="preserve"> </w:t>
      </w:r>
      <w:r>
        <w:rPr>
          <w:i/>
          <w:iCs/>
        </w:rPr>
        <w:t xml:space="preserve">7 h</w:t>
      </w:r>
      <w:r>
        <w:t xml:space="preserve">,</w:t>
      </w:r>
      <w:r>
        <w:t xml:space="preserve"> </w:t>
      </w:r>
      <w:r>
        <w:t xml:space="preserve">which targets the low-OCT2/high-XPA window for each</w:t>
      </w:r>
      <w:r>
        <w:t xml:space="preserve"> </w:t>
      </w:r>
      <w:r>
        <w:t xml:space="preserve">patient </w:t>
      </w:r>
      <w:r>
        <w:t xml:space="preserve">(Oda et al. 2014; Kang et al. 2010)</w:t>
      </w:r>
      <w:r>
        <w:t xml:space="preserve">. Worked examples: early chronotype</w:t>
      </w:r>
      <w:r>
        <w:t xml:space="preserve"> </w:t>
      </w:r>
      <w:r>
        <w:t xml:space="preserve">08:00; intermediate chronotype 12:30; late chronotype 16:30–17:00.</w:t>
      </w:r>
      <w:r>
        <w:t xml:space="preserve"> </w:t>
      </w:r>
      <w:r>
        <w:rPr>
          <w:b/>
          <w:bCs/>
        </w:rPr>
        <w:t xml:space="preserve">(C)</w:t>
      </w:r>
      <w:r>
        <w:t xml:space="preserve"> Proposed phase II randomised trial schema</w:t>
      </w:r>
      <w:r>
        <w:t xml:space="preserve"> </w:t>
      </w:r>
      <w:r>
        <w:t xml:space="preserve">(Section </w:t>
      </w:r>
      <w:hyperlink w:anchor="sec:future">
        <w:r>
          <w:rPr>
            <w:rStyle w:val="Hyperlink"/>
          </w:rPr>
          <w:t xml:space="preserve">7</w:t>
        </w:r>
      </w:hyperlink>
      <w:r>
        <w:t xml:space="preserve">). Eligible OSCC/HNSCC patients (stage</w:t>
      </w:r>
      <w:r>
        <w:t xml:space="preserve"> </w:t>
      </w:r>
      <w:r>
        <w:t xml:space="preserve">III–IVA; concurrent cisplatin + RT; ECOG 0–1; CrCl </w:t>
      </w:r>
      <m:oMath>
        <m:r>
          <m:rPr>
            <m:sty m:val="p"/>
          </m:rPr>
          <m:t>≥</m:t>
        </m:r>
      </m:oMath>
      <w:r>
        <w:t xml:space="preserve"> 55;</w:t>
      </w:r>
      <w:r>
        <w:t xml:space="preserve"> </w:t>
      </w:r>
      <w:r>
        <w:t xml:space="preserve">baseline audiogram) enter a 7-day actigraphy + MCTQ + temperature</w:t>
      </w:r>
      <w:r>
        <w:t xml:space="preserve"> </w:t>
      </w:r>
      <w:r>
        <w:t xml:space="preserve">wearable run-in to estimate circadian function index (CFI). Patients</w:t>
      </w:r>
      <w:r>
        <w:t xml:space="preserve"> </w:t>
      </w:r>
      <w:r>
        <w:t xml:space="preserve">are stratified by CFI (intact/disrupted), sex, cisplatin schedule</w:t>
      </w:r>
      <w:r>
        <w:t xml:space="preserve"> </w:t>
      </w:r>
      <w:r>
        <w:t xml:space="preserve">(q3wk/weekly), and tumour site, then randomised 1:1 to Arm A</w:t>
      </w:r>
      <w:r>
        <w:t xml:space="preserve"> </w:t>
      </w:r>
      <w:r>
        <w:t xml:space="preserve">(standard fixed institutional time) or Arm B (chronotype-adjusted:</w:t>
      </w:r>
      <w:r>
        <w:t xml:space="preserve"> </w:t>
      </w:r>
      <w:r>
        <w:t xml:space="preserve">MSFsc </w:t>
      </w:r>
      <m:oMath>
        <m:r>
          <m:rPr>
            <m:sty m:val="p"/>
          </m:rPr>
          <m:t>−</m:t>
        </m:r>
      </m:oMath>
      <w:r>
        <w:t xml:space="preserve"> 7 h). Continuous actigraphy, temperature wearable, serial</w:t>
      </w:r>
      <w:r>
        <w:t xml:space="preserve"> </w:t>
      </w:r>
      <w:r>
        <w:t xml:space="preserve">urinary platinum excretion, and PBL clock genes are collected</w:t>
      </w:r>
      <w:r>
        <w:t xml:space="preserve"> </w:t>
      </w:r>
      <w:r>
        <w:t xml:space="preserve">throughout treatment. Primary endpoint: Grade </w:t>
      </w:r>
      <m:oMath>
        <m:r>
          <m:rPr>
            <m:sty m:val="p"/>
          </m:rPr>
          <m:t>≥</m:t>
        </m:r>
      </m:oMath>
      <w:r>
        <w:t xml:space="preserve">3 mucositis or</w:t>
      </w:r>
      <w:r>
        <w:t xml:space="preserve"> </w:t>
      </w:r>
      <w:r>
        <w:t xml:space="preserve">Grade </w:t>
      </w:r>
      <m:oMath>
        <m:r>
          <m:rPr>
            <m:sty m:val="p"/>
          </m:rPr>
          <m:t>≥</m:t>
        </m:r>
      </m:oMath>
      <w:r>
        <w:t xml:space="preserve">3 nephrotoxicity within 6 weeks of first cisplatin</w:t>
      </w:r>
      <w:r>
        <w:t xml:space="preserve"> </w:t>
      </w:r>
      <w:r>
        <w:t xml:space="preserve">(CTCAE v5.0). Secondary endpoints: emesis, ototoxicity, neuropathy,</w:t>
      </w:r>
      <w:r>
        <w:t xml:space="preserve"> </w:t>
      </w:r>
      <w:r>
        <w:t xml:space="preserve">cumulative cisplatin dose, RT interruptions, QoL (EORTC QLQ-C30/</w:t>
      </w:r>
      <w:r>
        <w:t xml:space="preserve"> </w:t>
      </w:r>
      <w:r>
        <w:t xml:space="preserve">H&amp;N35). Exploratory: BMAL1/PER2 IHC, biomarker-timing correlation,</w:t>
      </w:r>
      <w:r>
        <w:t xml:space="preserve"> </w:t>
      </w:r>
      <w:r>
        <w:t xml:space="preserve">CFI as moderator. Sample size: 80/arm (80% power, primary design</w:t>
      </w:r>
      <w:r>
        <w:t xml:space="preserve"> </w:t>
      </w:r>
      <w:r>
        <w:t xml:space="preserve">target ARR 20%,</w:t>
      </w:r>
      <w:r>
        <w:t xml:space="preserve"> </w:t>
      </w:r>
      <m:oMath>
        <m:r>
          <m:t>α</m:t>
        </m:r>
      </m:oMath>
      <w:r>
        <w:t xml:space="preserve"> = 0.10 one-sided).</w:t>
      </w:r>
      <w:r>
        <w:t xml:space="preserve"> </w:t>
      </w:r>
      <w:r>
        <w:t xml:space="preserve">Abbreviations: CFI, circadian function index; CrCl, creatinine</w:t>
      </w:r>
      <w:r>
        <w:t xml:space="preserve"> </w:t>
      </w:r>
      <w:r>
        <w:t xml:space="preserve">clearance; CTCAE, Common Terminology Criteria for Adverse Events;</w:t>
      </w:r>
      <w:r>
        <w:t xml:space="preserve"> </w:t>
      </w:r>
      <w:r>
        <w:t xml:space="preserve">MCTQ, Munich Chronotype Questionnaire; MSFsc, midsleep on free days</w:t>
      </w:r>
      <w:r>
        <w:t xml:space="preserve"> </w:t>
      </w:r>
      <w:r>
        <w:t xml:space="preserve">(sleep-corrected); OCT2, organic cation transporter 2; PBL, peripheral</w:t>
      </w:r>
      <w:r>
        <w:t xml:space="preserve"> </w:t>
      </w:r>
      <w:r>
        <w:t xml:space="preserve">blood leukocytes; QoL, quality of life; RT, radiotherapy; XPA,</w:t>
      </w:r>
      <w:r>
        <w:t xml:space="preserve"> </w:t>
      </w:r>
      <w:r>
        <w:t xml:space="preserve">xeroderma pigmentosum complementation group A.</w:t>
      </w:r>
    </w:p>
    <w:bookmarkEnd w:id="54"/>
    <w:bookmarkStart w:id="181" w:name="refs"/>
    <w:bookmarkStart w:id="56" w:name="ref-Aapro2016"/>
    <w:p>
      <w:pPr>
        <w:pStyle w:val="Bibliography"/>
      </w:pPr>
      <w:r>
        <w:t xml:space="preserve">Aapro, Matti, Hope Rugo, Gennaro Rossi, et al.</w:t>
      </w:r>
      <w:r>
        <w:t xml:space="preserve"> 2016.</w:t>
      </w:r>
      <w:r>
        <w:t xml:space="preserve"> </w:t>
      </w:r>
      <w:r>
        <w:t xml:space="preserve">“</w:t>
      </w:r>
      <w:r>
        <w:t xml:space="preserve">NEPA</w:t>
      </w:r>
      <w:r>
        <w:t xml:space="preserve">, a Fixed Oral Combination of Netupitant and Palonosetron, Improves Control of Chemotherapy-Induced Nausea and Vomiting (</w:t>
      </w:r>
      <w:r>
        <w:t xml:space="preserve">CINV</w:t>
      </w:r>
      <w:r>
        <w:t xml:space="preserve">) over Multiple Cycles of Chemotherapy: Results of a Randomized, Double-Blind, Phase</w:t>
      </w:r>
      <w:r>
        <w:t xml:space="preserve"> </w:t>
      </w:r>
      <w:r>
        <w:t xml:space="preserve">III</w:t>
      </w:r>
      <w:r>
        <w:t xml:space="preserve"> </w:t>
      </w:r>
      <w:r>
        <w:t xml:space="preserve">Trial Versus Oral Palonosetron.”</w:t>
      </w:r>
      <w:r>
        <w:t xml:space="preserve"> </w:t>
      </w:r>
      <w:r>
        <w:rPr>
          <w:i/>
          <w:iCs/>
        </w:rPr>
        <w:t xml:space="preserve">Annals of Oncology</w:t>
      </w:r>
      <w:r>
        <w:t xml:space="preserve"> </w:t>
      </w:r>
      <w:r>
        <w:t xml:space="preserve">27 (8): 1452–58.</w:t>
      </w:r>
      <w:r>
        <w:t xml:space="preserve"> </w:t>
      </w:r>
      <w:hyperlink r:id="rId55">
        <w:r>
          <w:rPr>
            <w:rStyle w:val="Hyperlink"/>
          </w:rPr>
          <w:t xml:space="preserve">https://doi.org/10.1093/annonc/mdw150</w:t>
        </w:r>
      </w:hyperlink>
      <w:r>
        <w:t xml:space="preserve">.</w:t>
      </w:r>
    </w:p>
    <w:bookmarkEnd w:id="56"/>
    <w:bookmarkStart w:id="58" w:name="ref-Adelstein2003"/>
    <w:p>
      <w:pPr>
        <w:pStyle w:val="Bibliography"/>
      </w:pPr>
      <w:r>
        <w:t xml:space="preserve">Adelstein, David J., Yan Li, Glenn L. Adams, et al. 2003.</w:t>
      </w:r>
      <w:r>
        <w:t xml:space="preserve"> </w:t>
      </w:r>
      <w:r>
        <w:t xml:space="preserve">“An Intergroup Phase</w:t>
      </w:r>
      <w:r>
        <w:t xml:space="preserve"> </w:t>
      </w:r>
      <w:r>
        <w:t xml:space="preserve">III</w:t>
      </w:r>
      <w:r>
        <w:t xml:space="preserve"> </w:t>
      </w:r>
      <w:r>
        <w:t xml:space="preserve">Comparison of Standard Radiation Therapy and Two Schedules of Concurrent Chemoradiotherapy in Patients with Unresectable Squamous Cell Head and Neck Cancer.”</w:t>
      </w:r>
      <w:r>
        <w:t xml:space="preserve"> </w:t>
      </w:r>
      <w:r>
        <w:rPr>
          <w:i/>
          <w:iCs/>
        </w:rPr>
        <w:t xml:space="preserve">Journal of Clinical Oncology</w:t>
      </w:r>
      <w:r>
        <w:t xml:space="preserve"> </w:t>
      </w:r>
      <w:r>
        <w:t xml:space="preserve">21 (1): 92–98.</w:t>
      </w:r>
      <w:r>
        <w:t xml:space="preserve"> </w:t>
      </w:r>
      <w:hyperlink r:id="rId57">
        <w:r>
          <w:rPr>
            <w:rStyle w:val="Hyperlink"/>
          </w:rPr>
          <w:t xml:space="preserve">https://doi.org/10.1200/JCO.2003.01.008</w:t>
        </w:r>
      </w:hyperlink>
      <w:r>
        <w:t xml:space="preserve">.</w:t>
      </w:r>
    </w:p>
    <w:bookmarkEnd w:id="58"/>
    <w:bookmarkStart w:id="60" w:name="ref-Basch2011"/>
    <w:p>
      <w:pPr>
        <w:pStyle w:val="Bibliography"/>
      </w:pPr>
      <w:r>
        <w:t xml:space="preserve">Basch, Ethan, Ann A. Prestrud, Paul J. Hesketh, et al.</w:t>
      </w:r>
      <w:r>
        <w:t xml:space="preserve"> 2011.</w:t>
      </w:r>
      <w:r>
        <w:t xml:space="preserve"> </w:t>
      </w:r>
      <w:r>
        <w:t xml:space="preserve">“Antiemetics:</w:t>
      </w:r>
      <w:r>
        <w:t xml:space="preserve"> </w:t>
      </w:r>
      <w:r>
        <w:t xml:space="preserve">American Society of Clinical Oncology</w:t>
      </w:r>
      <w:r>
        <w:t xml:space="preserve"> </w:t>
      </w:r>
      <w:r>
        <w:t xml:space="preserve">Clinical Practice Guideline Update.”</w:t>
      </w:r>
      <w:r>
        <w:t xml:space="preserve"> </w:t>
      </w:r>
      <w:r>
        <w:rPr>
          <w:i/>
          <w:iCs/>
        </w:rPr>
        <w:t xml:space="preserve">Journal of Clinical Oncology</w:t>
      </w:r>
      <w:r>
        <w:t xml:space="preserve"> </w:t>
      </w:r>
      <w:r>
        <w:t xml:space="preserve">29 (31): 4189–98.</w:t>
      </w:r>
      <w:r>
        <w:t xml:space="preserve"> </w:t>
      </w:r>
      <w:hyperlink r:id="rId59">
        <w:r>
          <w:rPr>
            <w:rStyle w:val="Hyperlink"/>
          </w:rPr>
          <w:t xml:space="preserve">https://doi.org/10.1200/JCO.2010.34.4614</w:t>
        </w:r>
      </w:hyperlink>
      <w:r>
        <w:t xml:space="preserve">.</w:t>
      </w:r>
    </w:p>
    <w:bookmarkEnd w:id="60"/>
    <w:bookmarkStart w:id="62" w:name="ref-Bernier2005"/>
    <w:p>
      <w:pPr>
        <w:pStyle w:val="Bibliography"/>
      </w:pPr>
      <w:r>
        <w:t xml:space="preserve">Bernier, Jacques, Jay S. Cooper, Thomas F. Pajak, et al. 2005.</w:t>
      </w:r>
      <w:r>
        <w:t xml:space="preserve"> </w:t>
      </w:r>
      <w:r>
        <w:t xml:space="preserve">“Defining Risk Levels in Locally Advanced Head and Neck Cancers: A Comparative Analysis of Concurrent Postoperative Radiation Plus Chemotherapy Trials of the</w:t>
      </w:r>
      <w:r>
        <w:t xml:space="preserve"> </w:t>
      </w:r>
      <w:r>
        <w:t xml:space="preserve">EORTC</w:t>
      </w:r>
      <w:r>
        <w:t xml:space="preserve"> </w:t>
      </w:r>
      <w:r>
        <w:t xml:space="preserve">(#22931) and</w:t>
      </w:r>
      <w:r>
        <w:t xml:space="preserve"> </w:t>
      </w:r>
      <w:r>
        <w:t xml:space="preserve">RTOG</w:t>
      </w:r>
      <w:r>
        <w:t xml:space="preserve"> </w:t>
      </w:r>
      <w:r>
        <w:t xml:space="preserve">(#9501).”</w:t>
      </w:r>
      <w:r>
        <w:t xml:space="preserve"> </w:t>
      </w:r>
      <w:r>
        <w:rPr>
          <w:i/>
          <w:iCs/>
        </w:rPr>
        <w:t xml:space="preserve">Head &amp; Neck</w:t>
      </w:r>
      <w:r>
        <w:t xml:space="preserve"> </w:t>
      </w:r>
      <w:r>
        <w:t xml:space="preserve">27 (10): 843–50.</w:t>
      </w:r>
      <w:r>
        <w:t xml:space="preserve"> </w:t>
      </w:r>
      <w:hyperlink r:id="rId61">
        <w:r>
          <w:rPr>
            <w:rStyle w:val="Hyperlink"/>
          </w:rPr>
          <w:t xml:space="preserve">https://doi.org/10.1002/hed.20279</w:t>
        </w:r>
      </w:hyperlink>
      <w:r>
        <w:t xml:space="preserve">.</w:t>
      </w:r>
    </w:p>
    <w:bookmarkEnd w:id="62"/>
    <w:bookmarkStart w:id="64" w:name="ref-Bernier2004"/>
    <w:p>
      <w:pPr>
        <w:pStyle w:val="Bibliography"/>
      </w:pPr>
      <w:r>
        <w:t xml:space="preserve">Bernier, Jacques, Christophe Domenge, Mahmut Ozsahin, et al. 2004.</w:t>
      </w:r>
      <w:r>
        <w:t xml:space="preserve"> </w:t>
      </w:r>
      <w:r>
        <w:t xml:space="preserve">“Postoperative Irradiation with or Without Concomitant Chemotherapy for Locally Advanced Head and Neck Cancer.”</w:t>
      </w:r>
      <w:r>
        <w:t xml:space="preserve"> </w:t>
      </w:r>
      <w:r>
        <w:rPr>
          <w:i/>
          <w:iCs/>
        </w:rPr>
        <w:t xml:space="preserve">New England Journal of Medicine</w:t>
      </w:r>
      <w:r>
        <w:t xml:space="preserve"> </w:t>
      </w:r>
      <w:r>
        <w:t xml:space="preserve">350 (19): 1945–52.</w:t>
      </w:r>
      <w:r>
        <w:t xml:space="preserve"> </w:t>
      </w:r>
      <w:hyperlink r:id="rId63">
        <w:r>
          <w:rPr>
            <w:rStyle w:val="Hyperlink"/>
          </w:rPr>
          <w:t xml:space="preserve">https://doi.org/10.1056/NEJMoa032641</w:t>
        </w:r>
      </w:hyperlink>
      <w:r>
        <w:t xml:space="preserve">.</w:t>
      </w:r>
    </w:p>
    <w:bookmarkEnd w:id="64"/>
    <w:bookmarkStart w:id="66" w:name="ref-Bjarnason2001"/>
    <w:p>
      <w:pPr>
        <w:pStyle w:val="Bibliography"/>
      </w:pPr>
      <w:r>
        <w:t xml:space="preserve">Bjarnason, Georg A., Richard C. K. Jordan, Peter A. Wood, et al. 2001.</w:t>
      </w:r>
      <w:r>
        <w:t xml:space="preserve"> </w:t>
      </w:r>
      <w:r>
        <w:t xml:space="preserve">“Circadian Expression of Clock Genes in Human Oral Mucosa and Skin: Association with Specific Cell-Cycle Phases.”</w:t>
      </w:r>
      <w:r>
        <w:t xml:space="preserve"> </w:t>
      </w:r>
      <w:r>
        <w:rPr>
          <w:i/>
          <w:iCs/>
        </w:rPr>
        <w:t xml:space="preserve">American Journal of Pathology</w:t>
      </w:r>
      <w:r>
        <w:t xml:space="preserve"> </w:t>
      </w:r>
      <w:r>
        <w:t xml:space="preserve">158 (5): 1793–801.</w:t>
      </w:r>
      <w:r>
        <w:t xml:space="preserve"> </w:t>
      </w:r>
      <w:hyperlink r:id="rId65">
        <w:r>
          <w:rPr>
            <w:rStyle w:val="Hyperlink"/>
          </w:rPr>
          <w:t xml:space="preserve">https://doi.org/10.1016/S0002-9440(10)64135-1</w:t>
        </w:r>
      </w:hyperlink>
      <w:r>
        <w:t xml:space="preserve">.</w:t>
      </w:r>
    </w:p>
    <w:bookmarkEnd w:id="66"/>
    <w:bookmarkStart w:id="68" w:name="ref-Bonner2006"/>
    <w:p>
      <w:pPr>
        <w:pStyle w:val="Bibliography"/>
      </w:pPr>
      <w:r>
        <w:t xml:space="preserve">Bonner, James A., Paul M. Harari, Jordi Giralt, et al. 2006.</w:t>
      </w:r>
      <w:r>
        <w:t xml:space="preserve"> </w:t>
      </w:r>
      <w:r>
        <w:t xml:space="preserve">“Radiotherapy Plus Cetuximab for Squamous-Cell Carcinoma of the Head and Neck.”</w:t>
      </w:r>
      <w:r>
        <w:t xml:space="preserve"> </w:t>
      </w:r>
      <w:r>
        <w:rPr>
          <w:i/>
          <w:iCs/>
        </w:rPr>
        <w:t xml:space="preserve">New England Journal of Medicine</w:t>
      </w:r>
      <w:r>
        <w:t xml:space="preserve"> </w:t>
      </w:r>
      <w:r>
        <w:t xml:space="preserve">354 (6): 567–78.</w:t>
      </w:r>
      <w:r>
        <w:t xml:space="preserve"> </w:t>
      </w:r>
      <w:hyperlink r:id="rId67">
        <w:r>
          <w:rPr>
            <w:rStyle w:val="Hyperlink"/>
          </w:rPr>
          <w:t xml:space="preserve">https://doi.org/10.1056/NEJMoa053422</w:t>
        </w:r>
      </w:hyperlink>
      <w:r>
        <w:t xml:space="preserve">.</w:t>
      </w:r>
    </w:p>
    <w:bookmarkEnd w:id="68"/>
    <w:bookmarkStart w:id="70" w:name="ref-Breglio2017"/>
    <w:p>
      <w:pPr>
        <w:pStyle w:val="Bibliography"/>
      </w:pPr>
      <w:r>
        <w:t xml:space="preserve">Breglio, Andrew M., Aaron E. Rusheen, Elisabeth D. Shide, et al.</w:t>
      </w:r>
      <w:r>
        <w:t xml:space="preserve"> 2017.</w:t>
      </w:r>
      <w:r>
        <w:t xml:space="preserve"> </w:t>
      </w:r>
      <w:r>
        <w:t xml:space="preserve">“Cisplatin Is Retained in the Cochlea Indefinitely Following Chemotherapy.”</w:t>
      </w:r>
      <w:r>
        <w:t xml:space="preserve"> </w:t>
      </w:r>
      <w:r>
        <w:rPr>
          <w:i/>
          <w:iCs/>
        </w:rPr>
        <w:t xml:space="preserve">Nature Communications</w:t>
      </w:r>
      <w:r>
        <w:t xml:space="preserve"> </w:t>
      </w:r>
      <w:r>
        <w:t xml:space="preserve">8: 1654.</w:t>
      </w:r>
      <w:r>
        <w:t xml:space="preserve"> </w:t>
      </w:r>
      <w:hyperlink r:id="rId69">
        <w:r>
          <w:rPr>
            <w:rStyle w:val="Hyperlink"/>
          </w:rPr>
          <w:t xml:space="preserve">https://doi.org/10.1038/s41467-017-01837-1</w:t>
        </w:r>
      </w:hyperlink>
      <w:r>
        <w:t xml:space="preserve">.</w:t>
      </w:r>
    </w:p>
    <w:bookmarkEnd w:id="70"/>
    <w:bookmarkStart w:id="72" w:name="ref-Brock2018"/>
    <w:p>
      <w:pPr>
        <w:pStyle w:val="Bibliography"/>
      </w:pPr>
      <w:r>
        <w:t xml:space="preserve">Brock, Penelope R., Reineke Maibach, Miranda Childs, et al. 2018.</w:t>
      </w:r>
      <w:r>
        <w:t xml:space="preserve"> </w:t>
      </w:r>
      <w:r>
        <w:t xml:space="preserve">“Sodium Thiosulfate for Protection from Cisplatin-Induced Hearing Loss.”</w:t>
      </w:r>
      <w:r>
        <w:t xml:space="preserve"> </w:t>
      </w:r>
      <w:r>
        <w:rPr>
          <w:i/>
          <w:iCs/>
        </w:rPr>
        <w:t xml:space="preserve">New England Journal of Medicine</w:t>
      </w:r>
      <w:r>
        <w:t xml:space="preserve"> </w:t>
      </w:r>
      <w:r>
        <w:t xml:space="preserve">378 (25): 2376–85.</w:t>
      </w:r>
      <w:r>
        <w:t xml:space="preserve"> </w:t>
      </w:r>
      <w:hyperlink r:id="rId71">
        <w:r>
          <w:rPr>
            <w:rStyle w:val="Hyperlink"/>
          </w:rPr>
          <w:t xml:space="preserve">https://doi.org/10.1056/NEJMoa1801109</w:t>
        </w:r>
      </w:hyperlink>
      <w:r>
        <w:t xml:space="preserve">.</w:t>
      </w:r>
    </w:p>
    <w:bookmarkEnd w:id="72"/>
    <w:bookmarkStart w:id="74" w:name="ref-Cooper2004"/>
    <w:p>
      <w:pPr>
        <w:pStyle w:val="Bibliography"/>
      </w:pPr>
      <w:r>
        <w:t xml:space="preserve">Cooper, Jay S., Thomas F. Pajak, Arlene A. Forastiere, et al. 2004.</w:t>
      </w:r>
      <w:r>
        <w:t xml:space="preserve"> </w:t>
      </w:r>
      <w:r>
        <w:t xml:space="preserve">“Postoperative Concurrent Radiotherapy and Chemotherapy for High-Risk Squamous-Cell Carcinoma of the Head and Neck.”</w:t>
      </w:r>
      <w:r>
        <w:t xml:space="preserve"> </w:t>
      </w:r>
      <w:r>
        <w:rPr>
          <w:i/>
          <w:iCs/>
        </w:rPr>
        <w:t xml:space="preserve">New England Journal of Medicine</w:t>
      </w:r>
      <w:r>
        <w:t xml:space="preserve"> </w:t>
      </w:r>
      <w:r>
        <w:t xml:space="preserve">351 (19): 1937–44.</w:t>
      </w:r>
      <w:r>
        <w:t xml:space="preserve"> </w:t>
      </w:r>
      <w:hyperlink r:id="rId73">
        <w:r>
          <w:rPr>
            <w:rStyle w:val="Hyperlink"/>
          </w:rPr>
          <w:t xml:space="preserve">https://doi.org/10.1056/NEJMoa032646</w:t>
        </w:r>
      </w:hyperlink>
      <w:r>
        <w:t xml:space="preserve">.</w:t>
      </w:r>
    </w:p>
    <w:bookmarkEnd w:id="74"/>
    <w:bookmarkStart w:id="76" w:name="ref-Forastiere2003"/>
    <w:p>
      <w:pPr>
        <w:pStyle w:val="Bibliography"/>
      </w:pPr>
      <w:r>
        <w:t xml:space="preserve">Forastiere, Arlene A., Helmuth Goepfert, Moshe Maor, et al. 2003.</w:t>
      </w:r>
      <w:r>
        <w:t xml:space="preserve"> </w:t>
      </w:r>
      <w:r>
        <w:t xml:space="preserve">“Concurrent Chemotherapy and Radiotherapy for Organ Preservation in Advanced Laryngeal Cancer.”</w:t>
      </w:r>
      <w:r>
        <w:t xml:space="preserve"> </w:t>
      </w:r>
      <w:r>
        <w:rPr>
          <w:i/>
          <w:iCs/>
        </w:rPr>
        <w:t xml:space="preserve">New England Journal of Medicine</w:t>
      </w:r>
      <w:r>
        <w:t xml:space="preserve"> </w:t>
      </w:r>
      <w:r>
        <w:t xml:space="preserve">349 (22): 2091–98.</w:t>
      </w:r>
      <w:r>
        <w:t xml:space="preserve"> </w:t>
      </w:r>
      <w:hyperlink r:id="rId75">
        <w:r>
          <w:rPr>
            <w:rStyle w:val="Hyperlink"/>
          </w:rPr>
          <w:t xml:space="preserve">https://doi.org/10.1056/NEJMoa031317</w:t>
        </w:r>
      </w:hyperlink>
      <w:r>
        <w:t xml:space="preserve">.</w:t>
      </w:r>
    </w:p>
    <w:bookmarkEnd w:id="76"/>
    <w:bookmarkStart w:id="78" w:name="ref-Freyer2017"/>
    <w:p>
      <w:pPr>
        <w:pStyle w:val="Bibliography"/>
      </w:pPr>
      <w:r>
        <w:t xml:space="preserve">Freyer, David R., Lu Chen, Mark D. Krailo, et al. 2017.</w:t>
      </w:r>
      <w:r>
        <w:t xml:space="preserve"> </w:t>
      </w:r>
      <w:r>
        <w:t xml:space="preserve">“Effects of Sodium Thiosulfate Versus Observation on Development of Cisplatin-Induced Hearing Loss in Children with Cancer (</w:t>
      </w:r>
      <w:r>
        <w:t xml:space="preserve">ACCL0431</w:t>
      </w:r>
      <w:r>
        <w:t xml:space="preserve">): A Multicentre, Randomised, Controlled, Open-Label, Phase 3 Trial.”</w:t>
      </w:r>
      <w:r>
        <w:t xml:space="preserve"> </w:t>
      </w:r>
      <w:r>
        <w:rPr>
          <w:i/>
          <w:iCs/>
        </w:rPr>
        <w:t xml:space="preserve">Lancet Oncology</w:t>
      </w:r>
      <w:r>
        <w:t xml:space="preserve"> </w:t>
      </w:r>
      <w:r>
        <w:t xml:space="preserve">18 (1): 63–74.</w:t>
      </w:r>
      <w:r>
        <w:t xml:space="preserve"> </w:t>
      </w:r>
      <w:hyperlink r:id="rId77">
        <w:r>
          <w:rPr>
            <w:rStyle w:val="Hyperlink"/>
          </w:rPr>
          <w:t xml:space="preserve">https://doi.org/10.1016/S1470-2045(16)30625-8</w:t>
        </w:r>
      </w:hyperlink>
      <w:r>
        <w:t xml:space="preserve">.</w:t>
      </w:r>
    </w:p>
    <w:bookmarkEnd w:id="78"/>
    <w:bookmarkStart w:id="80" w:name="ref-Giacchetti2006"/>
    <w:p>
      <w:pPr>
        <w:pStyle w:val="Bibliography"/>
      </w:pPr>
      <w:r>
        <w:t xml:space="preserve">Giacchetti, Sylvie, Georg Bjarnason, Claudio Garufi, et al.</w:t>
      </w:r>
      <w:r>
        <w:t xml:space="preserve"> 2006.</w:t>
      </w:r>
      <w:r>
        <w:t xml:space="preserve"> </w:t>
      </w:r>
      <w:r>
        <w:t xml:space="preserve">“Phase</w:t>
      </w:r>
      <w:r>
        <w:t xml:space="preserve"> </w:t>
      </w:r>
      <w:r>
        <w:t xml:space="preserve">III</w:t>
      </w:r>
      <w:r>
        <w:t xml:space="preserve"> </w:t>
      </w:r>
      <w:r>
        <w:t xml:space="preserve">Trial Comparing 4-Day Chronomodulated Therapy Versus Standard Infusion in Patients with Advanced Colorectal Cancer.”</w:t>
      </w:r>
      <w:r>
        <w:t xml:space="preserve"> </w:t>
      </w:r>
      <w:r>
        <w:rPr>
          <w:i/>
          <w:iCs/>
        </w:rPr>
        <w:t xml:space="preserve">Journal of Clinical Oncology</w:t>
      </w:r>
      <w:r>
        <w:t xml:space="preserve"> </w:t>
      </w:r>
      <w:r>
        <w:t xml:space="preserve">24 (22): 3562–69.</w:t>
      </w:r>
      <w:r>
        <w:t xml:space="preserve"> </w:t>
      </w:r>
      <w:hyperlink r:id="rId79">
        <w:r>
          <w:rPr>
            <w:rStyle w:val="Hyperlink"/>
          </w:rPr>
          <w:t xml:space="preserve">https://doi.org/10.1200/JCO.2006.06.1440</w:t>
        </w:r>
      </w:hyperlink>
      <w:r>
        <w:t xml:space="preserve">.</w:t>
      </w:r>
    </w:p>
    <w:bookmarkEnd w:id="80"/>
    <w:bookmarkStart w:id="82" w:name="ref-Gillison2019"/>
    <w:p>
      <w:pPr>
        <w:pStyle w:val="Bibliography"/>
      </w:pPr>
      <w:r>
        <w:t xml:space="preserve">Gillison, Maura L., Andy M. Trotti, Jonathan Harris, et al.</w:t>
      </w:r>
      <w:r>
        <w:t xml:space="preserve"> 2019.</w:t>
      </w:r>
      <w:r>
        <w:t xml:space="preserve"> </w:t>
      </w:r>
      <w:r>
        <w:t xml:space="preserve">“Radiotherapy Plus Cetuximab or Cisplatin in Human Papillomavirus-Positive Oropharyngeal Cancer (</w:t>
      </w:r>
      <w:r>
        <w:t xml:space="preserve">NRG Oncology RTOG 1016</w:t>
      </w:r>
      <w:r>
        <w:t xml:space="preserve">): A Randomised, Multicentre, Non-Inferiority Trial.”</w:t>
      </w:r>
      <w:r>
        <w:t xml:space="preserve"> </w:t>
      </w:r>
      <w:r>
        <w:rPr>
          <w:i/>
          <w:iCs/>
        </w:rPr>
        <w:t xml:space="preserve">Lancet</w:t>
      </w:r>
      <w:r>
        <w:t xml:space="preserve"> </w:t>
      </w:r>
      <w:r>
        <w:t xml:space="preserve">393 (10166): 40–50.</w:t>
      </w:r>
      <w:r>
        <w:t xml:space="preserve"> </w:t>
      </w:r>
      <w:hyperlink r:id="rId81">
        <w:r>
          <w:rPr>
            <w:rStyle w:val="Hyperlink"/>
          </w:rPr>
          <w:t xml:space="preserve">https://doi.org/10.1016/S0140-6736(18)32779-X</w:t>
        </w:r>
      </w:hyperlink>
      <w:r>
        <w:t xml:space="preserve">.</w:t>
      </w:r>
    </w:p>
    <w:bookmarkEnd w:id="82"/>
    <w:bookmarkStart w:id="84" w:name="ref-Innominato2020"/>
    <w:p>
      <w:pPr>
        <w:pStyle w:val="Bibliography"/>
      </w:pPr>
      <w:r>
        <w:t xml:space="preserve">Innominato, Pasquale F., Christian Focan, Thierry Gorlia, et al.</w:t>
      </w:r>
      <w:r>
        <w:t xml:space="preserve"> 2020.</w:t>
      </w:r>
      <w:r>
        <w:t xml:space="preserve"> </w:t>
      </w:r>
      <w:r>
        <w:t xml:space="preserve">“Circadian Timing for Oxaliplatin and Fluorouracil Delivery as an Independent Prognostic Factor of Overall Survival in Colorectal Cancer Patients: Sex-Related Interactions from the 3</w:t>
      </w:r>
      <w:r>
        <w:t xml:space="preserve">rd</w:t>
      </w:r>
      <w:r>
        <w:t xml:space="preserve"> </w:t>
      </w:r>
      <w:r>
        <w:t xml:space="preserve">ARTDECO</w:t>
      </w:r>
      <w:r>
        <w:t xml:space="preserve"> </w:t>
      </w:r>
      <w:r>
        <w:t xml:space="preserve">Trial.”</w:t>
      </w:r>
      <w:r>
        <w:t xml:space="preserve"> </w:t>
      </w:r>
      <w:r>
        <w:rPr>
          <w:i/>
          <w:iCs/>
        </w:rPr>
        <w:t xml:space="preserve">Cancer Medicine</w:t>
      </w:r>
      <w:r>
        <w:t xml:space="preserve"> </w:t>
      </w:r>
      <w:r>
        <w:t xml:space="preserve">9 (6): 1840–52.</w:t>
      </w:r>
      <w:r>
        <w:t xml:space="preserve"> </w:t>
      </w:r>
      <w:hyperlink r:id="rId83">
        <w:r>
          <w:rPr>
            <w:rStyle w:val="Hyperlink"/>
          </w:rPr>
          <w:t xml:space="preserve">https://doi.org/10.1002/cam4.2869</w:t>
        </w:r>
      </w:hyperlink>
      <w:r>
        <w:t xml:space="preserve">.</w:t>
      </w:r>
    </w:p>
    <w:bookmarkEnd w:id="84"/>
    <w:bookmarkStart w:id="86" w:name="ref-Innominato2012"/>
    <w:p>
      <w:pPr>
        <w:pStyle w:val="Bibliography"/>
      </w:pPr>
      <w:r>
        <w:t xml:space="preserve">Innominato, Pasquale F., Christian Focan, Thierry Gorlia, Marie-Christine Mormont, et al.</w:t>
      </w:r>
      <w:r>
        <w:t xml:space="preserve"> 2012.</w:t>
      </w:r>
      <w:r>
        <w:t xml:space="preserve"> </w:t>
      </w:r>
      <w:r>
        <w:t xml:space="preserve">“Circadian Rhythm of Rest and Activity and Quality of Life in Patients with Metastatic Colorectal Cancer During Oxaliplatin- Containing Chemotherapy.”</w:t>
      </w:r>
      <w:r>
        <w:t xml:space="preserve"> </w:t>
      </w:r>
      <w:r>
        <w:rPr>
          <w:i/>
          <w:iCs/>
        </w:rPr>
        <w:t xml:space="preserve">International Journal of Cancer</w:t>
      </w:r>
      <w:r>
        <w:t xml:space="preserve"> </w:t>
      </w:r>
      <w:r>
        <w:t xml:space="preserve">130: 2632–41.</w:t>
      </w:r>
      <w:r>
        <w:t xml:space="preserve"> </w:t>
      </w:r>
      <w:hyperlink r:id="rId85">
        <w:r>
          <w:rPr>
            <w:rStyle w:val="Hyperlink"/>
          </w:rPr>
          <w:t xml:space="preserve">https://doi.org/10.1002/ijc.26270</w:t>
        </w:r>
      </w:hyperlink>
      <w:r>
        <w:t xml:space="preserve">.</w:t>
      </w:r>
    </w:p>
    <w:bookmarkEnd w:id="86"/>
    <w:bookmarkStart w:id="88" w:name="ref-Innominato2014"/>
    <w:p>
      <w:pPr>
        <w:pStyle w:val="Bibliography"/>
      </w:pPr>
      <w:r>
        <w:t xml:space="preserve">Innominato, Pasquale F., Valérie P. Roche, Oxana G. Palesh, Ayhan Ulusakarya, David Spiegel, and Francis A. Lévi. 2014.</w:t>
      </w:r>
      <w:r>
        <w:t xml:space="preserve"> </w:t>
      </w:r>
      <w:r>
        <w:t xml:space="preserve">“The Circadian Timing System in Clinical Oncology.”</w:t>
      </w:r>
      <w:r>
        <w:t xml:space="preserve"> </w:t>
      </w:r>
      <w:r>
        <w:rPr>
          <w:i/>
          <w:iCs/>
        </w:rPr>
        <w:t xml:space="preserve">Annals of Medicine</w:t>
      </w:r>
      <w:r>
        <w:t xml:space="preserve"> </w:t>
      </w:r>
      <w:r>
        <w:t xml:space="preserve">46 (4): 191–207.</w:t>
      </w:r>
      <w:r>
        <w:t xml:space="preserve"> </w:t>
      </w:r>
      <w:hyperlink r:id="rId87">
        <w:r>
          <w:rPr>
            <w:rStyle w:val="Hyperlink"/>
          </w:rPr>
          <w:t xml:space="preserve">https://doi.org/10.3109/07853890.2014.916990</w:t>
        </w:r>
      </w:hyperlink>
      <w:r>
        <w:t xml:space="preserve">.</w:t>
      </w:r>
    </w:p>
    <w:bookmarkEnd w:id="88"/>
    <w:bookmarkStart w:id="90" w:name="ref-JamiesonLippard1999"/>
    <w:p>
      <w:pPr>
        <w:pStyle w:val="Bibliography"/>
      </w:pPr>
      <w:r>
        <w:t xml:space="preserve">Jamieson, Eric R., and Stephen J. Lippard. 1999.</w:t>
      </w:r>
      <w:r>
        <w:t xml:space="preserve"> </w:t>
      </w:r>
      <w:r>
        <w:t xml:space="preserve">“Structure, Recognition, and Processing of Cisplatin-</w:t>
      </w:r>
      <w:r>
        <w:t xml:space="preserve">DNA</w:t>
      </w:r>
      <w:r>
        <w:t xml:space="preserve"> </w:t>
      </w:r>
      <w:r>
        <w:t xml:space="preserve">Adducts.”</w:t>
      </w:r>
      <w:r>
        <w:t xml:space="preserve"> </w:t>
      </w:r>
      <w:r>
        <w:rPr>
          <w:i/>
          <w:iCs/>
        </w:rPr>
        <w:t xml:space="preserve">Chemical Reviews</w:t>
      </w:r>
      <w:r>
        <w:t xml:space="preserve"> </w:t>
      </w:r>
      <w:r>
        <w:t xml:space="preserve">99 (9): 2467–98.</w:t>
      </w:r>
      <w:r>
        <w:t xml:space="preserve"> </w:t>
      </w:r>
      <w:hyperlink r:id="rId89">
        <w:r>
          <w:rPr>
            <w:rStyle w:val="Hyperlink"/>
          </w:rPr>
          <w:t xml:space="preserve">https://doi.org/10.1021/cr980421n</w:t>
        </w:r>
      </w:hyperlink>
      <w:r>
        <w:t xml:space="preserve">.</w:t>
      </w:r>
    </w:p>
    <w:bookmarkEnd w:id="90"/>
    <w:bookmarkStart w:id="92" w:name="ref-Kang2010"/>
    <w:p>
      <w:pPr>
        <w:pStyle w:val="Bibliography"/>
      </w:pPr>
      <w:r>
        <w:t xml:space="preserve">Kang, Tae-Hong, Laura A. Lindsey-Boltz, Joyce T. Reardon, and Aziz Sancar. 2010.</w:t>
      </w:r>
      <w:r>
        <w:t xml:space="preserve"> </w:t>
      </w:r>
      <w:r>
        <w:t xml:space="preserve">“Circadian Control of</w:t>
      </w:r>
      <w:r>
        <w:t xml:space="preserve"> </w:t>
      </w:r>
      <w:r>
        <w:t xml:space="preserve">XPA</w:t>
      </w:r>
      <w:r>
        <w:t xml:space="preserve"> </w:t>
      </w:r>
      <w:r>
        <w:t xml:space="preserve">and Excision Repair of Cisplatin-</w:t>
      </w:r>
      <w:r>
        <w:t xml:space="preserve">DNA</w:t>
      </w:r>
      <w:r>
        <w:t xml:space="preserve"> </w:t>
      </w:r>
      <w:r>
        <w:t xml:space="preserve">Damage by Cryptochrome and</w:t>
      </w:r>
      <w:r>
        <w:t xml:space="preserve"> </w:t>
      </w:r>
      <w:r>
        <w:t xml:space="preserve">HERC2</w:t>
      </w:r>
      <w:r>
        <w:t xml:space="preserve"> </w:t>
      </w:r>
      <w:r>
        <w:t xml:space="preserve">Ubiquitin Ligase.”</w:t>
      </w:r>
      <w:r>
        <w:t xml:space="preserve"> </w:t>
      </w:r>
      <w:r>
        <w:rPr>
          <w:i/>
          <w:iCs/>
        </w:rPr>
        <w:t xml:space="preserve">Proceedings of the National Academy of Sciences</w:t>
      </w:r>
      <w:r>
        <w:t xml:space="preserve"> </w:t>
      </w:r>
      <w:r>
        <w:t xml:space="preserve">107 (11): 4890–95.</w:t>
      </w:r>
      <w:r>
        <w:t xml:space="preserve"> </w:t>
      </w:r>
      <w:hyperlink r:id="rId91">
        <w:r>
          <w:rPr>
            <w:rStyle w:val="Hyperlink"/>
          </w:rPr>
          <w:t xml:space="preserve">https://doi.org/10.1073/pnas.0915085107</w:t>
        </w:r>
      </w:hyperlink>
      <w:r>
        <w:t xml:space="preserve">.</w:t>
      </w:r>
    </w:p>
    <w:bookmarkEnd w:id="92"/>
    <w:bookmarkStart w:id="94" w:name="ref-Kang2009"/>
    <w:p>
      <w:pPr>
        <w:pStyle w:val="Bibliography"/>
      </w:pPr>
      <w:r>
        <w:t xml:space="preserve">Kang, Tae-Hong, Joyce T. Reardon, Michael Kemp, and Aziz Sancar. 2009.</w:t>
      </w:r>
      <w:r>
        <w:t xml:space="preserve"> </w:t>
      </w:r>
      <w:r>
        <w:t xml:space="preserve">“Circadian Oscillation of Nucleotide Excision Repair in Mammalian Brain.”</w:t>
      </w:r>
      <w:r>
        <w:t xml:space="preserve"> </w:t>
      </w:r>
      <w:r>
        <w:rPr>
          <w:i/>
          <w:iCs/>
        </w:rPr>
        <w:t xml:space="preserve">Proceedings of the National Academy of Sciences</w:t>
      </w:r>
      <w:r>
        <w:t xml:space="preserve"> </w:t>
      </w:r>
      <w:r>
        <w:t xml:space="preserve">106 (8): 2864–67.</w:t>
      </w:r>
      <w:r>
        <w:t xml:space="preserve"> </w:t>
      </w:r>
      <w:hyperlink r:id="rId93">
        <w:r>
          <w:rPr>
            <w:rStyle w:val="Hyperlink"/>
          </w:rPr>
          <w:t xml:space="preserve">https://doi.org/10.1073/pnas.0812638106</w:t>
        </w:r>
      </w:hyperlink>
      <w:r>
        <w:t xml:space="preserve">.</w:t>
      </w:r>
    </w:p>
    <w:bookmarkEnd w:id="94"/>
    <w:bookmarkStart w:id="96" w:name="ref-Karasawa2015"/>
    <w:p>
      <w:pPr>
        <w:pStyle w:val="Bibliography"/>
      </w:pPr>
      <w:r>
        <w:t xml:space="preserve">Karasawa, Takatoshi, and Peter S. Steyger. 2015.</w:t>
      </w:r>
      <w:r>
        <w:t xml:space="preserve"> </w:t>
      </w:r>
      <w:r>
        <w:t xml:space="preserve">“An Integrated View of Cisplatin-Induced Nephrotoxicity and Ototoxicity.”</w:t>
      </w:r>
      <w:r>
        <w:t xml:space="preserve"> </w:t>
      </w:r>
      <w:r>
        <w:rPr>
          <w:i/>
          <w:iCs/>
        </w:rPr>
        <w:t xml:space="preserve">Toxicology Letters</w:t>
      </w:r>
      <w:r>
        <w:t xml:space="preserve"> </w:t>
      </w:r>
      <w:r>
        <w:t xml:space="preserve">237 (3): 219–27.</w:t>
      </w:r>
      <w:r>
        <w:t xml:space="preserve"> </w:t>
      </w:r>
      <w:hyperlink r:id="rId95">
        <w:r>
          <w:rPr>
            <w:rStyle w:val="Hyperlink"/>
          </w:rPr>
          <w:t xml:space="preserve">https://doi.org/10.1016/j.toxlet.2015.06.012</w:t>
        </w:r>
      </w:hyperlink>
      <w:r>
        <w:t xml:space="preserve">.</w:t>
      </w:r>
    </w:p>
    <w:bookmarkEnd w:id="96"/>
    <w:bookmarkStart w:id="98" w:name="ref-Kelland2007"/>
    <w:p>
      <w:pPr>
        <w:pStyle w:val="Bibliography"/>
      </w:pPr>
      <w:r>
        <w:t xml:space="preserve">Kelland, Lloyd. 2007.</w:t>
      </w:r>
      <w:r>
        <w:t xml:space="preserve"> </w:t>
      </w:r>
      <w:r>
        <w:t xml:space="preserve">“The Resurgence of Platinum-Based Cancer Chemotherapy.”</w:t>
      </w:r>
      <w:r>
        <w:t xml:space="preserve"> </w:t>
      </w:r>
      <w:r>
        <w:rPr>
          <w:i/>
          <w:iCs/>
        </w:rPr>
        <w:t xml:space="preserve">Nature Reviews Cancer</w:t>
      </w:r>
      <w:r>
        <w:t xml:space="preserve"> </w:t>
      </w:r>
      <w:r>
        <w:t xml:space="preserve">7 (8): 573–84.</w:t>
      </w:r>
      <w:r>
        <w:t xml:space="preserve"> </w:t>
      </w:r>
      <w:hyperlink r:id="rId97">
        <w:r>
          <w:rPr>
            <w:rStyle w:val="Hyperlink"/>
          </w:rPr>
          <w:t xml:space="preserve">https://doi.org/10.1038/nrc2167</w:t>
        </w:r>
      </w:hyperlink>
      <w:r>
        <w:t xml:space="preserve">.</w:t>
      </w:r>
    </w:p>
    <w:bookmarkEnd w:id="98"/>
    <w:bookmarkStart w:id="100" w:name="ref-Kiyota2022"/>
    <w:p>
      <w:pPr>
        <w:pStyle w:val="Bibliography"/>
      </w:pPr>
      <w:r>
        <w:t xml:space="preserve">Kiyota, Naomi, Makoto Tahara, Junki Mizusawa, et al.</w:t>
      </w:r>
      <w:r>
        <w:t xml:space="preserve"> 2022.</w:t>
      </w:r>
      <w:r>
        <w:t xml:space="preserve"> </w:t>
      </w:r>
      <w:r>
        <w:t xml:space="preserve">“Weekly Cisplatin Plus Radiation for Postoperative Head and Neck Cancer (</w:t>
      </w:r>
      <w:r>
        <w:t xml:space="preserve">JCOG1008</w:t>
      </w:r>
      <w:r>
        <w:t xml:space="preserve">): A Multicenter, Open-Label, Noninferiority, Randomized Phase</w:t>
      </w:r>
      <w:r>
        <w:t xml:space="preserve"> </w:t>
      </w:r>
      <w:r>
        <w:t xml:space="preserve">II/III</w:t>
      </w:r>
      <w:r>
        <w:t xml:space="preserve"> </w:t>
      </w:r>
      <w:r>
        <w:t xml:space="preserve">Trial.”</w:t>
      </w:r>
      <w:r>
        <w:t xml:space="preserve"> </w:t>
      </w:r>
      <w:r>
        <w:rPr>
          <w:i/>
          <w:iCs/>
        </w:rPr>
        <w:t xml:space="preserve">Journal of Clinical Oncology</w:t>
      </w:r>
      <w:r>
        <w:t xml:space="preserve"> </w:t>
      </w:r>
      <w:r>
        <w:t xml:space="preserve">40 (18): 1980–90.</w:t>
      </w:r>
      <w:r>
        <w:t xml:space="preserve"> </w:t>
      </w:r>
      <w:hyperlink r:id="rId99">
        <w:r>
          <w:rPr>
            <w:rStyle w:val="Hyperlink"/>
          </w:rPr>
          <w:t xml:space="preserve">https://doi.org/10.1200/JCO.21.01293</w:t>
        </w:r>
      </w:hyperlink>
      <w:r>
        <w:t xml:space="preserve">.</w:t>
      </w:r>
    </w:p>
    <w:bookmarkEnd w:id="100"/>
    <w:bookmarkStart w:id="102" w:name="ref-Koritala2022"/>
    <w:p>
      <w:pPr>
        <w:pStyle w:val="Bibliography"/>
      </w:pPr>
      <w:r>
        <w:t xml:space="preserve">Koritala, Bala S. C., Chad M. Wager, Christopher C. Kappe, et al.</w:t>
      </w:r>
      <w:r>
        <w:t xml:space="preserve"> 2022.</w:t>
      </w:r>
      <w:r>
        <w:t xml:space="preserve"> </w:t>
      </w:r>
      <w:r>
        <w:t xml:space="preserve">“Dosing Time of a Combination Cisplatin and Ionizing Radiation Treatment Impacts Tumor Response and Toxicity in a Mouse Mammary Carcinoma Model.”</w:t>
      </w:r>
      <w:r>
        <w:t xml:space="preserve"> </w:t>
      </w:r>
      <w:r>
        <w:rPr>
          <w:i/>
          <w:iCs/>
        </w:rPr>
        <w:t xml:space="preserve">Toxicology and Applied Pharmacology</w:t>
      </w:r>
      <w:r>
        <w:t xml:space="preserve"> </w:t>
      </w:r>
      <w:r>
        <w:t xml:space="preserve">449: 116097.</w:t>
      </w:r>
      <w:r>
        <w:t xml:space="preserve"> </w:t>
      </w:r>
      <w:hyperlink r:id="rId101">
        <w:r>
          <w:rPr>
            <w:rStyle w:val="Hyperlink"/>
          </w:rPr>
          <w:t xml:space="preserve">https://doi.org/10.1016/j.taap.2022.116097</w:t>
        </w:r>
      </w:hyperlink>
      <w:r>
        <w:t xml:space="preserve">.</w:t>
      </w:r>
    </w:p>
    <w:bookmarkEnd w:id="102"/>
    <w:bookmarkStart w:id="104" w:name="ref-Kramer2022"/>
    <w:p>
      <w:pPr>
        <w:pStyle w:val="Bibliography"/>
      </w:pPr>
      <w:r>
        <w:t xml:space="preserve">Kramer, Achim, Hanspeter Herzel, Andreu Morén-Giralt, et al.</w:t>
      </w:r>
      <w:r>
        <w:t xml:space="preserve"> 2022.</w:t>
      </w:r>
      <w:r>
        <w:t xml:space="preserve"> </w:t>
      </w:r>
      <w:r>
        <w:t xml:space="preserve">“Foundations of Circadian Medicine.”</w:t>
      </w:r>
      <w:r>
        <w:t xml:space="preserve"> </w:t>
      </w:r>
      <w:r>
        <w:rPr>
          <w:i/>
          <w:iCs/>
        </w:rPr>
        <w:t xml:space="preserve">PLOS Biology</w:t>
      </w:r>
      <w:r>
        <w:t xml:space="preserve"> </w:t>
      </w:r>
      <w:r>
        <w:t xml:space="preserve">20 (3): e3001567.</w:t>
      </w:r>
      <w:r>
        <w:t xml:space="preserve"> </w:t>
      </w:r>
      <w:hyperlink r:id="rId103">
        <w:r>
          <w:rPr>
            <w:rStyle w:val="Hyperlink"/>
          </w:rPr>
          <w:t xml:space="preserve">https://doi.org/10.1371/journal.pbio.3001567</w:t>
        </w:r>
      </w:hyperlink>
      <w:r>
        <w:t xml:space="preserve">.</w:t>
      </w:r>
    </w:p>
    <w:bookmarkEnd w:id="104"/>
    <w:bookmarkStart w:id="106" w:name="ref-Lalla2014"/>
    <w:p>
      <w:pPr>
        <w:pStyle w:val="Bibliography"/>
      </w:pPr>
      <w:r>
        <w:t xml:space="preserve">Lalla, Rajesh V., Justin Bowen, Andrei Barasch, et al.</w:t>
      </w:r>
      <w:r>
        <w:t xml:space="preserve"> 2014.</w:t>
      </w:r>
      <w:r>
        <w:t xml:space="preserve"> </w:t>
      </w:r>
      <w:r>
        <w:t xml:space="preserve">“</w:t>
      </w:r>
      <w:r>
        <w:t xml:space="preserve">MASCC/ISOO</w:t>
      </w:r>
      <w:r>
        <w:t xml:space="preserve"> </w:t>
      </w:r>
      <w:r>
        <w:t xml:space="preserve">Clinical Practice Guidelines for the Management of Mucositis Secondary to Cancer Therapy.”</w:t>
      </w:r>
      <w:r>
        <w:t xml:space="preserve"> </w:t>
      </w:r>
      <w:r>
        <w:rPr>
          <w:i/>
          <w:iCs/>
        </w:rPr>
        <w:t xml:space="preserve">Cancer</w:t>
      </w:r>
      <w:r>
        <w:t xml:space="preserve"> </w:t>
      </w:r>
      <w:r>
        <w:t xml:space="preserve">120 (10): 1453–61.</w:t>
      </w:r>
      <w:r>
        <w:t xml:space="preserve"> </w:t>
      </w:r>
      <w:hyperlink r:id="rId105">
        <w:r>
          <w:rPr>
            <w:rStyle w:val="Hyperlink"/>
          </w:rPr>
          <w:t xml:space="preserve">https://doi.org/10.1002/cncr.28592</w:t>
        </w:r>
      </w:hyperlink>
      <w:r>
        <w:t xml:space="preserve">.</w:t>
      </w:r>
    </w:p>
    <w:bookmarkEnd w:id="106"/>
    <w:bookmarkStart w:id="108" w:name="ref-Lee2011a"/>
    <w:p>
      <w:pPr>
        <w:pStyle w:val="Bibliography"/>
      </w:pPr>
      <w:r>
        <w:t xml:space="preserve">Lee, Jung Hyun, and Aziz Sancar. 2011a.</w:t>
      </w:r>
      <w:r>
        <w:t xml:space="preserve"> </w:t>
      </w:r>
      <w:r>
        <w:t xml:space="preserve">“Circadian Clock Disruption Improves the Efficacy of Chemotherapy Through</w:t>
      </w:r>
      <w:r>
        <w:t xml:space="preserve"> </w:t>
      </w:r>
      <w:r>
        <w:t xml:space="preserve">p73</w:t>
      </w:r>
      <w:r>
        <w:t xml:space="preserve">-Mediated Apoptosis.”</w:t>
      </w:r>
      <w:r>
        <w:t xml:space="preserve"> </w:t>
      </w:r>
      <w:r>
        <w:rPr>
          <w:i/>
          <w:iCs/>
        </w:rPr>
        <w:t xml:space="preserve">Proceedings of the National Academy of Sciences</w:t>
      </w:r>
      <w:r>
        <w:t xml:space="preserve"> </w:t>
      </w:r>
      <w:r>
        <w:t xml:space="preserve">108 (26): 10668–72.</w:t>
      </w:r>
      <w:r>
        <w:t xml:space="preserve"> </w:t>
      </w:r>
      <w:hyperlink r:id="rId107">
        <w:r>
          <w:rPr>
            <w:rStyle w:val="Hyperlink"/>
          </w:rPr>
          <w:t xml:space="preserve">https://doi.org/10.1073/pnas.1106284108</w:t>
        </w:r>
      </w:hyperlink>
      <w:r>
        <w:t xml:space="preserve">.</w:t>
      </w:r>
    </w:p>
    <w:bookmarkEnd w:id="108"/>
    <w:bookmarkStart w:id="110" w:name="ref-Lee2011b"/>
    <w:p>
      <w:pPr>
        <w:pStyle w:val="Bibliography"/>
      </w:pPr>
      <w:r>
        <w:t xml:space="preserve">Lee, Jung Hyun, and Aziz Sancar. 2011b.</w:t>
      </w:r>
      <w:r>
        <w:t xml:space="preserve"> </w:t>
      </w:r>
      <w:r>
        <w:t xml:space="preserve">“Regulation of Apoptosis by the Circadian Clock Through</w:t>
      </w:r>
      <w:r>
        <w:t xml:space="preserve"> </w:t>
      </w:r>
      <w:r>
        <w:t xml:space="preserve">NF-</w:t>
      </w:r>
      <m:oMath>
        <m:r>
          <m:t>κ</m:t>
        </m:r>
      </m:oMath>
      <w:r>
        <w:t xml:space="preserve">B</w:t>
      </w:r>
      <w:r>
        <w:t xml:space="preserve"> </w:t>
      </w:r>
      <w:r>
        <w:t xml:space="preserve">Signaling.”</w:t>
      </w:r>
      <w:r>
        <w:t xml:space="preserve"> </w:t>
      </w:r>
      <w:r>
        <w:rPr>
          <w:i/>
          <w:iCs/>
        </w:rPr>
        <w:t xml:space="preserve">Proceedings of the National Academy of Sciences</w:t>
      </w:r>
      <w:r>
        <w:t xml:space="preserve"> </w:t>
      </w:r>
      <w:r>
        <w:t xml:space="preserve">108 (30): 12036–41.</w:t>
      </w:r>
      <w:r>
        <w:t xml:space="preserve"> </w:t>
      </w:r>
      <w:hyperlink r:id="rId109">
        <w:r>
          <w:rPr>
            <w:rStyle w:val="Hyperlink"/>
          </w:rPr>
          <w:t xml:space="preserve">https://doi.org/10.1073/pnas.1108125108</w:t>
        </w:r>
      </w:hyperlink>
      <w:r>
        <w:t xml:space="preserve">.</w:t>
      </w:r>
    </w:p>
    <w:bookmarkEnd w:id="110"/>
    <w:bookmarkStart w:id="112" w:name="ref-LeeNY2021"/>
    <w:p>
      <w:pPr>
        <w:pStyle w:val="Bibliography"/>
      </w:pPr>
      <w:r>
        <w:t xml:space="preserve">Lee, Nancy Y., Robert L. Ferris, Amanda Psyrri, et al.</w:t>
      </w:r>
      <w:r>
        <w:t xml:space="preserve"> 2021.</w:t>
      </w:r>
      <w:r>
        <w:t xml:space="preserve"> </w:t>
      </w:r>
      <w:r>
        <w:t xml:space="preserve">“Avelumab Plus Standard-of-Care Chemoradiotherapy Versus Chemoradiotherapy Alone in Patients with Locally Advanced Squamous Cell Carcinoma of the Head and Neck (</w:t>
      </w:r>
      <w:r>
        <w:t xml:space="preserve">JAVELIN Head and Neck 100</w:t>
      </w:r>
      <w:r>
        <w:t xml:space="preserve">): A Randomised, Double-Blind, Placebo-Controlled, Multicentre, Phase 3 Trial.”</w:t>
      </w:r>
      <w:r>
        <w:t xml:space="preserve"> </w:t>
      </w:r>
      <w:r>
        <w:rPr>
          <w:i/>
          <w:iCs/>
        </w:rPr>
        <w:t xml:space="preserve">Lancet Oncology</w:t>
      </w:r>
      <w:r>
        <w:t xml:space="preserve"> </w:t>
      </w:r>
      <w:r>
        <w:t xml:space="preserve">22 (4): 450–62.</w:t>
      </w:r>
      <w:r>
        <w:t xml:space="preserve"> </w:t>
      </w:r>
      <w:hyperlink r:id="rId111">
        <w:r>
          <w:rPr>
            <w:rStyle w:val="Hyperlink"/>
          </w:rPr>
          <w:t xml:space="preserve">https://doi.org/10.1016/S1470-2045(20)30737-3</w:t>
        </w:r>
      </w:hyperlink>
      <w:r>
        <w:t xml:space="preserve">.</w:t>
      </w:r>
    </w:p>
    <w:bookmarkEnd w:id="112"/>
    <w:bookmarkStart w:id="114" w:name="ref-Levi2020"/>
    <w:p>
      <w:pPr>
        <w:pStyle w:val="Bibliography"/>
      </w:pPr>
      <w:r>
        <w:t xml:space="preserve">Lévi, Francis A., Sandra Komarzynski, Qi Huang, Kate A. Young, Yun Ang, and Pasquale F. Innominato. 2020.</w:t>
      </w:r>
      <w:r>
        <w:t xml:space="preserve"> </w:t>
      </w:r>
      <w:r>
        <w:t xml:space="preserve">“Wrist-Worn Telemetric Actigraphy: A Method to Assess Circadian Rhythms and Sleep-Wake Patterns in Cancer Patients Receiving Chemotherapy.”</w:t>
      </w:r>
      <w:r>
        <w:t xml:space="preserve"> </w:t>
      </w:r>
      <w:r>
        <w:rPr>
          <w:i/>
          <w:iCs/>
        </w:rPr>
        <w:t xml:space="preserve">Cancers</w:t>
      </w:r>
      <w:r>
        <w:t xml:space="preserve"> </w:t>
      </w:r>
      <w:r>
        <w:t xml:space="preserve">12 (6): 1458.</w:t>
      </w:r>
      <w:r>
        <w:t xml:space="preserve"> </w:t>
      </w:r>
      <w:hyperlink r:id="rId113">
        <w:r>
          <w:rPr>
            <w:rStyle w:val="Hyperlink"/>
          </w:rPr>
          <w:t xml:space="preserve">https://doi.org/10.3390/cancers12061458</w:t>
        </w:r>
      </w:hyperlink>
      <w:r>
        <w:t xml:space="preserve">.</w:t>
      </w:r>
    </w:p>
    <w:bookmarkEnd w:id="114"/>
    <w:bookmarkStart w:id="116" w:name="ref-Li2022ARNTL"/>
    <w:p>
      <w:pPr>
        <w:pStyle w:val="Bibliography"/>
      </w:pPr>
      <w:r>
        <w:t xml:space="preserve">Li, Hao, Fang Zhang, Zhenglong Hu, et al.</w:t>
      </w:r>
      <w:r>
        <w:t xml:space="preserve"> 2022.</w:t>
      </w:r>
      <w:r>
        <w:t xml:space="preserve"> </w:t>
      </w:r>
      <w:r>
        <w:t xml:space="preserve">“</w:t>
      </w:r>
      <w:r>
        <w:t xml:space="preserve">ARNTL</w:t>
      </w:r>
      <w:r>
        <w:t xml:space="preserve"> </w:t>
      </w:r>
      <w:r>
        <w:t xml:space="preserve">(</w:t>
      </w:r>
      <w:r>
        <w:t xml:space="preserve">BMAL1</w:t>
      </w:r>
      <w:r>
        <w:t xml:space="preserve">) Overexpression Suppresses the Proliferation and Invasion of Human Oral Squamous Cell Carcinoma Cells Through the</w:t>
      </w:r>
      <w:r>
        <w:t xml:space="preserve"> </w:t>
      </w:r>
      <w:r>
        <w:t xml:space="preserve">Wnt/</w:t>
      </w:r>
      <m:oMath>
        <m:r>
          <m:t>β</m:t>
        </m:r>
      </m:oMath>
      <w:r>
        <w:t xml:space="preserve">-catenin</w:t>
      </w:r>
      <w:r>
        <w:t xml:space="preserve"> </w:t>
      </w:r>
      <w:r>
        <w:t xml:space="preserve">Signaling Pathway.”</w:t>
      </w:r>
      <w:r>
        <w:t xml:space="preserve"> </w:t>
      </w:r>
      <w:r>
        <w:rPr>
          <w:i/>
          <w:iCs/>
        </w:rPr>
        <w:t xml:space="preserve">Medical Oncology</w:t>
      </w:r>
      <w:r>
        <w:t xml:space="preserve"> </w:t>
      </w:r>
      <w:r>
        <w:t xml:space="preserve">39: 63.</w:t>
      </w:r>
      <w:r>
        <w:t xml:space="preserve"> </w:t>
      </w:r>
      <w:hyperlink r:id="rId115">
        <w:r>
          <w:rPr>
            <w:rStyle w:val="Hyperlink"/>
          </w:rPr>
          <w:t xml:space="preserve">https://doi.org/10.1007/s12032-022-01671-4</w:t>
        </w:r>
      </w:hyperlink>
      <w:r>
        <w:t xml:space="preserve">.</w:t>
      </w:r>
    </w:p>
    <w:bookmarkEnd w:id="116"/>
    <w:bookmarkStart w:id="118" w:name="ref-Li1997"/>
    <w:p>
      <w:pPr>
        <w:pStyle w:val="Bibliography"/>
      </w:pPr>
      <w:r>
        <w:t xml:space="preserve">Li, Xiao-Ming, Michel Le Gouar, Jean-Marc Robert, and Francis Lévi. 1997.</w:t>
      </w:r>
      <w:r>
        <w:t xml:space="preserve"> </w:t>
      </w:r>
      <w:r>
        <w:t xml:space="preserve">“Glutathione s-Transferase Activity and</w:t>
      </w:r>
      <w:r>
        <w:t xml:space="preserve"> </w:t>
      </w:r>
      <w:r>
        <w:t xml:space="preserve">GSH</w:t>
      </w:r>
      <w:r>
        <w:t xml:space="preserve"> </w:t>
      </w:r>
      <w:r>
        <w:t xml:space="preserve">Rhythms in Gut, Liver, Kidney and Brain of Female Mice.”</w:t>
      </w:r>
      <w:r>
        <w:t xml:space="preserve"> </w:t>
      </w:r>
      <w:r>
        <w:rPr>
          <w:i/>
          <w:iCs/>
        </w:rPr>
        <w:t xml:space="preserve">Toxicology and Applied Pharmacology</w:t>
      </w:r>
      <w:r>
        <w:t xml:space="preserve"> </w:t>
      </w:r>
      <w:r>
        <w:t xml:space="preserve">142: 105–16.</w:t>
      </w:r>
      <w:r>
        <w:t xml:space="preserve"> </w:t>
      </w:r>
      <w:hyperlink r:id="rId117">
        <w:r>
          <w:rPr>
            <w:rStyle w:val="Hyperlink"/>
          </w:rPr>
          <w:t xml:space="preserve">https://doi.org/10.1006/taap.1996.8016</w:t>
        </w:r>
      </w:hyperlink>
      <w:r>
        <w:t xml:space="preserve">.</w:t>
      </w:r>
    </w:p>
    <w:bookmarkEnd w:id="118"/>
    <w:bookmarkStart w:id="120" w:name="ref-Li2011XPA"/>
    <w:p>
      <w:pPr>
        <w:pStyle w:val="Bibliography"/>
      </w:pPr>
      <w:r>
        <w:t xml:space="preserve">Li, Xiaoying, Gerd Bossinger, et al.</w:t>
      </w:r>
      <w:r>
        <w:t xml:space="preserve"> 2011.</w:t>
      </w:r>
      <w:r>
        <w:t xml:space="preserve"> </w:t>
      </w:r>
      <w:r>
        <w:t xml:space="preserve">“</w:t>
      </w:r>
      <w:r>
        <w:t xml:space="preserve">XPA</w:t>
      </w:r>
      <w:r>
        <w:t xml:space="preserve">-Mediated Regulation of Global Nucleotide Excision Repair by</w:t>
      </w:r>
      <w:r>
        <w:t xml:space="preserve"> </w:t>
      </w:r>
      <w:r>
        <w:t xml:space="preserve">ATR</w:t>
      </w:r>
      <w:r>
        <w:t xml:space="preserve"> </w:t>
      </w:r>
      <w:r>
        <w:t xml:space="preserve">Is</w:t>
      </w:r>
      <w:r>
        <w:t xml:space="preserve"> </w:t>
      </w:r>
      <w:r>
        <w:t xml:space="preserve">p53</w:t>
      </w:r>
      <w:r>
        <w:t xml:space="preserve">-Dependent and Occurs Primarily in</w:t>
      </w:r>
      <w:r>
        <w:t xml:space="preserve"> </w:t>
      </w:r>
      <w:r>
        <w:t xml:space="preserve">S</w:t>
      </w:r>
      <w:r>
        <w:t xml:space="preserve">-Phase.”</w:t>
      </w:r>
      <w:r>
        <w:t xml:space="preserve"> </w:t>
      </w:r>
      <w:r>
        <w:rPr>
          <w:i/>
          <w:iCs/>
        </w:rPr>
        <w:t xml:space="preserve">Nucleic Acids Research</w:t>
      </w:r>
      <w:r>
        <w:t xml:space="preserve"> </w:t>
      </w:r>
      <w:r>
        <w:t xml:space="preserve">39: 5092–104.</w:t>
      </w:r>
      <w:r>
        <w:t xml:space="preserve"> </w:t>
      </w:r>
      <w:hyperlink r:id="rId119">
        <w:r>
          <w:rPr>
            <w:rStyle w:val="Hyperlink"/>
          </w:rPr>
          <w:t xml:space="preserve">https://doi.org/10.1093/nar/gkr153</w:t>
        </w:r>
      </w:hyperlink>
      <w:r>
        <w:t xml:space="preserve">.</w:t>
      </w:r>
    </w:p>
    <w:bookmarkEnd w:id="120"/>
    <w:bookmarkStart w:id="121" w:name="ref-Liu2025wearable"/>
    <w:p>
      <w:pPr>
        <w:pStyle w:val="Bibliography"/>
      </w:pPr>
      <w:r>
        <w:t xml:space="preserve">Liu, Guanghao et al.</w:t>
      </w:r>
      <w:r>
        <w:t xml:space="preserve"> 2025.</w:t>
      </w:r>
      <w:r>
        <w:t xml:space="preserve"> </w:t>
      </w:r>
      <w:r>
        <w:t xml:space="preserve">“Use of Continuous Temperature Data from Wearable Devices for Circadian Phase Assessment.”</w:t>
      </w:r>
      <w:r>
        <w:t xml:space="preserve"> </w:t>
      </w:r>
      <w:r>
        <w:rPr>
          <w:i/>
          <w:iCs/>
        </w:rPr>
        <w:t xml:space="preserve">Npj Digital Medicine</w:t>
      </w:r>
      <w:r>
        <w:t xml:space="preserve">.</w:t>
      </w:r>
    </w:p>
    <w:bookmarkEnd w:id="121"/>
    <w:bookmarkStart w:id="123" w:name="ref-Machiels2023"/>
    <w:p>
      <w:pPr>
        <w:pStyle w:val="Bibliography"/>
      </w:pPr>
      <w:r>
        <w:t xml:space="preserve">Machiels, Jean-Pascal, Yungan Tao, Barbara Burtness, et al.</w:t>
      </w:r>
      <w:r>
        <w:t xml:space="preserve"> 2023.</w:t>
      </w:r>
      <w:r>
        <w:t xml:space="preserve"> </w:t>
      </w:r>
      <w:r>
        <w:t xml:space="preserve">“Pembrolizumab Given Concomitantly with Chemoradiation and as Maintenance Therapy for Locally Advanced Head and Neck Squamous Cell Carcinoma:</w:t>
      </w:r>
      <w:r>
        <w:t xml:space="preserve"> </w:t>
      </w:r>
      <w:r>
        <w:t xml:space="preserve">KEYNOTE-412</w:t>
      </w:r>
      <w:r>
        <w:t xml:space="preserve">.”</w:t>
      </w:r>
      <w:r>
        <w:t xml:space="preserve"> </w:t>
      </w:r>
      <w:r>
        <w:rPr>
          <w:i/>
          <w:iCs/>
        </w:rPr>
        <w:t xml:space="preserve">Annals of Oncology</w:t>
      </w:r>
      <w:r>
        <w:t xml:space="preserve"> </w:t>
      </w:r>
      <w:r>
        <w:t xml:space="preserve">34 (10): 914–22.</w:t>
      </w:r>
      <w:r>
        <w:t xml:space="preserve"> </w:t>
      </w:r>
      <w:hyperlink r:id="rId122">
        <w:r>
          <w:rPr>
            <w:rStyle w:val="Hyperlink"/>
          </w:rPr>
          <w:t xml:space="preserve">https://doi.org/10.1016/j.annonc.2023.07.003</w:t>
        </w:r>
      </w:hyperlink>
      <w:r>
        <w:t xml:space="preserve">.</w:t>
      </w:r>
    </w:p>
    <w:bookmarkEnd w:id="123"/>
    <w:bookmarkStart w:id="125" w:name="ref-Manohar2018"/>
    <w:p>
      <w:pPr>
        <w:pStyle w:val="Bibliography"/>
      </w:pPr>
      <w:r>
        <w:t xml:space="preserve">Manohar, Sandhya, and Nelson Leung. 2018.</w:t>
      </w:r>
      <w:r>
        <w:t xml:space="preserve"> </w:t>
      </w:r>
      <w:r>
        <w:t xml:space="preserve">“Cisplatin Nephrotoxicity: A Review of the Literature.”</w:t>
      </w:r>
      <w:r>
        <w:t xml:space="preserve"> </w:t>
      </w:r>
      <w:r>
        <w:rPr>
          <w:i/>
          <w:iCs/>
        </w:rPr>
        <w:t xml:space="preserve">Journal of Nephrology</w:t>
      </w:r>
      <w:r>
        <w:t xml:space="preserve"> </w:t>
      </w:r>
      <w:r>
        <w:t xml:space="preserve">31 (1): 15–25.</w:t>
      </w:r>
      <w:r>
        <w:t xml:space="preserve"> </w:t>
      </w:r>
      <w:hyperlink r:id="rId124">
        <w:r>
          <w:rPr>
            <w:rStyle w:val="Hyperlink"/>
          </w:rPr>
          <w:t xml:space="preserve">https://doi.org/10.1007/s40620-017-0392-z</w:t>
        </w:r>
      </w:hyperlink>
      <w:r>
        <w:t xml:space="preserve">.</w:t>
      </w:r>
    </w:p>
    <w:bookmarkEnd w:id="125"/>
    <w:bookmarkStart w:id="127" w:name="ref-Mehanna2019"/>
    <w:p>
      <w:pPr>
        <w:pStyle w:val="Bibliography"/>
      </w:pPr>
      <w:r>
        <w:t xml:space="preserve">Mehanna, Hisham, Max Robinson, Andrew Hartley, et al.</w:t>
      </w:r>
      <w:r>
        <w:t xml:space="preserve"> 2019.</w:t>
      </w:r>
      <w:r>
        <w:t xml:space="preserve"> </w:t>
      </w:r>
      <w:r>
        <w:t xml:space="preserve">“Radiotherapy Plus Cisplatin or Cetuximab in Low-Risk Human Papillomavirus-Positive Oropharyngeal Cancer (</w:t>
      </w:r>
      <w:r>
        <w:t xml:space="preserve">De-ESCALaTE HPV</w:t>
      </w:r>
      <w:r>
        <w:t xml:space="preserve">): An Open-Label Randomised Controlled Phase 3 Trial.”</w:t>
      </w:r>
      <w:r>
        <w:t xml:space="preserve"> </w:t>
      </w:r>
      <w:r>
        <w:rPr>
          <w:i/>
          <w:iCs/>
        </w:rPr>
        <w:t xml:space="preserve">Lancet</w:t>
      </w:r>
      <w:r>
        <w:t xml:space="preserve"> </w:t>
      </w:r>
      <w:r>
        <w:t xml:space="preserve">393 (10166): 51–60.</w:t>
      </w:r>
      <w:r>
        <w:t xml:space="preserve"> </w:t>
      </w:r>
      <w:hyperlink r:id="rId126">
        <w:r>
          <w:rPr>
            <w:rStyle w:val="Hyperlink"/>
          </w:rPr>
          <w:t xml:space="preserve">https://doi.org/10.1016/S0140-6736(18)32752-1</w:t>
        </w:r>
      </w:hyperlink>
      <w:r>
        <w:t xml:space="preserve">.</w:t>
      </w:r>
    </w:p>
    <w:bookmarkEnd w:id="127"/>
    <w:bookmarkStart w:id="129" w:name="ref-Mormont2003"/>
    <w:p>
      <w:pPr>
        <w:pStyle w:val="Bibliography"/>
      </w:pPr>
      <w:r>
        <w:t xml:space="preserve">Mormont, Marie-Christine, and Francis Lévi. 2003.</w:t>
      </w:r>
      <w:r>
        <w:t xml:space="preserve"> </w:t>
      </w:r>
      <w:r>
        <w:t xml:space="preserve">“Cancer Chronotherapy: Principles, Applications, and Perspectives.”</w:t>
      </w:r>
      <w:r>
        <w:t xml:space="preserve"> </w:t>
      </w:r>
      <w:r>
        <w:rPr>
          <w:i/>
          <w:iCs/>
        </w:rPr>
        <w:t xml:space="preserve">Cancer</w:t>
      </w:r>
      <w:r>
        <w:t xml:space="preserve"> </w:t>
      </w:r>
      <w:r>
        <w:t xml:space="preserve">97 (S1): 155–69.</w:t>
      </w:r>
      <w:r>
        <w:t xml:space="preserve"> </w:t>
      </w:r>
      <w:hyperlink r:id="rId128">
        <w:r>
          <w:rPr>
            <w:rStyle w:val="Hyperlink"/>
          </w:rPr>
          <w:t xml:space="preserve">https://doi.org/10.1002/cncr.11040</w:t>
        </w:r>
      </w:hyperlink>
      <w:r>
        <w:t xml:space="preserve">.</w:t>
      </w:r>
    </w:p>
    <w:bookmarkEnd w:id="129"/>
    <w:bookmarkStart w:id="131" w:name="ref-Mormont2000"/>
    <w:p>
      <w:pPr>
        <w:pStyle w:val="Bibliography"/>
      </w:pPr>
      <w:r>
        <w:t xml:space="preserve">Mormont, Marie-Christine, Jim Waterhouse, Pierre Bleuzen, et al. 2000.</w:t>
      </w:r>
      <w:r>
        <w:t xml:space="preserve"> </w:t>
      </w:r>
      <w:r>
        <w:t xml:space="preserve">“</w:t>
      </w:r>
      <w:hyperlink r:id="rId130">
        <w:r>
          <w:rPr>
            <w:rStyle w:val="Hyperlink"/>
          </w:rPr>
          <w:t xml:space="preserve">Marked 24-h Rest/Activity Rhythms Are Associated with Better Quality of Life, Better Response, and Longer Survival in Patients with Metastatic Colorectal Cancer and Good Performance Status</w:t>
        </w:r>
      </w:hyperlink>
      <w:r>
        <w:t xml:space="preserve">.”</w:t>
      </w:r>
      <w:r>
        <w:t xml:space="preserve"> </w:t>
      </w:r>
      <w:r>
        <w:rPr>
          <w:i/>
          <w:iCs/>
        </w:rPr>
        <w:t xml:space="preserve">Clinical Cancer Research</w:t>
      </w:r>
      <w:r>
        <w:t xml:space="preserve"> </w:t>
      </w:r>
      <w:r>
        <w:t xml:space="preserve">6 (8): 3038–45.</w:t>
      </w:r>
    </w:p>
    <w:bookmarkEnd w:id="131"/>
    <w:bookmarkStart w:id="133" w:name="ref-Noronha2018"/>
    <w:p>
      <w:pPr>
        <w:pStyle w:val="Bibliography"/>
      </w:pPr>
      <w:r>
        <w:t xml:space="preserve">Noronha, Vanita, Amit Joshi, Vijay M. Patil, et al.</w:t>
      </w:r>
      <w:r>
        <w:t xml:space="preserve"> 2018.</w:t>
      </w:r>
      <w:r>
        <w:t xml:space="preserve"> </w:t>
      </w:r>
      <w:r>
        <w:t xml:space="preserve">“Once-a-Week Versus Once-Every-3-Weeks Cisplatin Chemoradiation for Locally Advanced Head and Neck Cancer: A Phase</w:t>
      </w:r>
      <w:r>
        <w:t xml:space="preserve"> </w:t>
      </w:r>
      <w:r>
        <w:t xml:space="preserve">III</w:t>
      </w:r>
      <w:r>
        <w:t xml:space="preserve"> </w:t>
      </w:r>
      <w:r>
        <w:t xml:space="preserve">Randomized Noninferiority Trial.”</w:t>
      </w:r>
      <w:r>
        <w:t xml:space="preserve"> </w:t>
      </w:r>
      <w:r>
        <w:rPr>
          <w:i/>
          <w:iCs/>
        </w:rPr>
        <w:t xml:space="preserve">Journal of Clinical Oncology</w:t>
      </w:r>
      <w:r>
        <w:t xml:space="preserve"> </w:t>
      </w:r>
      <w:r>
        <w:t xml:space="preserve">36 (11): 1064–72.</w:t>
      </w:r>
      <w:r>
        <w:t xml:space="preserve"> </w:t>
      </w:r>
      <w:hyperlink r:id="rId132">
        <w:r>
          <w:rPr>
            <w:rStyle w:val="Hyperlink"/>
          </w:rPr>
          <w:t xml:space="preserve">https://doi.org/10.1200/JCO.2017.74.9457</w:t>
        </w:r>
      </w:hyperlink>
      <w:r>
        <w:t xml:space="preserve">.</w:t>
      </w:r>
    </w:p>
    <w:bookmarkEnd w:id="133"/>
    <w:bookmarkStart w:id="135" w:name="ref-Oda2014"/>
    <w:p>
      <w:pPr>
        <w:pStyle w:val="Bibliography"/>
      </w:pPr>
      <w:r>
        <w:t xml:space="preserve">Oda, Masayuki, Satoru Koyanagi, Yukari Tsurudome, Takahiro Kanemitsu, Naoya Matsunaga, and Shigehiro Ohdo. 2014.</w:t>
      </w:r>
      <w:r>
        <w:t xml:space="preserve"> </w:t>
      </w:r>
      <w:r>
        <w:t xml:space="preserve">“Renal Circadian Clock Regulates the Dosing-Time Dependency of Cisplatin-Induced Nephrotoxicity in Mice.”</w:t>
      </w:r>
      <w:r>
        <w:t xml:space="preserve"> </w:t>
      </w:r>
      <w:r>
        <w:rPr>
          <w:i/>
          <w:iCs/>
        </w:rPr>
        <w:t xml:space="preserve">Molecular Pharmacology</w:t>
      </w:r>
      <w:r>
        <w:t xml:space="preserve"> </w:t>
      </w:r>
      <w:r>
        <w:t xml:space="preserve">85 (5): 715–22.</w:t>
      </w:r>
      <w:r>
        <w:t xml:space="preserve"> </w:t>
      </w:r>
      <w:hyperlink r:id="rId134">
        <w:r>
          <w:rPr>
            <w:rStyle w:val="Hyperlink"/>
          </w:rPr>
          <w:t xml:space="preserve">https://doi.org/10.1124/mol.113.089805</w:t>
        </w:r>
      </w:hyperlink>
      <w:r>
        <w:t xml:space="preserve">.</w:t>
      </w:r>
    </w:p>
    <w:bookmarkEnd w:id="135"/>
    <w:bookmarkStart w:id="136" w:name="ref-Okyar2011"/>
    <w:p>
      <w:pPr>
        <w:pStyle w:val="Bibliography"/>
      </w:pPr>
      <w:r>
        <w:t xml:space="preserve">Okyar, Alper, Christine Dressler, Aly Hanafy, et al.</w:t>
      </w:r>
      <w:r>
        <w:t xml:space="preserve"> 2011.</w:t>
      </w:r>
      <w:r>
        <w:t xml:space="preserve"> </w:t>
      </w:r>
      <w:r>
        <w:t xml:space="preserve">“Strain- and Sex-Dependent Circadian Changes in</w:t>
      </w:r>
      <w:r>
        <w:t xml:space="preserve"> </w:t>
      </w:r>
      <w:r>
        <w:t xml:space="preserve">Abcc2</w:t>
      </w:r>
      <w:r>
        <w:t xml:space="preserve"> </w:t>
      </w:r>
      <w:r>
        <w:t xml:space="preserve">Transporter Expression in Mouse Liver and Kidney.”</w:t>
      </w:r>
      <w:r>
        <w:t xml:space="preserve"> </w:t>
      </w:r>
      <w:r>
        <w:rPr>
          <w:i/>
          <w:iCs/>
        </w:rPr>
        <w:t xml:space="preserve">Chronobiology International</w:t>
      </w:r>
      <w:r>
        <w:t xml:space="preserve">.</w:t>
      </w:r>
    </w:p>
    <w:bookmarkEnd w:id="136"/>
    <w:bookmarkStart w:id="138" w:name="ref-OrtizTudela2016"/>
    <w:p>
      <w:pPr>
        <w:pStyle w:val="Bibliography"/>
      </w:pPr>
      <w:r>
        <w:t xml:space="preserve">Ortiz-Tudela, Estela, Pasquale F. Innominato, Maria-Ángeles Rol, Francis A. Lévi, and Juan Antonio Madrid. 2016.</w:t>
      </w:r>
      <w:r>
        <w:t xml:space="preserve"> </w:t>
      </w:r>
      <w:r>
        <w:t xml:space="preserve">“Relevance of Internal Time and Circadian Robustness for Cancer Patients.”</w:t>
      </w:r>
      <w:r>
        <w:t xml:space="preserve"> </w:t>
      </w:r>
      <w:r>
        <w:rPr>
          <w:i/>
          <w:iCs/>
        </w:rPr>
        <w:t xml:space="preserve">BMC Cancer</w:t>
      </w:r>
      <w:r>
        <w:t xml:space="preserve"> </w:t>
      </w:r>
      <w:r>
        <w:t xml:space="preserve">16: 285.</w:t>
      </w:r>
      <w:r>
        <w:t xml:space="preserve"> </w:t>
      </w:r>
      <w:hyperlink r:id="rId137">
        <w:r>
          <w:rPr>
            <w:rStyle w:val="Hyperlink"/>
          </w:rPr>
          <w:t xml:space="preserve">https://doi.org/10.1186/s12885-016-2314-0</w:t>
        </w:r>
      </w:hyperlink>
      <w:r>
        <w:t xml:space="preserve">.</w:t>
      </w:r>
    </w:p>
    <w:bookmarkEnd w:id="138"/>
    <w:bookmarkStart w:id="140" w:name="ref-Pabla2008"/>
    <w:p>
      <w:pPr>
        <w:pStyle w:val="Bibliography"/>
      </w:pPr>
      <w:r>
        <w:t xml:space="preserve">Pabla, Navjot, and Zheng Dong. 2008.</w:t>
      </w:r>
      <w:r>
        <w:t xml:space="preserve"> </w:t>
      </w:r>
      <w:r>
        <w:t xml:space="preserve">“Cisplatin Nephrotoxicity: Mechanisms and Renoprotective Strategies.”</w:t>
      </w:r>
      <w:r>
        <w:t xml:space="preserve"> </w:t>
      </w:r>
      <w:r>
        <w:rPr>
          <w:i/>
          <w:iCs/>
        </w:rPr>
        <w:t xml:space="preserve">Kidney International</w:t>
      </w:r>
      <w:r>
        <w:t xml:space="preserve"> </w:t>
      </w:r>
      <w:r>
        <w:t xml:space="preserve">73 (9): 994–1007.</w:t>
      </w:r>
      <w:r>
        <w:t xml:space="preserve"> </w:t>
      </w:r>
      <w:hyperlink r:id="rId139">
        <w:r>
          <w:rPr>
            <w:rStyle w:val="Hyperlink"/>
          </w:rPr>
          <w:t xml:space="preserve">https://doi.org/10.1038/sj.ki.5002786</w:t>
        </w:r>
      </w:hyperlink>
      <w:r>
        <w:t xml:space="preserve">.</w:t>
      </w:r>
    </w:p>
    <w:bookmarkEnd w:id="140"/>
    <w:bookmarkStart w:id="142" w:name="ref-Park2013"/>
    <w:p>
      <w:pPr>
        <w:pStyle w:val="Bibliography"/>
      </w:pPr>
      <w:r>
        <w:t xml:space="preserve">Park, Susanna B., Arun V. Krishnan, Charles S.-Y. Lin, David Goldstein, Michael Friedlander, and Matthew C. Kiernan. 2013.</w:t>
      </w:r>
      <w:r>
        <w:t xml:space="preserve"> </w:t>
      </w:r>
      <w:r>
        <w:t xml:space="preserve">“Mechanisms Underlying Chemotherapy-Induced Neurotoxicity and the Potential for Neuroprotective Strategies.”</w:t>
      </w:r>
      <w:r>
        <w:t xml:space="preserve"> </w:t>
      </w:r>
      <w:r>
        <w:rPr>
          <w:i/>
          <w:iCs/>
        </w:rPr>
        <w:t xml:space="preserve">CA: A Cancer Journal for Clinicians</w:t>
      </w:r>
      <w:r>
        <w:t xml:space="preserve"> </w:t>
      </w:r>
      <w:r>
        <w:t xml:space="preserve">63 (6): 419–37.</w:t>
      </w:r>
      <w:r>
        <w:t xml:space="preserve"> </w:t>
      </w:r>
      <w:hyperlink r:id="rId141">
        <w:r>
          <w:rPr>
            <w:rStyle w:val="Hyperlink"/>
          </w:rPr>
          <w:t xml:space="preserve">https://doi.org/10.3322/caac.21204</w:t>
        </w:r>
      </w:hyperlink>
      <w:r>
        <w:t xml:space="preserve">.</w:t>
      </w:r>
    </w:p>
    <w:bookmarkEnd w:id="142"/>
    <w:bookmarkStart w:id="144" w:name="ref-Peng2019"/>
    <w:p>
      <w:pPr>
        <w:pStyle w:val="Bibliography"/>
      </w:pPr>
      <w:r>
        <w:t xml:space="preserve">Peng, Hao, Congrong Ding, Liang Jiang, et al.</w:t>
      </w:r>
      <w:r>
        <w:t xml:space="preserve"> 2019.</w:t>
      </w:r>
      <w:r>
        <w:t xml:space="preserve"> </w:t>
      </w:r>
      <w:r>
        <w:t xml:space="preserve">“</w:t>
      </w:r>
      <w:r>
        <w:t xml:space="preserve">ARNTL</w:t>
      </w:r>
      <w:r>
        <w:t xml:space="preserve"> </w:t>
      </w:r>
      <w:r>
        <w:t xml:space="preserve">Hypermethylation Promoted Tumor Progression and Was a Potential Immunotherapy Target in Nasopharyngeal Carcinoma.”</w:t>
      </w:r>
      <w:r>
        <w:t xml:space="preserve"> </w:t>
      </w:r>
      <w:r>
        <w:rPr>
          <w:i/>
          <w:iCs/>
        </w:rPr>
        <w:t xml:space="preserve">Journal of Experimental &amp; Clinical Cancer Research</w:t>
      </w:r>
      <w:r>
        <w:t xml:space="preserve"> </w:t>
      </w:r>
      <w:r>
        <w:t xml:space="preserve">38: 445.</w:t>
      </w:r>
      <w:r>
        <w:t xml:space="preserve"> </w:t>
      </w:r>
      <w:hyperlink r:id="rId143">
        <w:r>
          <w:rPr>
            <w:rStyle w:val="Hyperlink"/>
          </w:rPr>
          <w:t xml:space="preserve">https://doi.org/10.1186/s13046-019-1433-3</w:t>
        </w:r>
      </w:hyperlink>
      <w:r>
        <w:t xml:space="preserve">.</w:t>
      </w:r>
    </w:p>
    <w:bookmarkEnd w:id="144"/>
    <w:bookmarkStart w:id="146" w:name="ref-Pignon2009"/>
    <w:p>
      <w:pPr>
        <w:pStyle w:val="Bibliography"/>
      </w:pPr>
      <w:r>
        <w:t xml:space="preserve">Pignon, Jean-Pierre, Aurelie le Maître, Emilie Maillard, Jean Bourhis, and MACH-NC Collaborative Group. 2009.</w:t>
      </w:r>
      <w:r>
        <w:t xml:space="preserve"> </w:t>
      </w:r>
      <w:r>
        <w:t xml:space="preserve">“Meta-Analysis of Chemotherapy in Head and Neck Cancer (</w:t>
      </w:r>
      <w:r>
        <w:t xml:space="preserve">MACH-NC</w:t>
      </w:r>
      <w:r>
        <w:t xml:space="preserve">): An Update on 93 Randomised Trials and 17,346 Patients.”</w:t>
      </w:r>
      <w:r>
        <w:t xml:space="preserve"> </w:t>
      </w:r>
      <w:r>
        <w:rPr>
          <w:i/>
          <w:iCs/>
        </w:rPr>
        <w:t xml:space="preserve">Radiotherapy and Oncology</w:t>
      </w:r>
      <w:r>
        <w:t xml:space="preserve"> </w:t>
      </w:r>
      <w:r>
        <w:t xml:space="preserve">92 (1): 4–14.</w:t>
      </w:r>
      <w:r>
        <w:t xml:space="preserve"> </w:t>
      </w:r>
      <w:hyperlink r:id="rId145">
        <w:r>
          <w:rPr>
            <w:rStyle w:val="Hyperlink"/>
          </w:rPr>
          <w:t xml:space="preserve">https://doi.org/10.1016/j.radonc.2009.04.014</w:t>
        </w:r>
      </w:hyperlink>
      <w:r>
        <w:t xml:space="preserve">.</w:t>
      </w:r>
    </w:p>
    <w:bookmarkEnd w:id="146"/>
    <w:bookmarkStart w:id="148" w:name="ref-Pocock2012"/>
    <w:p>
      <w:pPr>
        <w:pStyle w:val="Bibliography"/>
      </w:pPr>
      <w:r>
        <w:t xml:space="preserve">Pocock, Stuart J., Cono A. Ariti, Timothy J. Collier, and Duolao Wang. 2012.</w:t>
      </w:r>
      <w:r>
        <w:t xml:space="preserve"> </w:t>
      </w:r>
      <w:r>
        <w:t xml:space="preserve">“The Win Ratio: A New Approach to the Analysis of Composite Endpoints in Clinical Trials Based on Clinical Priorities.”</w:t>
      </w:r>
      <w:r>
        <w:t xml:space="preserve"> </w:t>
      </w:r>
      <w:r>
        <w:rPr>
          <w:i/>
          <w:iCs/>
        </w:rPr>
        <w:t xml:space="preserve">European Heart Journal</w:t>
      </w:r>
      <w:r>
        <w:t xml:space="preserve"> </w:t>
      </w:r>
      <w:r>
        <w:t xml:space="preserve">33 (2): 176–82.</w:t>
      </w:r>
      <w:r>
        <w:t xml:space="preserve"> </w:t>
      </w:r>
      <w:hyperlink r:id="rId147">
        <w:r>
          <w:rPr>
            <w:rStyle w:val="Hyperlink"/>
          </w:rPr>
          <w:t xml:space="preserve">https://doi.org/10.1093/eurheartj/ehr352</w:t>
        </w:r>
      </w:hyperlink>
      <w:r>
        <w:t xml:space="preserve">.</w:t>
      </w:r>
    </w:p>
    <w:bookmarkEnd w:id="148"/>
    <w:bookmarkStart w:id="150" w:name="ref-Posner2007"/>
    <w:p>
      <w:pPr>
        <w:pStyle w:val="Bibliography"/>
      </w:pPr>
      <w:r>
        <w:t xml:space="preserve">Posner, Marshall R., David M. Hershock, Cesar R. Blajman, et al. 2007.</w:t>
      </w:r>
      <w:r>
        <w:t xml:space="preserve"> </w:t>
      </w:r>
      <w:r>
        <w:t xml:space="preserve">“Cisplatin and Fluorouracil Alone or with Docetaxel in Head and Neck Cancer.”</w:t>
      </w:r>
      <w:r>
        <w:t xml:space="preserve"> </w:t>
      </w:r>
      <w:r>
        <w:rPr>
          <w:i/>
          <w:iCs/>
        </w:rPr>
        <w:t xml:space="preserve">New England Journal of Medicine</w:t>
      </w:r>
      <w:r>
        <w:t xml:space="preserve"> </w:t>
      </w:r>
      <w:r>
        <w:t xml:space="preserve">357 (17): 1705–15.</w:t>
      </w:r>
      <w:r>
        <w:t xml:space="preserve"> </w:t>
      </w:r>
      <w:hyperlink r:id="rId149">
        <w:r>
          <w:rPr>
            <w:rStyle w:val="Hyperlink"/>
          </w:rPr>
          <w:t xml:space="preserve">https://doi.org/10.1056/NEJMoa070956</w:t>
        </w:r>
      </w:hyperlink>
      <w:r>
        <w:t xml:space="preserve">.</w:t>
      </w:r>
    </w:p>
    <w:bookmarkEnd w:id="150"/>
    <w:bookmarkStart w:id="152" w:name="ref-Qian2021"/>
    <w:p>
      <w:pPr>
        <w:pStyle w:val="Bibliography"/>
      </w:pPr>
      <w:r>
        <w:t xml:space="preserve">Qian, David C., Todd Kleber, Brandon Brammer, et al.</w:t>
      </w:r>
      <w:r>
        <w:t xml:space="preserve"> 2021.</w:t>
      </w:r>
      <w:r>
        <w:t xml:space="preserve"> </w:t>
      </w:r>
      <w:r>
        <w:t xml:space="preserve">“Effect of Immunotherapy Time-of-Day Infusion on Overall Survival Among Patients with Advanced Melanoma and Non-Small Cell Lung Cancer: A Multicenter International Study.”</w:t>
      </w:r>
      <w:r>
        <w:t xml:space="preserve"> </w:t>
      </w:r>
      <w:r>
        <w:rPr>
          <w:i/>
          <w:iCs/>
        </w:rPr>
        <w:t xml:space="preserve">European Journal of Cancer</w:t>
      </w:r>
      <w:r>
        <w:t xml:space="preserve"> </w:t>
      </w:r>
      <w:r>
        <w:t xml:space="preserve">143: 24–33.</w:t>
      </w:r>
      <w:r>
        <w:t xml:space="preserve"> </w:t>
      </w:r>
      <w:hyperlink r:id="rId151">
        <w:r>
          <w:rPr>
            <w:rStyle w:val="Hyperlink"/>
          </w:rPr>
          <w:t xml:space="preserve">https://doi.org/10.1016/j.ejca.2020.10.031</w:t>
        </w:r>
      </w:hyperlink>
      <w:r>
        <w:t xml:space="preserve">.</w:t>
      </w:r>
    </w:p>
    <w:bookmarkEnd w:id="152"/>
    <w:bookmarkStart w:id="154" w:name="ref-Roenneberg2003"/>
    <w:p>
      <w:pPr>
        <w:pStyle w:val="Bibliography"/>
      </w:pPr>
      <w:r>
        <w:t xml:space="preserve">Roenneberg, Till, Anna Wirz-Justice, and Martha Merrow. 2003.</w:t>
      </w:r>
      <w:r>
        <w:t xml:space="preserve"> </w:t>
      </w:r>
      <w:r>
        <w:t xml:space="preserve">“Life Between Clocks: Daily Temporal Patterns of Human Chronotypes.”</w:t>
      </w:r>
      <w:r>
        <w:t xml:space="preserve"> </w:t>
      </w:r>
      <w:r>
        <w:rPr>
          <w:i/>
          <w:iCs/>
        </w:rPr>
        <w:t xml:space="preserve">Journal of Biological Rhythms</w:t>
      </w:r>
      <w:r>
        <w:t xml:space="preserve"> </w:t>
      </w:r>
      <w:r>
        <w:t xml:space="preserve">18 (1): 80–90.</w:t>
      </w:r>
      <w:r>
        <w:t xml:space="preserve"> </w:t>
      </w:r>
      <w:hyperlink r:id="rId153">
        <w:r>
          <w:rPr>
            <w:rStyle w:val="Hyperlink"/>
          </w:rPr>
          <w:t xml:space="preserve">https://doi.org/10.1177/0748730402239679</w:t>
        </w:r>
      </w:hyperlink>
      <w:r>
        <w:t xml:space="preserve">.</w:t>
      </w:r>
    </w:p>
    <w:bookmarkEnd w:id="154"/>
    <w:bookmarkStart w:id="156" w:name="ref-Ruben2018"/>
    <w:p>
      <w:pPr>
        <w:pStyle w:val="Bibliography"/>
      </w:pPr>
      <w:r>
        <w:t xml:space="preserve">Ruben, Marc D., Gang Wu, David F. Smith, et al. 2018.</w:t>
      </w:r>
      <w:r>
        <w:t xml:space="preserve"> </w:t>
      </w:r>
      <w:r>
        <w:t xml:space="preserve">“A Database of Tissue-Specific Rhythmically Expressed Human Genes Has Potential Applications in Circadian Medicine.”</w:t>
      </w:r>
      <w:r>
        <w:t xml:space="preserve"> </w:t>
      </w:r>
      <w:r>
        <w:rPr>
          <w:i/>
          <w:iCs/>
        </w:rPr>
        <w:t xml:space="preserve">Science Translational Medicine</w:t>
      </w:r>
      <w:r>
        <w:t xml:space="preserve"> </w:t>
      </w:r>
      <w:r>
        <w:t xml:space="preserve">10 (458): eaat8806.</w:t>
      </w:r>
      <w:r>
        <w:t xml:space="preserve"> </w:t>
      </w:r>
      <w:hyperlink r:id="rId155">
        <w:r>
          <w:rPr>
            <w:rStyle w:val="Hyperlink"/>
          </w:rPr>
          <w:t xml:space="preserve">https://doi.org/10.1126/scitranslmed.aat8806</w:t>
        </w:r>
      </w:hyperlink>
      <w:r>
        <w:t xml:space="preserve">.</w:t>
      </w:r>
    </w:p>
    <w:bookmarkEnd w:id="156"/>
    <w:bookmarkStart w:id="158" w:name="ref-SancarVanGelder2021"/>
    <w:p>
      <w:pPr>
        <w:pStyle w:val="Bibliography"/>
      </w:pPr>
      <w:r>
        <w:t xml:space="preserve">Sancar, Aziz, and Russell N. Van Gelder. 2021.</w:t>
      </w:r>
      <w:r>
        <w:t xml:space="preserve"> </w:t>
      </w:r>
      <w:r>
        <w:t xml:space="preserve">“Clocks, Cancer, and Chronochemotherapy.”</w:t>
      </w:r>
      <w:r>
        <w:t xml:space="preserve"> </w:t>
      </w:r>
      <w:r>
        <w:rPr>
          <w:i/>
          <w:iCs/>
        </w:rPr>
        <w:t xml:space="preserve">Science</w:t>
      </w:r>
      <w:r>
        <w:t xml:space="preserve"> </w:t>
      </w:r>
      <w:r>
        <w:t xml:space="preserve">371 (6524): eabb0738.</w:t>
      </w:r>
      <w:r>
        <w:t xml:space="preserve"> </w:t>
      </w:r>
      <w:hyperlink r:id="rId157">
        <w:r>
          <w:rPr>
            <w:rStyle w:val="Hyperlink"/>
          </w:rPr>
          <w:t xml:space="preserve">https://doi.org/10.1126/science.abb0738</w:t>
        </w:r>
      </w:hyperlink>
      <w:r>
        <w:t xml:space="preserve">.</w:t>
      </w:r>
    </w:p>
    <w:bookmarkEnd w:id="158"/>
    <w:bookmarkStart w:id="159" w:name="ref-Sassa2010"/>
    <w:p>
      <w:pPr>
        <w:pStyle w:val="Bibliography"/>
      </w:pPr>
      <w:r>
        <w:t xml:space="preserve">Sassa, Yumiko, Satoru Koyanagi, Shigehiro Ohdo, et al.</w:t>
      </w:r>
      <w:r>
        <w:t xml:space="preserve"> 2010.</w:t>
      </w:r>
      <w:r>
        <w:t xml:space="preserve"> </w:t>
      </w:r>
      <w:r>
        <w:t xml:space="preserve">“Presence of Circadian Oscillation of</w:t>
      </w:r>
      <w:r>
        <w:t xml:space="preserve"> </w:t>
      </w:r>
      <w:r>
        <w:t xml:space="preserve">MDR1</w:t>
      </w:r>
      <w:r>
        <w:t xml:space="preserve"> </w:t>
      </w:r>
      <w:r>
        <w:t xml:space="preserve">Gene in Murine Brain.”</w:t>
      </w:r>
      <w:r>
        <w:t xml:space="preserve"> </w:t>
      </w:r>
      <w:r>
        <w:rPr>
          <w:i/>
          <w:iCs/>
        </w:rPr>
        <w:t xml:space="preserve">Chronobiology International</w:t>
      </w:r>
      <w:r>
        <w:t xml:space="preserve">.</w:t>
      </w:r>
    </w:p>
    <w:bookmarkEnd w:id="159"/>
    <w:bookmarkStart w:id="160" w:name="ref-Seto2016"/>
    <w:p>
      <w:pPr>
        <w:pStyle w:val="Bibliography"/>
      </w:pPr>
      <w:r>
        <w:t xml:space="preserve">Seto, Hiroshi, Satoru Koyanagi, Shigehiro Ohdo, et al.</w:t>
      </w:r>
      <w:r>
        <w:t xml:space="preserve"> 2016.</w:t>
      </w:r>
      <w:r>
        <w:t xml:space="preserve"> </w:t>
      </w:r>
      <w:r>
        <w:t xml:space="preserve">“Influence of Dosing Times on Cisplatin-Induced Peripheral Neurotoxicity and Tumor Growth of a Human Non-Small Cell Lung Cancer Xenograft in Nude Mice.”</w:t>
      </w:r>
      <w:r>
        <w:t xml:space="preserve"> </w:t>
      </w:r>
      <w:r>
        <w:rPr>
          <w:i/>
          <w:iCs/>
        </w:rPr>
        <w:t xml:space="preserve">Chronobiology International</w:t>
      </w:r>
      <w:r>
        <w:t xml:space="preserve">.</w:t>
      </w:r>
    </w:p>
    <w:bookmarkEnd w:id="160"/>
    <w:bookmarkStart w:id="162" w:name="ref-Sonis2004"/>
    <w:p>
      <w:pPr>
        <w:pStyle w:val="Bibliography"/>
      </w:pPr>
      <w:r>
        <w:t xml:space="preserve">Sonis, Stephen T. 2004.</w:t>
      </w:r>
      <w:r>
        <w:t xml:space="preserve"> </w:t>
      </w:r>
      <w:r>
        <w:t xml:space="preserve">“The Pathobiology of Mucositis.”</w:t>
      </w:r>
      <w:r>
        <w:t xml:space="preserve"> </w:t>
      </w:r>
      <w:r>
        <w:rPr>
          <w:i/>
          <w:iCs/>
        </w:rPr>
        <w:t xml:space="preserve">Nature Reviews Cancer</w:t>
      </w:r>
      <w:r>
        <w:t xml:space="preserve"> </w:t>
      </w:r>
      <w:r>
        <w:t xml:space="preserve">4 (4): 277–84.</w:t>
      </w:r>
      <w:r>
        <w:t xml:space="preserve"> </w:t>
      </w:r>
      <w:hyperlink r:id="rId161">
        <w:r>
          <w:rPr>
            <w:rStyle w:val="Hyperlink"/>
          </w:rPr>
          <w:t xml:space="preserve">https://doi.org/10.1038/nrc1318</w:t>
        </w:r>
      </w:hyperlink>
      <w:r>
        <w:t xml:space="preserve">.</w:t>
      </w:r>
    </w:p>
    <w:bookmarkEnd w:id="162"/>
    <w:bookmarkStart w:id="164" w:name="ref-Strojan2016"/>
    <w:p>
      <w:pPr>
        <w:pStyle w:val="Bibliography"/>
      </w:pPr>
      <w:r>
        <w:t xml:space="preserve">Strojan, Primož, Jan B. Vermorken, Jonathan J. Beitler, et al. 2016.</w:t>
      </w:r>
      <w:r>
        <w:t xml:space="preserve"> </w:t>
      </w:r>
      <w:r>
        <w:t xml:space="preserve">“Cumulative Cisplatin Dose in Concurrent Chemoradiotherapy for Head and Neck Cancer: A Systematic Review.”</w:t>
      </w:r>
      <w:r>
        <w:t xml:space="preserve"> </w:t>
      </w:r>
      <w:r>
        <w:rPr>
          <w:i/>
          <w:iCs/>
        </w:rPr>
        <w:t xml:space="preserve">Head &amp; Neck</w:t>
      </w:r>
      <w:r>
        <w:t xml:space="preserve"> </w:t>
      </w:r>
      <w:r>
        <w:t xml:space="preserve">38 (S1): E2151–58.</w:t>
      </w:r>
      <w:r>
        <w:t xml:space="preserve"> </w:t>
      </w:r>
      <w:hyperlink r:id="rId163">
        <w:r>
          <w:rPr>
            <w:rStyle w:val="Hyperlink"/>
          </w:rPr>
          <w:t xml:space="preserve">https://doi.org/10.1002/hed.24026</w:t>
        </w:r>
      </w:hyperlink>
      <w:r>
        <w:t xml:space="preserve">.</w:t>
      </w:r>
    </w:p>
    <w:bookmarkEnd w:id="164"/>
    <w:bookmarkStart w:id="166" w:name="ref-Sulli2019"/>
    <w:p>
      <w:pPr>
        <w:pStyle w:val="Bibliography"/>
      </w:pPr>
      <w:r>
        <w:t xml:space="preserve">Sulli, Gabriele, Michael T. Y. Lam, and Satchidananda Panda. 2019.</w:t>
      </w:r>
      <w:r>
        <w:t xml:space="preserve"> </w:t>
      </w:r>
      <w:r>
        <w:t xml:space="preserve">“Interplay Between Circadian Clock and Cancer: New Frontiers for Cancer Treatment.”</w:t>
      </w:r>
      <w:r>
        <w:t xml:space="preserve"> </w:t>
      </w:r>
      <w:r>
        <w:rPr>
          <w:i/>
          <w:iCs/>
        </w:rPr>
        <w:t xml:space="preserve">Trends in Cancer</w:t>
      </w:r>
      <w:r>
        <w:t xml:space="preserve"> </w:t>
      </w:r>
      <w:r>
        <w:t xml:space="preserve">5 (8): 475–94.</w:t>
      </w:r>
      <w:r>
        <w:t xml:space="preserve"> </w:t>
      </w:r>
      <w:hyperlink r:id="rId165">
        <w:r>
          <w:rPr>
            <w:rStyle w:val="Hyperlink"/>
          </w:rPr>
          <w:t xml:space="preserve">https://doi.org/10.1016/j.trecan.2019.07.002</w:t>
        </w:r>
      </w:hyperlink>
      <w:r>
        <w:t xml:space="preserve">.</w:t>
      </w:r>
    </w:p>
    <w:bookmarkEnd w:id="166"/>
    <w:bookmarkStart w:id="168" w:name="ref-Szturz2017"/>
    <w:p>
      <w:pPr>
        <w:pStyle w:val="Bibliography"/>
      </w:pPr>
      <w:r>
        <w:t xml:space="preserve">Szturz, Petr, Kristof Wouters, Naomi Kiyota, et al. 2017.</w:t>
      </w:r>
      <w:r>
        <w:t xml:space="preserve"> </w:t>
      </w:r>
      <w:r>
        <w:t xml:space="preserve">“Weekly Low-Dose Versus Three-Weekly High-Dose Cisplatin for Concurrent Chemoradiation in Locoregionally Advanced Non-Nasopharyngeal Head and Neck Cancer: A Systematic Review and Meta-Analysis of Aggregate Data.”</w:t>
      </w:r>
      <w:r>
        <w:t xml:space="preserve"> </w:t>
      </w:r>
      <w:r>
        <w:rPr>
          <w:i/>
          <w:iCs/>
        </w:rPr>
        <w:t xml:space="preserve">The Oncologist</w:t>
      </w:r>
      <w:r>
        <w:t xml:space="preserve"> </w:t>
      </w:r>
      <w:r>
        <w:t xml:space="preserve">22 (9): 1056–66.</w:t>
      </w:r>
      <w:r>
        <w:t xml:space="preserve"> </w:t>
      </w:r>
      <w:hyperlink r:id="rId167">
        <w:r>
          <w:rPr>
            <w:rStyle w:val="Hyperlink"/>
          </w:rPr>
          <w:t xml:space="preserve">https://doi.org/10.1634/theoncologist.2017-0015</w:t>
        </w:r>
      </w:hyperlink>
      <w:r>
        <w:t xml:space="preserve">.</w:t>
      </w:r>
    </w:p>
    <w:bookmarkEnd w:id="168"/>
    <w:bookmarkStart w:id="170" w:name="ref-Thaiss2014"/>
    <w:p>
      <w:pPr>
        <w:pStyle w:val="Bibliography"/>
      </w:pPr>
      <w:r>
        <w:t xml:space="preserve">Thaiss, Christoph A., David Zeevi, Maayan Levy, et al. 2014.</w:t>
      </w:r>
      <w:r>
        <w:t xml:space="preserve"> </w:t>
      </w:r>
      <w:r>
        <w:t xml:space="preserve">“Transkingdom Control of Microbiota Diurnal Oscillations Promotes Metabolic Homeostasis.”</w:t>
      </w:r>
      <w:r>
        <w:t xml:space="preserve"> </w:t>
      </w:r>
      <w:r>
        <w:rPr>
          <w:i/>
          <w:iCs/>
        </w:rPr>
        <w:t xml:space="preserve">Cell</w:t>
      </w:r>
      <w:r>
        <w:t xml:space="preserve"> </w:t>
      </w:r>
      <w:r>
        <w:t xml:space="preserve">159 (3): 514–29.</w:t>
      </w:r>
      <w:r>
        <w:t xml:space="preserve"> </w:t>
      </w:r>
      <w:hyperlink r:id="rId169">
        <w:r>
          <w:rPr>
            <w:rStyle w:val="Hyperlink"/>
          </w:rPr>
          <w:t xml:space="preserve">https://doi.org/10.1016/j.cell.2014.09.048</w:t>
        </w:r>
      </w:hyperlink>
      <w:r>
        <w:t xml:space="preserve">.</w:t>
      </w:r>
    </w:p>
    <w:bookmarkEnd w:id="170"/>
    <w:bookmarkStart w:id="172" w:name="ref-Tsuchiya2018"/>
    <w:p>
      <w:pPr>
        <w:pStyle w:val="Bibliography"/>
      </w:pPr>
      <w:r>
        <w:t xml:space="preserve">Tsuchiya, Yuya, Satoru Koyanagi, Naoya Matsunaga, Shigehiro Ohdo, et al.</w:t>
      </w:r>
      <w:r>
        <w:t xml:space="preserve"> 2018.</w:t>
      </w:r>
      <w:r>
        <w:t xml:space="preserve"> </w:t>
      </w:r>
      <w:r>
        <w:t xml:space="preserve">“Dosing Time-Dependent Changes in the Therapeutic Effect of</w:t>
      </w:r>
      <w:r>
        <w:t xml:space="preserve"> </w:t>
      </w:r>
      <w:r>
        <w:t xml:space="preserve">5-fluorouracil/cisplatin</w:t>
      </w:r>
      <w:r>
        <w:t xml:space="preserve"> </w:t>
      </w:r>
      <w:r>
        <w:t xml:space="preserve">on Tumor Growth of Oral Squamous Cell Carcinoma in Patients and Mouse Xenograft Models.”</w:t>
      </w:r>
      <w:r>
        <w:t xml:space="preserve"> </w:t>
      </w:r>
      <w:r>
        <w:rPr>
          <w:i/>
          <w:iCs/>
        </w:rPr>
        <w:t xml:space="preserve">Chronobiology International</w:t>
      </w:r>
      <w:r>
        <w:t xml:space="preserve"> </w:t>
      </w:r>
      <w:r>
        <w:t xml:space="preserve">35 (3): 301–16.</w:t>
      </w:r>
      <w:r>
        <w:t xml:space="preserve"> </w:t>
      </w:r>
      <w:hyperlink r:id="rId171">
        <w:r>
          <w:rPr>
            <w:rStyle w:val="Hyperlink"/>
          </w:rPr>
          <w:t xml:space="preserve">https://doi.org/10.1080/07420528.2017.1410090</w:t>
        </w:r>
      </w:hyperlink>
      <w:r>
        <w:t xml:space="preserve">.</w:t>
      </w:r>
    </w:p>
    <w:bookmarkEnd w:id="172"/>
    <w:bookmarkStart w:id="174" w:name="ref-Vermorken2007"/>
    <w:p>
      <w:pPr>
        <w:pStyle w:val="Bibliography"/>
      </w:pPr>
      <w:r>
        <w:t xml:space="preserve">Vermorken, Jan B., Edit Remenar, Carla van Herpen, et al. 2007.</w:t>
      </w:r>
      <w:r>
        <w:t xml:space="preserve"> </w:t>
      </w:r>
      <w:r>
        <w:t xml:space="preserve">“Cisplatin, Fluorouracil, and Docetaxel in Unresectable Head and Neck Cancer.”</w:t>
      </w:r>
      <w:r>
        <w:t xml:space="preserve"> </w:t>
      </w:r>
      <w:r>
        <w:rPr>
          <w:i/>
          <w:iCs/>
        </w:rPr>
        <w:t xml:space="preserve">New England Journal of Medicine</w:t>
      </w:r>
      <w:r>
        <w:t xml:space="preserve"> </w:t>
      </w:r>
      <w:r>
        <w:t xml:space="preserve">357 (17): 1695–704.</w:t>
      </w:r>
      <w:r>
        <w:t xml:space="preserve"> </w:t>
      </w:r>
      <w:hyperlink r:id="rId173">
        <w:r>
          <w:rPr>
            <w:rStyle w:val="Hyperlink"/>
          </w:rPr>
          <w:t xml:space="preserve">https://doi.org/10.1056/NEJMoa071028</w:t>
        </w:r>
      </w:hyperlink>
      <w:r>
        <w:t xml:space="preserve">.</w:t>
      </w:r>
    </w:p>
    <w:bookmarkEnd w:id="174"/>
    <w:bookmarkStart w:id="176" w:name="ref-Yoshizawa2007"/>
    <w:p>
      <w:pPr>
        <w:pStyle w:val="Bibliography"/>
      </w:pPr>
      <w:r>
        <w:t xml:space="preserve">Yoshizawa, Kunio, Shinichi Nozaki, Hiroko Kitahara, et al. 2007.</w:t>
      </w:r>
      <w:r>
        <w:t xml:space="preserve"> </w:t>
      </w:r>
      <w:r>
        <w:t xml:space="preserve">“Copper Efflux Transporter (</w:t>
      </w:r>
      <w:r>
        <w:t xml:space="preserve">ATP7B</w:t>
      </w:r>
      <w:r>
        <w:t xml:space="preserve">) Contributes to the Acquisition of Cisplatin-Resistance in Human Oral Squamous Cell Lines.”</w:t>
      </w:r>
      <w:r>
        <w:t xml:space="preserve"> </w:t>
      </w:r>
      <w:r>
        <w:rPr>
          <w:i/>
          <w:iCs/>
        </w:rPr>
        <w:t xml:space="preserve">Oncology Reports</w:t>
      </w:r>
      <w:r>
        <w:t xml:space="preserve"> </w:t>
      </w:r>
      <w:r>
        <w:t xml:space="preserve">18 (4): 987–91.</w:t>
      </w:r>
      <w:r>
        <w:t xml:space="preserve"> </w:t>
      </w:r>
      <w:hyperlink r:id="rId175">
        <w:r>
          <w:rPr>
            <w:rStyle w:val="Hyperlink"/>
          </w:rPr>
          <w:t xml:space="preserve">https://doi.org/10.3892/or.18.4.987</w:t>
        </w:r>
      </w:hyperlink>
      <w:r>
        <w:t xml:space="preserve">.</w:t>
      </w:r>
    </w:p>
    <w:bookmarkEnd w:id="176"/>
    <w:bookmarkStart w:id="178" w:name="ref-Zha2020"/>
    <w:p>
      <w:pPr>
        <w:pStyle w:val="Bibliography"/>
      </w:pPr>
      <w:r>
        <w:t xml:space="preserve">Zha, Min, Qiuyan Shen, Hongliang Guo, et al. 2020.</w:t>
      </w:r>
      <w:r>
        <w:t xml:space="preserve"> </w:t>
      </w:r>
      <w:r>
        <w:t xml:space="preserve">“</w:t>
      </w:r>
      <w:r>
        <w:t xml:space="preserve">BMAL1</w:t>
      </w:r>
      <w:r>
        <w:t xml:space="preserve"> </w:t>
      </w:r>
      <w:r>
        <w:t xml:space="preserve">Facilitates Cisplatin-Induced Renal Tubular Injury and Cell Death.”</w:t>
      </w:r>
      <w:r>
        <w:t xml:space="preserve"> </w:t>
      </w:r>
      <w:r>
        <w:rPr>
          <w:i/>
          <w:iCs/>
        </w:rPr>
        <w:t xml:space="preserve">Cell Death &amp; Disease</w:t>
      </w:r>
      <w:r>
        <w:t xml:space="preserve"> </w:t>
      </w:r>
      <w:r>
        <w:t xml:space="preserve">11: 214.</w:t>
      </w:r>
      <w:r>
        <w:t xml:space="preserve"> </w:t>
      </w:r>
      <w:hyperlink r:id="rId177">
        <w:r>
          <w:rPr>
            <w:rStyle w:val="Hyperlink"/>
          </w:rPr>
          <w:t xml:space="preserve">https://doi.org/10.1038/s41419-020-2391-6</w:t>
        </w:r>
      </w:hyperlink>
      <w:r>
        <w:t xml:space="preserve">.</w:t>
      </w:r>
    </w:p>
    <w:bookmarkEnd w:id="178"/>
    <w:bookmarkStart w:id="180" w:name="ref-Zhang2018"/>
    <w:p>
      <w:pPr>
        <w:pStyle w:val="Bibliography"/>
      </w:pPr>
      <w:r>
        <w:t xml:space="preserve">Zhang, Ping-Xue, Yi Xu, Xiao-Dong Zhu, et al.</w:t>
      </w:r>
      <w:r>
        <w:t xml:space="preserve"> 2018.</w:t>
      </w:r>
      <w:r>
        <w:t xml:space="preserve"> </w:t>
      </w:r>
      <w:r>
        <w:t xml:space="preserve">“Cisplatin Chronomodulated Radiotherapy Combined with Oral Cisplatin in Patients with Locally Advanced Nasopharyngeal Carcinoma: A Phase</w:t>
      </w:r>
      <w:r>
        <w:t xml:space="preserve"> </w:t>
      </w:r>
      <w:r>
        <w:t xml:space="preserve">II</w:t>
      </w:r>
      <w:r>
        <w:t xml:space="preserve"> </w:t>
      </w:r>
      <w:r>
        <w:t xml:space="preserve">Randomized Study.”</w:t>
      </w:r>
      <w:r>
        <w:t xml:space="preserve"> </w:t>
      </w:r>
      <w:r>
        <w:rPr>
          <w:i/>
          <w:iCs/>
        </w:rPr>
        <w:t xml:space="preserve">Chronobiology International</w:t>
      </w:r>
      <w:r>
        <w:t xml:space="preserve"> </w:t>
      </w:r>
      <w:r>
        <w:t xml:space="preserve">35: 508–18.</w:t>
      </w:r>
      <w:r>
        <w:t xml:space="preserve"> </w:t>
      </w:r>
      <w:hyperlink r:id="rId179">
        <w:r>
          <w:rPr>
            <w:rStyle w:val="Hyperlink"/>
          </w:rPr>
          <w:t xml:space="preserve">https://doi.org/10.1080/07420528.2017.1414072</w:t>
        </w:r>
      </w:hyperlink>
      <w:r>
        <w:t xml:space="preserve">.</w:t>
      </w:r>
    </w:p>
    <w:bookmarkEnd w:id="180"/>
    <w:bookmarkEnd w:id="181"/>
    <w:bookmarkEnd w:id="1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hyperlink" Id="rId83" Target="https://doi.org/10.1002/cam4.2869" TargetMode="External" /><Relationship Type="http://schemas.openxmlformats.org/officeDocument/2006/relationships/hyperlink" Id="rId128" Target="https://doi.org/10.1002/cncr.11040" TargetMode="External" /><Relationship Type="http://schemas.openxmlformats.org/officeDocument/2006/relationships/hyperlink" Id="rId105" Target="https://doi.org/10.1002/cncr.28592" TargetMode="External" /><Relationship Type="http://schemas.openxmlformats.org/officeDocument/2006/relationships/hyperlink" Id="rId61" Target="https://doi.org/10.1002/hed.20279" TargetMode="External" /><Relationship Type="http://schemas.openxmlformats.org/officeDocument/2006/relationships/hyperlink" Id="rId163" Target="https://doi.org/10.1002/hed.24026" TargetMode="External" /><Relationship Type="http://schemas.openxmlformats.org/officeDocument/2006/relationships/hyperlink" Id="rId85" Target="https://doi.org/10.1002/ijc.26270" TargetMode="External" /><Relationship Type="http://schemas.openxmlformats.org/officeDocument/2006/relationships/hyperlink" Id="rId117" Target="https://doi.org/10.1006/taap.1996.8016" TargetMode="External" /><Relationship Type="http://schemas.openxmlformats.org/officeDocument/2006/relationships/hyperlink" Id="rId115" Target="https://doi.org/10.1007/s12032-022-01671-4" TargetMode="External" /><Relationship Type="http://schemas.openxmlformats.org/officeDocument/2006/relationships/hyperlink" Id="rId124" Target="https://doi.org/10.1007/s40620-017-0392-z" TargetMode="External" /><Relationship Type="http://schemas.openxmlformats.org/officeDocument/2006/relationships/hyperlink" Id="rId65" Target="https://doi.org/10.1016/S0002-9440(10)64135-1" TargetMode="External" /><Relationship Type="http://schemas.openxmlformats.org/officeDocument/2006/relationships/hyperlink" Id="rId126" Target="https://doi.org/10.1016/S0140-6736(18)32752-1" TargetMode="External" /><Relationship Type="http://schemas.openxmlformats.org/officeDocument/2006/relationships/hyperlink" Id="rId81" Target="https://doi.org/10.1016/S0140-6736(18)32779-X" TargetMode="External" /><Relationship Type="http://schemas.openxmlformats.org/officeDocument/2006/relationships/hyperlink" Id="rId77" Target="https://doi.org/10.1016/S1470-2045(16)30625-8" TargetMode="External" /><Relationship Type="http://schemas.openxmlformats.org/officeDocument/2006/relationships/hyperlink" Id="rId111" Target="https://doi.org/10.1016/S1470-2045(20)30737-3" TargetMode="External" /><Relationship Type="http://schemas.openxmlformats.org/officeDocument/2006/relationships/hyperlink" Id="rId122" Target="https://doi.org/10.1016/j.annonc.2023.07.003" TargetMode="External" /><Relationship Type="http://schemas.openxmlformats.org/officeDocument/2006/relationships/hyperlink" Id="rId169" Target="https://doi.org/10.1016/j.cell.2014.09.048" TargetMode="External" /><Relationship Type="http://schemas.openxmlformats.org/officeDocument/2006/relationships/hyperlink" Id="rId151" Target="https://doi.org/10.1016/j.ejca.2020.10.031" TargetMode="External" /><Relationship Type="http://schemas.openxmlformats.org/officeDocument/2006/relationships/hyperlink" Id="rId145" Target="https://doi.org/10.1016/j.radonc.2009.04.014" TargetMode="External" /><Relationship Type="http://schemas.openxmlformats.org/officeDocument/2006/relationships/hyperlink" Id="rId101" Target="https://doi.org/10.1016/j.taap.2022.116097" TargetMode="External" /><Relationship Type="http://schemas.openxmlformats.org/officeDocument/2006/relationships/hyperlink" Id="rId95" Target="https://doi.org/10.1016/j.toxlet.2015.06.012" TargetMode="External" /><Relationship Type="http://schemas.openxmlformats.org/officeDocument/2006/relationships/hyperlink" Id="rId165" Target="https://doi.org/10.1016/j.trecan.2019.07.002" TargetMode="External" /><Relationship Type="http://schemas.openxmlformats.org/officeDocument/2006/relationships/hyperlink" Id="rId89" Target="https://doi.org/10.1021/cr980421n" TargetMode="External" /><Relationship Type="http://schemas.openxmlformats.org/officeDocument/2006/relationships/hyperlink" Id="rId161" Target="https://doi.org/10.1038/nrc1318" TargetMode="External" /><Relationship Type="http://schemas.openxmlformats.org/officeDocument/2006/relationships/hyperlink" Id="rId97" Target="https://doi.org/10.1038/nrc2167" TargetMode="External" /><Relationship Type="http://schemas.openxmlformats.org/officeDocument/2006/relationships/hyperlink" Id="rId177" Target="https://doi.org/10.1038/s41419-020-2391-6" TargetMode="External" /><Relationship Type="http://schemas.openxmlformats.org/officeDocument/2006/relationships/hyperlink" Id="rId69" Target="https://doi.org/10.1038/s41467-017-01837-1" TargetMode="External" /><Relationship Type="http://schemas.openxmlformats.org/officeDocument/2006/relationships/hyperlink" Id="rId139" Target="https://doi.org/10.1038/sj.ki.5002786" TargetMode="External" /><Relationship Type="http://schemas.openxmlformats.org/officeDocument/2006/relationships/hyperlink" Id="rId75" Target="https://doi.org/10.1056/NEJMoa031317" TargetMode="External" /><Relationship Type="http://schemas.openxmlformats.org/officeDocument/2006/relationships/hyperlink" Id="rId63" Target="https://doi.org/10.1056/NEJMoa032641" TargetMode="External" /><Relationship Type="http://schemas.openxmlformats.org/officeDocument/2006/relationships/hyperlink" Id="rId73" Target="https://doi.org/10.1056/NEJMoa032646" TargetMode="External" /><Relationship Type="http://schemas.openxmlformats.org/officeDocument/2006/relationships/hyperlink" Id="rId67" Target="https://doi.org/10.1056/NEJMoa053422" TargetMode="External" /><Relationship Type="http://schemas.openxmlformats.org/officeDocument/2006/relationships/hyperlink" Id="rId149" Target="https://doi.org/10.1056/NEJMoa070956" TargetMode="External" /><Relationship Type="http://schemas.openxmlformats.org/officeDocument/2006/relationships/hyperlink" Id="rId173" Target="https://doi.org/10.1056/NEJMoa071028" TargetMode="External" /><Relationship Type="http://schemas.openxmlformats.org/officeDocument/2006/relationships/hyperlink" Id="rId71" Target="https://doi.org/10.1056/NEJMoa1801109" TargetMode="External" /><Relationship Type="http://schemas.openxmlformats.org/officeDocument/2006/relationships/hyperlink" Id="rId93" Target="https://doi.org/10.1073/pnas.0812638106" TargetMode="External" /><Relationship Type="http://schemas.openxmlformats.org/officeDocument/2006/relationships/hyperlink" Id="rId91" Target="https://doi.org/10.1073/pnas.0915085107" TargetMode="External" /><Relationship Type="http://schemas.openxmlformats.org/officeDocument/2006/relationships/hyperlink" Id="rId107" Target="https://doi.org/10.1073/pnas.1106284108" TargetMode="External" /><Relationship Type="http://schemas.openxmlformats.org/officeDocument/2006/relationships/hyperlink" Id="rId109" Target="https://doi.org/10.1073/pnas.1108125108" TargetMode="External" /><Relationship Type="http://schemas.openxmlformats.org/officeDocument/2006/relationships/hyperlink" Id="rId171" Target="https://doi.org/10.1080/07420528.2017.1410090" TargetMode="External" /><Relationship Type="http://schemas.openxmlformats.org/officeDocument/2006/relationships/hyperlink" Id="rId179" Target="https://doi.org/10.1080/07420528.2017.1414072" TargetMode="External" /><Relationship Type="http://schemas.openxmlformats.org/officeDocument/2006/relationships/hyperlink" Id="rId55" Target="https://doi.org/10.1093/annonc/mdw150" TargetMode="External" /><Relationship Type="http://schemas.openxmlformats.org/officeDocument/2006/relationships/hyperlink" Id="rId147" Target="https://doi.org/10.1093/eurheartj/ehr352" TargetMode="External" /><Relationship Type="http://schemas.openxmlformats.org/officeDocument/2006/relationships/hyperlink" Id="rId119" Target="https://doi.org/10.1093/nar/gkr153" TargetMode="External" /><Relationship Type="http://schemas.openxmlformats.org/officeDocument/2006/relationships/hyperlink" Id="rId134" Target="https://doi.org/10.1124/mol.113.089805" TargetMode="External" /><Relationship Type="http://schemas.openxmlformats.org/officeDocument/2006/relationships/hyperlink" Id="rId157" Target="https://doi.org/10.1126/science.abb0738" TargetMode="External" /><Relationship Type="http://schemas.openxmlformats.org/officeDocument/2006/relationships/hyperlink" Id="rId155" Target="https://doi.org/10.1126/scitranslmed.aat8806" TargetMode="External" /><Relationship Type="http://schemas.openxmlformats.org/officeDocument/2006/relationships/hyperlink" Id="rId153" Target="https://doi.org/10.1177/0748730402239679" TargetMode="External" /><Relationship Type="http://schemas.openxmlformats.org/officeDocument/2006/relationships/hyperlink" Id="rId137" Target="https://doi.org/10.1186/s12885-016-2314-0" TargetMode="External" /><Relationship Type="http://schemas.openxmlformats.org/officeDocument/2006/relationships/hyperlink" Id="rId143" Target="https://doi.org/10.1186/s13046-019-1433-3" TargetMode="External" /><Relationship Type="http://schemas.openxmlformats.org/officeDocument/2006/relationships/hyperlink" Id="rId57" Target="https://doi.org/10.1200/JCO.2003.01.008" TargetMode="External" /><Relationship Type="http://schemas.openxmlformats.org/officeDocument/2006/relationships/hyperlink" Id="rId79" Target="https://doi.org/10.1200/JCO.2006.06.1440" TargetMode="External" /><Relationship Type="http://schemas.openxmlformats.org/officeDocument/2006/relationships/hyperlink" Id="rId59" Target="https://doi.org/10.1200/JCO.2010.34.4614" TargetMode="External" /><Relationship Type="http://schemas.openxmlformats.org/officeDocument/2006/relationships/hyperlink" Id="rId132" Target="https://doi.org/10.1200/JCO.2017.74.9457" TargetMode="External" /><Relationship Type="http://schemas.openxmlformats.org/officeDocument/2006/relationships/hyperlink" Id="rId99" Target="https://doi.org/10.1200/JCO.21.01293" TargetMode="External" /><Relationship Type="http://schemas.openxmlformats.org/officeDocument/2006/relationships/hyperlink" Id="rId103" Target="https://doi.org/10.1371/journal.pbio.3001567" TargetMode="External" /><Relationship Type="http://schemas.openxmlformats.org/officeDocument/2006/relationships/hyperlink" Id="rId167" Target="https://doi.org/10.1634/theoncologist.2017-0015" TargetMode="External" /><Relationship Type="http://schemas.openxmlformats.org/officeDocument/2006/relationships/hyperlink" Id="rId87" Target="https://doi.org/10.3109/07853890.2014.916990" TargetMode="External" /><Relationship Type="http://schemas.openxmlformats.org/officeDocument/2006/relationships/hyperlink" Id="rId141" Target="https://doi.org/10.3322/caac.21204" TargetMode="External" /><Relationship Type="http://schemas.openxmlformats.org/officeDocument/2006/relationships/hyperlink" Id="rId113" Target="https://doi.org/10.3390/cancers12061458" TargetMode="External" /><Relationship Type="http://schemas.openxmlformats.org/officeDocument/2006/relationships/hyperlink" Id="rId175" Target="https://doi.org/10.3892/or.18.4.987" TargetMode="External" /><Relationship Type="http://schemas.openxmlformats.org/officeDocument/2006/relationships/hyperlink" Id="rId130" Target="https://www.ncbi.nlm.nih.gov/pubmed/10955784"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02/cam4.2869" TargetMode="External" /><Relationship Type="http://schemas.openxmlformats.org/officeDocument/2006/relationships/hyperlink" Id="rId128" Target="https://doi.org/10.1002/cncr.11040" TargetMode="External" /><Relationship Type="http://schemas.openxmlformats.org/officeDocument/2006/relationships/hyperlink" Id="rId105" Target="https://doi.org/10.1002/cncr.28592" TargetMode="External" /><Relationship Type="http://schemas.openxmlformats.org/officeDocument/2006/relationships/hyperlink" Id="rId61" Target="https://doi.org/10.1002/hed.20279" TargetMode="External" /><Relationship Type="http://schemas.openxmlformats.org/officeDocument/2006/relationships/hyperlink" Id="rId163" Target="https://doi.org/10.1002/hed.24026" TargetMode="External" /><Relationship Type="http://schemas.openxmlformats.org/officeDocument/2006/relationships/hyperlink" Id="rId85" Target="https://doi.org/10.1002/ijc.26270" TargetMode="External" /><Relationship Type="http://schemas.openxmlformats.org/officeDocument/2006/relationships/hyperlink" Id="rId117" Target="https://doi.org/10.1006/taap.1996.8016" TargetMode="External" /><Relationship Type="http://schemas.openxmlformats.org/officeDocument/2006/relationships/hyperlink" Id="rId115" Target="https://doi.org/10.1007/s12032-022-01671-4" TargetMode="External" /><Relationship Type="http://schemas.openxmlformats.org/officeDocument/2006/relationships/hyperlink" Id="rId124" Target="https://doi.org/10.1007/s40620-017-0392-z" TargetMode="External" /><Relationship Type="http://schemas.openxmlformats.org/officeDocument/2006/relationships/hyperlink" Id="rId65" Target="https://doi.org/10.1016/S0002-9440(10)64135-1" TargetMode="External" /><Relationship Type="http://schemas.openxmlformats.org/officeDocument/2006/relationships/hyperlink" Id="rId126" Target="https://doi.org/10.1016/S0140-6736(18)32752-1" TargetMode="External" /><Relationship Type="http://schemas.openxmlformats.org/officeDocument/2006/relationships/hyperlink" Id="rId81" Target="https://doi.org/10.1016/S0140-6736(18)32779-X" TargetMode="External" /><Relationship Type="http://schemas.openxmlformats.org/officeDocument/2006/relationships/hyperlink" Id="rId77" Target="https://doi.org/10.1016/S1470-2045(16)30625-8" TargetMode="External" /><Relationship Type="http://schemas.openxmlformats.org/officeDocument/2006/relationships/hyperlink" Id="rId111" Target="https://doi.org/10.1016/S1470-2045(20)30737-3" TargetMode="External" /><Relationship Type="http://schemas.openxmlformats.org/officeDocument/2006/relationships/hyperlink" Id="rId122" Target="https://doi.org/10.1016/j.annonc.2023.07.003" TargetMode="External" /><Relationship Type="http://schemas.openxmlformats.org/officeDocument/2006/relationships/hyperlink" Id="rId169" Target="https://doi.org/10.1016/j.cell.2014.09.048" TargetMode="External" /><Relationship Type="http://schemas.openxmlformats.org/officeDocument/2006/relationships/hyperlink" Id="rId151" Target="https://doi.org/10.1016/j.ejca.2020.10.031" TargetMode="External" /><Relationship Type="http://schemas.openxmlformats.org/officeDocument/2006/relationships/hyperlink" Id="rId145" Target="https://doi.org/10.1016/j.radonc.2009.04.014" TargetMode="External" /><Relationship Type="http://schemas.openxmlformats.org/officeDocument/2006/relationships/hyperlink" Id="rId101" Target="https://doi.org/10.1016/j.taap.2022.116097" TargetMode="External" /><Relationship Type="http://schemas.openxmlformats.org/officeDocument/2006/relationships/hyperlink" Id="rId95" Target="https://doi.org/10.1016/j.toxlet.2015.06.012" TargetMode="External" /><Relationship Type="http://schemas.openxmlformats.org/officeDocument/2006/relationships/hyperlink" Id="rId165" Target="https://doi.org/10.1016/j.trecan.2019.07.002" TargetMode="External" /><Relationship Type="http://schemas.openxmlformats.org/officeDocument/2006/relationships/hyperlink" Id="rId89" Target="https://doi.org/10.1021/cr980421n" TargetMode="External" /><Relationship Type="http://schemas.openxmlformats.org/officeDocument/2006/relationships/hyperlink" Id="rId161" Target="https://doi.org/10.1038/nrc1318" TargetMode="External" /><Relationship Type="http://schemas.openxmlformats.org/officeDocument/2006/relationships/hyperlink" Id="rId97" Target="https://doi.org/10.1038/nrc2167" TargetMode="External" /><Relationship Type="http://schemas.openxmlformats.org/officeDocument/2006/relationships/hyperlink" Id="rId177" Target="https://doi.org/10.1038/s41419-020-2391-6" TargetMode="External" /><Relationship Type="http://schemas.openxmlformats.org/officeDocument/2006/relationships/hyperlink" Id="rId69" Target="https://doi.org/10.1038/s41467-017-01837-1" TargetMode="External" /><Relationship Type="http://schemas.openxmlformats.org/officeDocument/2006/relationships/hyperlink" Id="rId139" Target="https://doi.org/10.1038/sj.ki.5002786" TargetMode="External" /><Relationship Type="http://schemas.openxmlformats.org/officeDocument/2006/relationships/hyperlink" Id="rId75" Target="https://doi.org/10.1056/NEJMoa031317" TargetMode="External" /><Relationship Type="http://schemas.openxmlformats.org/officeDocument/2006/relationships/hyperlink" Id="rId63" Target="https://doi.org/10.1056/NEJMoa032641" TargetMode="External" /><Relationship Type="http://schemas.openxmlformats.org/officeDocument/2006/relationships/hyperlink" Id="rId73" Target="https://doi.org/10.1056/NEJMoa032646" TargetMode="External" /><Relationship Type="http://schemas.openxmlformats.org/officeDocument/2006/relationships/hyperlink" Id="rId67" Target="https://doi.org/10.1056/NEJMoa053422" TargetMode="External" /><Relationship Type="http://schemas.openxmlformats.org/officeDocument/2006/relationships/hyperlink" Id="rId149" Target="https://doi.org/10.1056/NEJMoa070956" TargetMode="External" /><Relationship Type="http://schemas.openxmlformats.org/officeDocument/2006/relationships/hyperlink" Id="rId173" Target="https://doi.org/10.1056/NEJMoa071028" TargetMode="External" /><Relationship Type="http://schemas.openxmlformats.org/officeDocument/2006/relationships/hyperlink" Id="rId71" Target="https://doi.org/10.1056/NEJMoa1801109" TargetMode="External" /><Relationship Type="http://schemas.openxmlformats.org/officeDocument/2006/relationships/hyperlink" Id="rId93" Target="https://doi.org/10.1073/pnas.0812638106" TargetMode="External" /><Relationship Type="http://schemas.openxmlformats.org/officeDocument/2006/relationships/hyperlink" Id="rId91" Target="https://doi.org/10.1073/pnas.0915085107" TargetMode="External" /><Relationship Type="http://schemas.openxmlformats.org/officeDocument/2006/relationships/hyperlink" Id="rId107" Target="https://doi.org/10.1073/pnas.1106284108" TargetMode="External" /><Relationship Type="http://schemas.openxmlformats.org/officeDocument/2006/relationships/hyperlink" Id="rId109" Target="https://doi.org/10.1073/pnas.1108125108" TargetMode="External" /><Relationship Type="http://schemas.openxmlformats.org/officeDocument/2006/relationships/hyperlink" Id="rId171" Target="https://doi.org/10.1080/07420528.2017.1410090" TargetMode="External" /><Relationship Type="http://schemas.openxmlformats.org/officeDocument/2006/relationships/hyperlink" Id="rId179" Target="https://doi.org/10.1080/07420528.2017.1414072" TargetMode="External" /><Relationship Type="http://schemas.openxmlformats.org/officeDocument/2006/relationships/hyperlink" Id="rId55" Target="https://doi.org/10.1093/annonc/mdw150" TargetMode="External" /><Relationship Type="http://schemas.openxmlformats.org/officeDocument/2006/relationships/hyperlink" Id="rId147" Target="https://doi.org/10.1093/eurheartj/ehr352" TargetMode="External" /><Relationship Type="http://schemas.openxmlformats.org/officeDocument/2006/relationships/hyperlink" Id="rId119" Target="https://doi.org/10.1093/nar/gkr153" TargetMode="External" /><Relationship Type="http://schemas.openxmlformats.org/officeDocument/2006/relationships/hyperlink" Id="rId134" Target="https://doi.org/10.1124/mol.113.089805" TargetMode="External" /><Relationship Type="http://schemas.openxmlformats.org/officeDocument/2006/relationships/hyperlink" Id="rId157" Target="https://doi.org/10.1126/science.abb0738" TargetMode="External" /><Relationship Type="http://schemas.openxmlformats.org/officeDocument/2006/relationships/hyperlink" Id="rId155" Target="https://doi.org/10.1126/scitranslmed.aat8806" TargetMode="External" /><Relationship Type="http://schemas.openxmlformats.org/officeDocument/2006/relationships/hyperlink" Id="rId153" Target="https://doi.org/10.1177/0748730402239679" TargetMode="External" /><Relationship Type="http://schemas.openxmlformats.org/officeDocument/2006/relationships/hyperlink" Id="rId137" Target="https://doi.org/10.1186/s12885-016-2314-0" TargetMode="External" /><Relationship Type="http://schemas.openxmlformats.org/officeDocument/2006/relationships/hyperlink" Id="rId143" Target="https://doi.org/10.1186/s13046-019-1433-3" TargetMode="External" /><Relationship Type="http://schemas.openxmlformats.org/officeDocument/2006/relationships/hyperlink" Id="rId57" Target="https://doi.org/10.1200/JCO.2003.01.008" TargetMode="External" /><Relationship Type="http://schemas.openxmlformats.org/officeDocument/2006/relationships/hyperlink" Id="rId79" Target="https://doi.org/10.1200/JCO.2006.06.1440" TargetMode="External" /><Relationship Type="http://schemas.openxmlformats.org/officeDocument/2006/relationships/hyperlink" Id="rId59" Target="https://doi.org/10.1200/JCO.2010.34.4614" TargetMode="External" /><Relationship Type="http://schemas.openxmlformats.org/officeDocument/2006/relationships/hyperlink" Id="rId132" Target="https://doi.org/10.1200/JCO.2017.74.9457" TargetMode="External" /><Relationship Type="http://schemas.openxmlformats.org/officeDocument/2006/relationships/hyperlink" Id="rId99" Target="https://doi.org/10.1200/JCO.21.01293" TargetMode="External" /><Relationship Type="http://schemas.openxmlformats.org/officeDocument/2006/relationships/hyperlink" Id="rId103" Target="https://doi.org/10.1371/journal.pbio.3001567" TargetMode="External" /><Relationship Type="http://schemas.openxmlformats.org/officeDocument/2006/relationships/hyperlink" Id="rId167" Target="https://doi.org/10.1634/theoncologist.2017-0015" TargetMode="External" /><Relationship Type="http://schemas.openxmlformats.org/officeDocument/2006/relationships/hyperlink" Id="rId87" Target="https://doi.org/10.3109/07853890.2014.916990" TargetMode="External" /><Relationship Type="http://schemas.openxmlformats.org/officeDocument/2006/relationships/hyperlink" Id="rId141" Target="https://doi.org/10.3322/caac.21204" TargetMode="External" /><Relationship Type="http://schemas.openxmlformats.org/officeDocument/2006/relationships/hyperlink" Id="rId113" Target="https://doi.org/10.3390/cancers12061458" TargetMode="External" /><Relationship Type="http://schemas.openxmlformats.org/officeDocument/2006/relationships/hyperlink" Id="rId175" Target="https://doi.org/10.3892/or.18.4.987" TargetMode="External" /><Relationship Type="http://schemas.openxmlformats.org/officeDocument/2006/relationships/hyperlink" Id="rId130" Target="https://www.ncbi.nlm.nih.gov/pubmed/1095578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Cisplatin Timing in Oral and Head-and-Neck Cancer: Organ-Specific Toxicity Mechanisms, Clinical Delivery Constraints, and the Rationale for Chronotherapy</dc:title>
  <dc:creator>[First Author]; [Second Author]; [Third Author]</dc:creator>
  <cp:keywords/>
  <dcterms:created xsi:type="dcterms:W3CDTF">2026-05-25T08:07:23Z</dcterms:created>
  <dcterms:modified xsi:type="dcterms:W3CDTF">2026-05-25T08:07:23Z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Cisplatin-based concurrent chemoradiotherapy is the standard of care for locally advanced oral squamous cell carcinoma (OSCC) and head and neck squamous cell carcinoma (HNSCC), but nephrotoxicity, ototoxicity, oral mucositis, nausea and vomiting, and peripheral neuropathy limit dose delivery in a substantial proportion of patients. These toxicities are organ-specific: each reflects a distinct biology of transporter-mediated platinum uptake, DNA adduct accumulation, repair capacity, and tissue-specific apoptotic response. An emerging body of molecular evidence indicates that several determinants of cisplatin organ toxicity — including OCT2-mediated renal tubular uptake, XPA-dependent nucleotide excision repair activity, glutathione redox buffering, and mucosal epithelial proliferative rate — oscillate with circadian periodicity under the control of the molecular clock. Mechanistic studies, a small OSCC pilot study, and a phase II randomised trial in nasopharyngeal carcinoma support the hypothesis that the circadian time of cisplatin administration modulates toxicity outcomes; however, no chronotherapy study in head-and-neck cancer has been powered for survival, and the sex\timestiming interaction documented in colorectal cancer trials demands sex-stratified design. This review synthesises the organ-specific toxicity mechanisms, circadian timing gates, and clinical evidence relevant to OSCC/HNSCC. We propose a chronotype-aware phase II trial framework in which the primary endpoint is Grade \geq3 mucositis or Grade \geq3 nephrotoxicity within six weeks of first cisplatin, with mandatory sex stratification and prospective circadian function index (CFI) monitoring, as the most defensible near-term translational step.</vt:lpwstr>
  </property>
  <property fmtid="{D5CDD505-2E9C-101B-9397-08002B2CF9AE}" pid="3" name="address">
    <vt:lpwstr/>
  </property>
  <property fmtid="{D5CDD505-2E9C-101B-9397-08002B2CF9AE}" pid="4" name="bibliography">
    <vt:lpwstr>/Users/Arlen/Desktop/oral_review/full_paper/references.bib</vt:lpwstr>
  </property>
</Properties>
</file>