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4A81" w14:textId="77777777" w:rsidR="00251C46" w:rsidRDefault="00000000">
      <w:pPr>
        <w:spacing w:before="200" w:after="40"/>
        <w:jc w:val="center"/>
      </w:pPr>
      <w:r>
        <w:rPr>
          <w:b/>
          <w:bCs/>
          <w:color w:val="1F3864"/>
          <w:sz w:val="56"/>
          <w:szCs w:val="56"/>
        </w:rPr>
        <w:t>LegalOS</w:t>
      </w:r>
    </w:p>
    <w:p w14:paraId="4AEF2588" w14:textId="77777777" w:rsidR="00251C46" w:rsidRDefault="00000000">
      <w:pPr>
        <w:spacing w:after="60"/>
        <w:jc w:val="center"/>
      </w:pPr>
      <w:r>
        <w:rPr>
          <w:b/>
          <w:bCs/>
          <w:color w:val="2E5496"/>
          <w:sz w:val="30"/>
          <w:szCs w:val="30"/>
        </w:rPr>
        <w:t>Functional Requirements Document</w:t>
      </w:r>
    </w:p>
    <w:p w14:paraId="4966B160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1.  Purpose</w:t>
      </w:r>
    </w:p>
    <w:p w14:paraId="03AF8E70" w14:textId="77777777" w:rsidR="00251C46" w:rsidRDefault="00000000">
      <w:pPr>
        <w:spacing w:after="120" w:line="276" w:lineRule="auto"/>
      </w:pPr>
      <w:r>
        <w:t>LegalOS is a single-window system that gives unified visibility across the three Legal teams:</w:t>
      </w:r>
    </w:p>
    <w:p w14:paraId="00F81B0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Litigation &amp; Dispute Management</w:t>
      </w:r>
      <w:r>
        <w:t xml:space="preserve"> — Case Handling, Asset Recovery, and IP Portfolio.</w:t>
      </w:r>
    </w:p>
    <w:p w14:paraId="4930D7AB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Commercial &amp; Risk Management</w:t>
      </w:r>
      <w:r>
        <w:t xml:space="preserve"> — Contracts and Commercial Risk Vetting.</w:t>
      </w:r>
    </w:p>
    <w:p w14:paraId="71CEA0F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Compliance</w:t>
      </w:r>
      <w:r>
        <w:t xml:space="preserve"> — Lease/Loan/Service Agreements, Resolutions &amp; Authorization Letters, and Licenses.</w:t>
      </w:r>
    </w:p>
    <w:p w14:paraId="1F0169D0" w14:textId="77777777" w:rsidR="00251C46" w:rsidRDefault="00000000">
      <w:pPr>
        <w:spacing w:after="120" w:line="276" w:lineRule="auto"/>
      </w:pPr>
      <w:r>
        <w:t xml:space="preserve">For any request, the system must show: </w:t>
      </w:r>
      <w:r>
        <w:rPr>
          <w:b/>
          <w:bCs/>
        </w:rPr>
        <w:t>who raised it</w:t>
      </w:r>
      <w:r>
        <w:t xml:space="preserve">, </w:t>
      </w:r>
      <w:r>
        <w:rPr>
          <w:b/>
          <w:bCs/>
        </w:rPr>
        <w:t>who currently owns it</w:t>
      </w:r>
      <w:r>
        <w:t xml:space="preserve">, </w:t>
      </w:r>
      <w:r>
        <w:rPr>
          <w:b/>
          <w:bCs/>
        </w:rPr>
        <w:t>what stage it is at</w:t>
      </w:r>
      <w:r>
        <w:t xml:space="preserve">, and </w:t>
      </w:r>
      <w:r>
        <w:rPr>
          <w:b/>
          <w:bCs/>
        </w:rPr>
        <w:t>how long it has taken</w:t>
      </w:r>
      <w:r>
        <w:t xml:space="preserve"> — excluding any time the file is parked with another department.</w:t>
      </w:r>
    </w:p>
    <w:p w14:paraId="14451AD2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2.  Master Data</w:t>
      </w:r>
    </w:p>
    <w:p w14:paraId="3A229DFE" w14:textId="77777777" w:rsidR="00251C46" w:rsidRDefault="00000000">
      <w:pPr>
        <w:spacing w:after="120" w:line="276" w:lineRule="auto"/>
      </w:pPr>
      <w:r>
        <w:t>These master tables are configured once and reused across all modules. Values below are examples; the tech team should make them administrable (add / edit / deactivate) rather than hard-coded.</w:t>
      </w:r>
    </w:p>
    <w:tbl>
      <w:tblPr>
        <w:tblW w:w="9020" w:type="dxa"/>
        <w:tblBorders>
          <w:top w:val="single" w:sz="2" w:space="0" w:color="AAB7C9"/>
          <w:left w:val="single" w:sz="2" w:space="0" w:color="AAB7C9"/>
          <w:bottom w:val="single" w:sz="2" w:space="0" w:color="AAB7C9"/>
          <w:right w:val="single" w:sz="2" w:space="0" w:color="AAB7C9"/>
          <w:insideH w:val="single" w:sz="2" w:space="0" w:color="D0D8E4"/>
          <w:insideV w:val="single" w:sz="2" w:space="0" w:color="D0D8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0"/>
      </w:tblGrid>
      <w:tr w:rsidR="00251C46" w14:paraId="468C6109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3D97C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Master Table</w:t>
            </w:r>
          </w:p>
        </w:tc>
        <w:tc>
          <w:tcPr>
            <w:tcW w:w="64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B5D6F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Examples / Values</w:t>
            </w:r>
          </w:p>
        </w:tc>
      </w:tr>
      <w:tr w:rsidR="00251C46" w14:paraId="1175F0DA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37DD3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Requesting Departments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EBC2D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Finance, Admin, HR, Acquisition, Sales &amp; Marketing, Procurement, Operations, IT</w:t>
            </w:r>
          </w:p>
        </w:tc>
      </w:tr>
      <w:tr w:rsidR="00251C46" w14:paraId="48B122F4" w14:textId="77777777">
        <w:tc>
          <w:tcPr>
            <w:tcW w:w="2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5A140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Legal Teams</w:t>
            </w:r>
          </w:p>
        </w:tc>
        <w:tc>
          <w:tcPr>
            <w:tcW w:w="642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80E16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Litigation &amp; Dispute Management, Commercial &amp; Risk Management, Compliance</w:t>
            </w:r>
          </w:p>
        </w:tc>
      </w:tr>
      <w:tr w:rsidR="00251C46" w14:paraId="3DF8CB71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6D6FD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Counterparty / Entity Registry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2746A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Central registry of all counterparties and internal entities (lessor/lessee, lender/borrower, service provider, vendor/payee, registered owner). Selected on every module — never re-typed.</w:t>
            </w:r>
          </w:p>
        </w:tc>
      </w:tr>
      <w:tr w:rsidR="00251C46" w14:paraId="787EBCC3" w14:textId="77777777">
        <w:tc>
          <w:tcPr>
            <w:tcW w:w="2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18C17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Contract Types</w:t>
            </w:r>
          </w:p>
        </w:tc>
        <w:tc>
          <w:tcPr>
            <w:tcW w:w="642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80042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Sale &amp; Purchase, Agreement to Sell, PPA, IT Service Contract, MEP Contract, Construction Contract, Service Agreement, Other</w:t>
            </w:r>
          </w:p>
        </w:tc>
      </w:tr>
      <w:tr w:rsidR="00251C46" w14:paraId="4608D5D8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C8E69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PPA Category (filter, jurisdiction-dependent)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01881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KSA model: Off-Plan Project, Ready Project, Advance-Fee Model Project.  Pakistan model: Medallion Model, Non-Medallion Model</w:t>
            </w:r>
          </w:p>
        </w:tc>
      </w:tr>
      <w:tr w:rsidR="00251C46" w14:paraId="58DFDF7E" w14:textId="77777777">
        <w:tc>
          <w:tcPr>
            <w:tcW w:w="2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09629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Compliance Agreement Types</w:t>
            </w:r>
          </w:p>
        </w:tc>
        <w:tc>
          <w:tcPr>
            <w:tcW w:w="642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D82CE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Lease Agreement, Loan Agreement, Service Agreement</w:t>
            </w:r>
          </w:p>
        </w:tc>
      </w:tr>
      <w:tr w:rsidR="00251C46" w14:paraId="5C6AED12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DC9A1" w14:textId="707463B5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Resolution 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7CEBB3" w14:textId="3370418A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Board Resolution, Partners Resolution</w:t>
            </w:r>
          </w:p>
        </w:tc>
      </w:tr>
      <w:tr w:rsidR="00251C46" w14:paraId="29FF239A" w14:textId="77777777">
        <w:tc>
          <w:tcPr>
            <w:tcW w:w="2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5AA7A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License Types</w:t>
            </w:r>
          </w:p>
        </w:tc>
        <w:tc>
          <w:tcPr>
            <w:tcW w:w="642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9C31E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Configurable, per issuing authority</w:t>
            </w:r>
          </w:p>
        </w:tc>
      </w:tr>
      <w:tr w:rsidR="00251C46" w14:paraId="23F11172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58C49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Workflow Stages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38EFB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Request Raised → Assigned → Drafting → Internal Review → Shared with Intra-Dept → Final Review → Submission / Execution → Closed</w:t>
            </w:r>
          </w:p>
        </w:tc>
      </w:tr>
      <w:tr w:rsidR="00251C46" w14:paraId="2297A8AF" w14:textId="77777777">
        <w:tc>
          <w:tcPr>
            <w:tcW w:w="2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370938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TAT Status</w:t>
            </w:r>
          </w:p>
        </w:tc>
        <w:tc>
          <w:tcPr>
            <w:tcW w:w="642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99C22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Running, Paused (Intra-Dept Hold), Overdue, Closed</w:t>
            </w:r>
          </w:p>
        </w:tc>
      </w:tr>
      <w:tr w:rsidR="00251C46" w14:paraId="72D876F1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EFD5E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Intra-Dept Hold Reasons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AD70A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Awaiting Documents, Awaiting Approval, Awaiting Clarification, Awaiting Signature, Other</w:t>
            </w:r>
          </w:p>
        </w:tc>
      </w:tr>
    </w:tbl>
    <w:p w14:paraId="7557F35C" w14:textId="77777777" w:rsidR="00251C46" w:rsidRDefault="00000000">
      <w:pPr>
        <w:pBdr>
          <w:left w:val="single" w:sz="24" w:space="10" w:color="E0A800"/>
        </w:pBdr>
        <w:shd w:val="clear" w:color="auto" w:fill="FFF6E5"/>
        <w:spacing w:before="60" w:after="140" w:line="276" w:lineRule="auto"/>
      </w:pPr>
      <w:r>
        <w:rPr>
          <w:b/>
          <w:bCs/>
          <w:color w:val="8A6D00"/>
          <w:sz w:val="21"/>
          <w:szCs w:val="21"/>
        </w:rPr>
        <w:t xml:space="preserve">Note:  </w:t>
      </w:r>
      <w:r>
        <w:rPr>
          <w:color w:val="6B5300"/>
          <w:sz w:val="21"/>
          <w:szCs w:val="21"/>
        </w:rPr>
        <w:t>The Counterparty / Entity Registry is added here because it is referenced by every module. Defining it once as master data ensures consistent linking and reporting.</w:t>
      </w:r>
    </w:p>
    <w:p w14:paraId="4A1FFB58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3.  Common Request Fields (all modules)</w:t>
      </w:r>
    </w:p>
    <w:p w14:paraId="47FA409A" w14:textId="77777777" w:rsidR="00251C46" w:rsidRDefault="00000000">
      <w:pPr>
        <w:spacing w:after="120" w:line="276" w:lineRule="auto"/>
      </w:pPr>
      <w:r>
        <w:lastRenderedPageBreak/>
        <w:t>Every request, regardless of module, carries the following fields:</w:t>
      </w:r>
    </w:p>
    <w:p w14:paraId="668D216B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Request ID (auto-generated, unique, team-prefixed)</w:t>
      </w:r>
    </w:p>
    <w:p w14:paraId="4F47FF0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Requesting Department</w:t>
      </w:r>
    </w:p>
    <w:p w14:paraId="180FA4BC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Requested By (name, designation, contact)</w:t>
      </w:r>
    </w:p>
    <w:p w14:paraId="2B2F771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Legal Team</w:t>
      </w:r>
    </w:p>
    <w:p w14:paraId="56F7BEE9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Sub-type (module-specific)</w:t>
      </w:r>
    </w:p>
    <w:p w14:paraId="7963D48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Date Raised</w:t>
      </w:r>
    </w:p>
    <w:p w14:paraId="05DCF76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Current Owner</w:t>
      </w:r>
    </w:p>
    <w:p w14:paraId="090B8196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Current Stage</w:t>
      </w:r>
    </w:p>
    <w:p w14:paraId="19770B3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Priority flag</w:t>
      </w:r>
    </w:p>
    <w:p w14:paraId="06F53D6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TAT Status &amp; Clock (Running / Paused–Intra-Dept / Overdue / Closed)</w:t>
      </w:r>
    </w:p>
    <w:p w14:paraId="09407F4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Linked Google Drive reference</w:t>
      </w:r>
    </w:p>
    <w:p w14:paraId="0A5F230E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Attachments / Version history</w:t>
      </w:r>
    </w:p>
    <w:p w14:paraId="7ED0914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Activity Log (audit trail — who did what, and when)</w:t>
      </w:r>
    </w:p>
    <w:p w14:paraId="2262055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Linked Entity</w:t>
      </w:r>
      <w:r>
        <w:t xml:space="preserve"> — selected from the Counterparty / Entity Registry (Section 2), not re-typed each time.</w:t>
      </w:r>
    </w:p>
    <w:p w14:paraId="2572DB01" w14:textId="77777777" w:rsidR="00251C46" w:rsidRDefault="00000000">
      <w:pPr>
        <w:pBdr>
          <w:left w:val="single" w:sz="24" w:space="10" w:color="E0A800"/>
        </w:pBdr>
        <w:shd w:val="clear" w:color="auto" w:fill="FFF6E5"/>
        <w:spacing w:before="60" w:after="140" w:line="276" w:lineRule="auto"/>
      </w:pPr>
      <w:r>
        <w:rPr>
          <w:b/>
          <w:bCs/>
          <w:color w:val="8A6D00"/>
          <w:sz w:val="21"/>
          <w:szCs w:val="21"/>
        </w:rPr>
        <w:t xml:space="preserve">Note:  </w:t>
      </w:r>
      <w:r>
        <w:rPr>
          <w:color w:val="6B5300"/>
          <w:sz w:val="21"/>
          <w:szCs w:val="21"/>
        </w:rPr>
        <w:t>Cost fields (Section 13) also extend these common fields across all modules.</w:t>
      </w:r>
    </w:p>
    <w:p w14:paraId="42488264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4.  Module: Contracts (Commercial &amp; Risk Management)</w:t>
      </w:r>
    </w:p>
    <w:p w14:paraId="72BF05AD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4.1  Fields</w:t>
      </w:r>
    </w:p>
    <w:p w14:paraId="2549A567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Contract Type</w:t>
      </w:r>
      <w:r>
        <w:t xml:space="preserve"> — dropdown from the master list (Sale &amp; Purchase, Agreement to Sell, PPA, IT Service Contract, MEP Contract, Construction Contract, Service Agreement, Other).</w:t>
      </w:r>
    </w:p>
    <w:p w14:paraId="155B151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PPA Category</w:t>
      </w:r>
      <w:r>
        <w:t xml:space="preserve"> — shown only if Contract Type = PPA. Filterable, jurisdiction-dependent: KSA model → Off-Plan / Ready / Advance-Fee Model Project; Pakistan model → Medallion / Non-Medallion Model.</w:t>
      </w:r>
    </w:p>
    <w:p w14:paraId="624507CB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Template Type</w:t>
      </w:r>
      <w:r>
        <w:t xml:space="preserve"> — Existing Template or New Template. This drives the drafting TAT (see 4.3).</w:t>
      </w:r>
    </w:p>
    <w:p w14:paraId="0D48DAEE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Requesting Department.</w:t>
      </w:r>
    </w:p>
    <w:p w14:paraId="3F038A5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Counterparty</w:t>
      </w:r>
      <w:r>
        <w:t xml:space="preserve"> — selected from the Counterparty / Entity Registry (Section 2).</w:t>
      </w:r>
    </w:p>
    <w:p w14:paraId="05DE2590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Contract value (if applicable).</w:t>
      </w:r>
    </w:p>
    <w:p w14:paraId="3653BA83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Contract term / expiry date.</w:t>
      </w:r>
    </w:p>
    <w:p w14:paraId="45270C1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Renewal flag.</w:t>
      </w:r>
    </w:p>
    <w:p w14:paraId="060748F7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Draft version log.</w:t>
      </w:r>
    </w:p>
    <w:p w14:paraId="6086DC3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Additional Instructions</w:t>
      </w:r>
      <w:r>
        <w:t xml:space="preserve"> — free-text box for request-specific notes. If Contract Type = Other, the requester uses this box to describe the contract.</w:t>
      </w:r>
    </w:p>
    <w:p w14:paraId="30BACB1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Document Attachment</w:t>
      </w:r>
      <w:r>
        <w:t xml:space="preserve"> — upload of supporting / reference documents at request stage.</w:t>
      </w:r>
    </w:p>
    <w:p w14:paraId="090E62DD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4.2  Risk Assessment</w:t>
      </w:r>
    </w:p>
    <w:p w14:paraId="07F37787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Risk Rating (High / Medium / Low), Reviewed By, Notes, and Sign-off Date — required before Submission.</w:t>
      </w:r>
    </w:p>
    <w:p w14:paraId="223D3536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4.3  Workflow</w:t>
      </w:r>
    </w:p>
    <w:p w14:paraId="212F10D1" w14:textId="77777777" w:rsidR="00251C46" w:rsidRDefault="00000000">
      <w:pPr>
        <w:spacing w:after="120" w:line="276" w:lineRule="auto"/>
      </w:pPr>
      <w:r>
        <w:lastRenderedPageBreak/>
        <w:t>Request Raised → Assigned → Drafting → Internal Review → Risk Assessment → [optional: Shared with Intra-Dept — TAT paused] → Final Review → Submission for Signature → Executed / Closed.</w:t>
      </w:r>
    </w:p>
    <w:p w14:paraId="25A4DE3F" w14:textId="77777777" w:rsidR="00251C46" w:rsidRDefault="00000000">
      <w:pPr>
        <w:spacing w:before="150" w:after="70"/>
      </w:pPr>
      <w:r>
        <w:rPr>
          <w:b/>
          <w:bCs/>
          <w:color w:val="595959"/>
        </w:rPr>
        <w:t>Drafting / Review TAT (by Template Type)</w:t>
      </w:r>
    </w:p>
    <w:tbl>
      <w:tblPr>
        <w:tblW w:w="9020" w:type="dxa"/>
        <w:tblBorders>
          <w:top w:val="single" w:sz="2" w:space="0" w:color="AAB7C9"/>
          <w:left w:val="single" w:sz="2" w:space="0" w:color="AAB7C9"/>
          <w:bottom w:val="single" w:sz="2" w:space="0" w:color="AAB7C9"/>
          <w:right w:val="single" w:sz="2" w:space="0" w:color="AAB7C9"/>
          <w:insideH w:val="single" w:sz="2" w:space="0" w:color="D0D8E4"/>
          <w:insideV w:val="single" w:sz="2" w:space="0" w:color="D0D8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3000"/>
        <w:gridCol w:w="3000"/>
      </w:tblGrid>
      <w:tr w:rsidR="00251C46" w14:paraId="44463E54" w14:textId="77777777">
        <w:trPr>
          <w:tblHeader/>
        </w:trPr>
        <w:tc>
          <w:tcPr>
            <w:tcW w:w="30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ED2D4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Template Type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AF4D8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Drafting TAT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FD68B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Review TAT</w:t>
            </w:r>
          </w:p>
        </w:tc>
      </w:tr>
      <w:tr w:rsidR="00251C46" w14:paraId="1364CE80" w14:textId="77777777"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20052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Existing Template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32187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3 days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0A2CC9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2 days</w:t>
            </w:r>
          </w:p>
        </w:tc>
      </w:tr>
      <w:tr w:rsidR="00251C46" w14:paraId="7C15FD61" w14:textId="77777777">
        <w:tc>
          <w:tcPr>
            <w:tcW w:w="302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2AFD0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New Template</w:t>
            </w:r>
          </w:p>
        </w:tc>
        <w:tc>
          <w:tcPr>
            <w:tcW w:w="30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F7198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7 days</w:t>
            </w:r>
          </w:p>
        </w:tc>
        <w:tc>
          <w:tcPr>
            <w:tcW w:w="30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57C15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2 days</w:t>
            </w:r>
          </w:p>
        </w:tc>
      </w:tr>
    </w:tbl>
    <w:p w14:paraId="72A66493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5.  Module: Lease, Loan &amp; Service Agreements (Compliance)</w:t>
      </w:r>
    </w:p>
    <w:p w14:paraId="746D62CB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5.1  Fields</w:t>
      </w:r>
    </w:p>
    <w:p w14:paraId="23740EA4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Agreement Type</w:t>
      </w:r>
      <w:r>
        <w:t xml:space="preserve"> — Lease Agreement / Loan Agreement / Service Agreement.</w:t>
      </w:r>
    </w:p>
    <w:p w14:paraId="36627E06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Requesting Department (Loan → typically Finance; Lease → typically Admin; Service Agreement → varies).</w:t>
      </w:r>
    </w:p>
    <w:p w14:paraId="7B897AD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Counterparty</w:t>
      </w:r>
      <w:r>
        <w:t xml:space="preserve"> — selected from the Counterparty / Entity Registry (lessor/lessee, lender/borrower, or service provider, as applicable).</w:t>
      </w:r>
    </w:p>
    <w:p w14:paraId="643AF2C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Agreement value / principal amount.</w:t>
      </w:r>
    </w:p>
    <w:p w14:paraId="447FD62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Term / expiry date.</w:t>
      </w:r>
    </w:p>
    <w:p w14:paraId="7747F35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Renewal Term, Renewal Due Date, Renewal Status.</w:t>
      </w:r>
    </w:p>
    <w:p w14:paraId="1E4FCBB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Auto-reminders</w:t>
      </w:r>
      <w:r>
        <w:t xml:space="preserve"> — at 30 / 15 / 7 days before expiry.</w:t>
      </w:r>
    </w:p>
    <w:p w14:paraId="764612D9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Responsible owner (drafting and renewal owners may differ over time).</w:t>
      </w:r>
    </w:p>
    <w:p w14:paraId="794E0EF5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5.2  Workflow</w:t>
      </w:r>
    </w:p>
    <w:p w14:paraId="42A0BE39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Drafting</w:t>
      </w:r>
      <w:r>
        <w:t xml:space="preserve"> — Request Raised → Assigned → Drafting → Internal Review → [optional: Intra-Dept hold] → Final Review → Submission for Signature → Executed / Closed.</w:t>
      </w:r>
    </w:p>
    <w:p w14:paraId="2BAE55DE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Renewal</w:t>
      </w:r>
      <w:r>
        <w:t xml:space="preserve"> — Renewal Trigger (system-generated automatically 30 days before Renewal Due Date, no manual tracking) → Assigned → Terms Review → Draft Renewal / Amendment → Internal Review → Submission for Signature → Renewed / Closed.</w:t>
      </w:r>
    </w:p>
    <w:p w14:paraId="5A20F239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6.  Module: Resolutions (Compliance)</w:t>
      </w:r>
    </w:p>
    <w:p w14:paraId="3CF966F9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6.1  Types</w:t>
      </w:r>
    </w:p>
    <w:p w14:paraId="46F0385F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Board Resolution.</w:t>
      </w:r>
    </w:p>
    <w:p w14:paraId="08AF6D2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Partners Resolution.</w:t>
      </w:r>
    </w:p>
    <w:p w14:paraId="4CFB4670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6.2  Fields</w:t>
      </w:r>
    </w:p>
    <w:p w14:paraId="5ECA0549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Requesting Department.</w:t>
      </w:r>
    </w:p>
    <w:p w14:paraId="0739B01E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Purpose.</w:t>
      </w:r>
    </w:p>
    <w:p w14:paraId="4B26264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Urgency</w:t>
      </w:r>
      <w:r>
        <w:t xml:space="preserve"> — Urgent / Normal (tracked per request, distinct from the general Priority flag in Section 3, because Resolutions are reported on separately — see 6.4).</w:t>
      </w:r>
    </w:p>
    <w:p w14:paraId="119707D3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Addressed To / Regulatory Authority (SECP, LESCO, EPA, bank, customs, etc. — configurable).</w:t>
      </w:r>
    </w:p>
    <w:p w14:paraId="6A13EC90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Authorized Person(s) — name, designation, CNIC if required.</w:t>
      </w:r>
    </w:p>
    <w:p w14:paraId="19673206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Resolution Date.</w:t>
      </w:r>
    </w:p>
    <w:p w14:paraId="26F6BE43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lastRenderedPageBreak/>
        <w:t>Uploaded on Resolutions Tracker (Yes/No, upload date, link).</w:t>
      </w:r>
    </w:p>
    <w:p w14:paraId="62EDDF03" w14:textId="77777777" w:rsidR="00251C46" w:rsidRDefault="00000000">
      <w:pPr>
        <w:pBdr>
          <w:left w:val="single" w:sz="24" w:space="10" w:color="E0A800"/>
        </w:pBdr>
        <w:shd w:val="clear" w:color="auto" w:fill="FFF6E5"/>
        <w:spacing w:before="60" w:after="140" w:line="276" w:lineRule="auto"/>
      </w:pPr>
      <w:r>
        <w:rPr>
          <w:b/>
          <w:bCs/>
          <w:color w:val="8A6D00"/>
          <w:sz w:val="21"/>
          <w:szCs w:val="21"/>
        </w:rPr>
        <w:t xml:space="preserve">Note:  </w:t>
      </w:r>
      <w:r>
        <w:rPr>
          <w:color w:val="6B5300"/>
          <w:sz w:val="21"/>
          <w:szCs w:val="21"/>
        </w:rPr>
        <w:t>Partners Resolutions follow the same fields and the same workflow as Board Resolutions.</w:t>
      </w:r>
    </w:p>
    <w:p w14:paraId="5A916BA7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6.3  Workflow</w:t>
      </w:r>
    </w:p>
    <w:p w14:paraId="17DBBF49" w14:textId="77777777" w:rsidR="00251C46" w:rsidRDefault="00000000">
      <w:pPr>
        <w:spacing w:after="120" w:line="276" w:lineRule="auto"/>
      </w:pPr>
      <w:r>
        <w:t>Request Raised → Assigned → Drafting → Review → Finalize &amp; Sign → Upload to Resolutions Tracker (or hand over letter) → Closed.</w:t>
      </w:r>
    </w:p>
    <w:p w14:paraId="64461049" w14:textId="77777777" w:rsidR="00251C46" w:rsidRDefault="00000000">
      <w:pPr>
        <w:spacing w:after="120" w:line="276" w:lineRule="auto"/>
      </w:pPr>
      <w:r>
        <w:rPr>
          <w:b/>
          <w:bCs/>
        </w:rPr>
        <w:t xml:space="preserve">Drafting / Review TAT: </w:t>
      </w:r>
      <w:r>
        <w:t>Drafting — 2 days, Review — 1 day (applies to both General Resolutions and Authorization Resolutions / Authority Letters).</w:t>
      </w:r>
    </w:p>
    <w:p w14:paraId="6EEBA645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6.4  Reporting: Resolutions by Requesting Department</w:t>
      </w:r>
    </w:p>
    <w:p w14:paraId="61569887" w14:textId="77777777" w:rsidR="00251C46" w:rsidRDefault="00000000">
      <w:pPr>
        <w:spacing w:after="120" w:line="276" w:lineRule="auto"/>
      </w:pPr>
      <w:r>
        <w:t>Because resolution requests are frequent and vary widely by department, the dashboard must include a count / breakdown report — number of resolution requests raised, by requesting department, over a selected period — so Compliance can see which departments generate the most volume. This report can also be filtered by Urgency to separate routine load from urgent-request patterns.</w:t>
      </w:r>
    </w:p>
    <w:p w14:paraId="52266FCC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7.  Module: Licenses (Compliance)</w:t>
      </w:r>
    </w:p>
    <w:p w14:paraId="279BCF82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7.1  Fields</w:t>
      </w:r>
    </w:p>
    <w:p w14:paraId="1F74855F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License name / type, Issuing Authority, Entity Name (selected from the Counterparty / Entity Registry, Section 2).</w:t>
      </w:r>
    </w:p>
    <w:p w14:paraId="542D4A8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Issue Date, Renewal Term, Renewal Due Date, Renewal Status.</w:t>
      </w:r>
    </w:p>
    <w:p w14:paraId="68900B2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Responsible owner</w:t>
      </w:r>
      <w:r>
        <w:t xml:space="preserve"> — with auto-reminders at 30 / 15 / 7 days before expiry.</w:t>
      </w:r>
    </w:p>
    <w:p w14:paraId="7908E4A1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7.2  Workflow</w:t>
      </w:r>
    </w:p>
    <w:p w14:paraId="6537F24A" w14:textId="77777777" w:rsidR="00251C46" w:rsidRDefault="00000000">
      <w:pPr>
        <w:spacing w:after="120" w:line="276" w:lineRule="auto"/>
      </w:pPr>
      <w:r>
        <w:t>Renewal Trigger (system-generated automatically 30 days before Renewal Due Date, no manual tracking) → Assigned → Document Collection → Submission to Authority → Awaiting Response → Renewed / Closed.</w:t>
      </w:r>
    </w:p>
    <w:p w14:paraId="2E570030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8.  Module: Litigation &amp; Dispute Management</w:t>
      </w:r>
    </w:p>
    <w:p w14:paraId="5AAEFC37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8.1  Case Handling (Disputes &amp; Litigation)</w:t>
      </w:r>
    </w:p>
    <w:p w14:paraId="060EAE77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Case Number, Case Title, Case Nature, Court, Status (In Progress / Completed), Proceedings, Entity Involved, Last Hearing Date, Next Hearing Date, Filing Date.</w:t>
      </w:r>
    </w:p>
    <w:p w14:paraId="7C47AE9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Company Position</w:t>
      </w:r>
      <w:r>
        <w:t xml:space="preserve"> — Plaintiff / Defendant, Petitioner / Respondent, or Complainant / Respondent.</w:t>
      </w:r>
    </w:p>
    <w:p w14:paraId="6501F33B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Assigned Counsel (internal / external), Financial Recoverable / Financial Exposure (in PKR and USD), Risk Rating, Outcome.</w:t>
      </w:r>
    </w:p>
    <w:p w14:paraId="16DCFB93" w14:textId="77777777" w:rsidR="00251C46" w:rsidRDefault="00000000">
      <w:pPr>
        <w:spacing w:before="150" w:after="70"/>
      </w:pPr>
      <w:r>
        <w:rPr>
          <w:b/>
          <w:bCs/>
          <w:color w:val="595959"/>
        </w:rPr>
        <w:t>Hearing Log (one matter → many hearings)</w:t>
      </w:r>
    </w:p>
    <w:tbl>
      <w:tblPr>
        <w:tblW w:w="9020" w:type="dxa"/>
        <w:tblBorders>
          <w:top w:val="single" w:sz="2" w:space="0" w:color="AAB7C9"/>
          <w:left w:val="single" w:sz="2" w:space="0" w:color="AAB7C9"/>
          <w:bottom w:val="single" w:sz="2" w:space="0" w:color="AAB7C9"/>
          <w:right w:val="single" w:sz="2" w:space="0" w:color="AAB7C9"/>
          <w:insideH w:val="single" w:sz="2" w:space="0" w:color="D0D8E4"/>
          <w:insideV w:val="single" w:sz="2" w:space="0" w:color="D0D8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0"/>
      </w:tblGrid>
      <w:tr w:rsidR="00251C46" w14:paraId="65448DE3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BE169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F35D05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51C46" w14:paraId="5D0F2DE0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42E16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Hearing Date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8B5B1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As scheduled.</w:t>
            </w:r>
          </w:p>
        </w:tc>
      </w:tr>
      <w:tr w:rsidR="00251C46" w14:paraId="2AB643C6" w14:textId="77777777">
        <w:tc>
          <w:tcPr>
            <w:tcW w:w="2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FDDC4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Hearing Type</w:t>
            </w:r>
          </w:p>
        </w:tc>
        <w:tc>
          <w:tcPr>
            <w:tcW w:w="642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B778E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First hearing, arguments, evidence, cross-examination, final arguments.</w:t>
            </w:r>
          </w:p>
        </w:tc>
      </w:tr>
      <w:tr w:rsidR="00251C46" w14:paraId="30B61F05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52DDD2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Attended By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4816D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Internal / external counsel.</w:t>
            </w:r>
          </w:p>
        </w:tc>
      </w:tr>
      <w:tr w:rsidR="00251C46" w14:paraId="35B0AC13" w14:textId="77777777">
        <w:tc>
          <w:tcPr>
            <w:tcW w:w="26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0D649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Outcome / Order</w:t>
            </w:r>
          </w:p>
        </w:tc>
        <w:tc>
          <w:tcPr>
            <w:tcW w:w="642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995B2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What happened or was ordered.</w:t>
            </w:r>
          </w:p>
        </w:tc>
      </w:tr>
      <w:tr w:rsidR="00251C46" w14:paraId="49FF657D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629A5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Next Hearing Date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8897E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Drives the dashboard's “Next Action Due”.</w:t>
            </w:r>
          </w:p>
        </w:tc>
      </w:tr>
    </w:tbl>
    <w:p w14:paraId="65E54785" w14:textId="77777777" w:rsidR="00251C46" w:rsidRDefault="00000000">
      <w:pPr>
        <w:pBdr>
          <w:left w:val="single" w:sz="24" w:space="10" w:color="E0A800"/>
        </w:pBdr>
        <w:shd w:val="clear" w:color="auto" w:fill="FFF6E5"/>
        <w:spacing w:before="60" w:after="140" w:line="276" w:lineRule="auto"/>
      </w:pPr>
      <w:r>
        <w:rPr>
          <w:b/>
          <w:bCs/>
          <w:color w:val="8A6D00"/>
          <w:sz w:val="21"/>
          <w:szCs w:val="21"/>
        </w:rPr>
        <w:lastRenderedPageBreak/>
        <w:t xml:space="preserve">Note:  </w:t>
      </w:r>
      <w:r>
        <w:rPr>
          <w:color w:val="6B5300"/>
          <w:sz w:val="21"/>
          <w:szCs w:val="21"/>
        </w:rPr>
        <w:t>TAT here tracks Internal Task TAT (Legal-controlled steps, e.g. drafting a written statement) rather than total case age, which the courts control.</w:t>
      </w:r>
    </w:p>
    <w:p w14:paraId="4E2FDBCC" w14:textId="6E3D6A70" w:rsidR="002A0A70" w:rsidRPr="002A0A70" w:rsidRDefault="00000000" w:rsidP="002A0A70">
      <w:pPr>
        <w:pStyle w:val="Heading2"/>
        <w:spacing w:before="220" w:after="90"/>
        <w:rPr>
          <w:b/>
          <w:bCs/>
          <w:color w:val="2E5496"/>
          <w:sz w:val="24"/>
          <w:szCs w:val="24"/>
        </w:rPr>
      </w:pPr>
      <w:r>
        <w:rPr>
          <w:b/>
          <w:bCs/>
          <w:color w:val="2E5496"/>
          <w:sz w:val="24"/>
          <w:szCs w:val="24"/>
        </w:rPr>
        <w:t xml:space="preserve">8.2 </w:t>
      </w:r>
      <w:r w:rsidR="002A0A70">
        <w:t xml:space="preserve"> Asset Recovery</w:t>
      </w:r>
    </w:p>
    <w:p w14:paraId="1D1009F0" w14:textId="77777777" w:rsidR="002A0A70" w:rsidRDefault="002A0A70" w:rsidP="002A0A70">
      <w:pPr>
        <w:spacing w:after="80" w:line="259" w:lineRule="auto"/>
        <w:rPr>
          <w:rFonts w:hint="eastAsia"/>
        </w:rPr>
      </w:pPr>
      <w:r>
        <w:t>The module shall capture HR inputs, Admin inputs and Legal recovery inputs in separate field groups to preserve source ownership and accountability.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33"/>
        <w:gridCol w:w="4763"/>
      </w:tblGrid>
      <w:tr w:rsidR="002A0A70" w14:paraId="3172A2E7" w14:textId="77777777" w:rsidTr="00123775">
        <w:trPr>
          <w:tblHeader/>
          <w:jc w:val="center"/>
        </w:trPr>
        <w:tc>
          <w:tcPr>
            <w:tcW w:w="50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9F416" w14:textId="77777777" w:rsidR="002A0A70" w:rsidRDefault="002A0A70" w:rsidP="00123775">
            <w:pPr>
              <w:rPr>
                <w:rFonts w:hint="eastAsia"/>
              </w:rPr>
            </w:pPr>
            <w:r>
              <w:rPr>
                <w:b/>
                <w:sz w:val="18"/>
              </w:rPr>
              <w:t>Input Group</w:t>
            </w:r>
          </w:p>
        </w:tc>
        <w:tc>
          <w:tcPr>
            <w:tcW w:w="50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5B6CD" w14:textId="77777777" w:rsidR="002A0A70" w:rsidRDefault="002A0A70" w:rsidP="00123775">
            <w:pPr>
              <w:rPr>
                <w:rFonts w:hint="eastAsia"/>
              </w:rPr>
            </w:pPr>
            <w:r>
              <w:rPr>
                <w:b/>
                <w:sz w:val="18"/>
              </w:rPr>
              <w:t>Key Fields</w:t>
            </w:r>
          </w:p>
        </w:tc>
      </w:tr>
      <w:tr w:rsidR="002A0A70" w14:paraId="2ABD18DE" w14:textId="77777777" w:rsidTr="00123775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035E3" w14:textId="77777777" w:rsidR="002A0A70" w:rsidRDefault="002A0A70" w:rsidP="00123775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HR Input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00142" w14:textId="77777777" w:rsidR="002A0A70" w:rsidRDefault="002A0A70" w:rsidP="00123775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Employee ID; Name; Region; City; Month; Compliance Date; Joining Date; Last Working Day; Department; Sub-Region; Pending Salary; Provident Fund, if any; Total Payable; Excess Leaves; Overutilized Days; Final Settlement Negative Amount; Show Cause Date; Personnel File Link.</w:t>
            </w:r>
          </w:p>
        </w:tc>
      </w:tr>
      <w:tr w:rsidR="002A0A70" w14:paraId="7954E468" w14:textId="77777777" w:rsidTr="00123775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FD8F6" w14:textId="77777777" w:rsidR="002A0A70" w:rsidRDefault="002A0A70" w:rsidP="00123775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Asset Details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326D0" w14:textId="77777777" w:rsidR="002A0A70" w:rsidRDefault="002A0A70" w:rsidP="00123775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Total Asset Purchase Value (PV); Laptop PV; Mobile PV; Wingle PV; IT Equipment / Accessories; Other Assets.</w:t>
            </w:r>
          </w:p>
        </w:tc>
      </w:tr>
      <w:tr w:rsidR="002A0A70" w14:paraId="7890D282" w14:textId="77777777" w:rsidTr="00123775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B6ABC" w14:textId="77777777" w:rsidR="002A0A70" w:rsidRDefault="002A0A70" w:rsidP="00123775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Admin Input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A7900" w14:textId="77777777" w:rsidR="002A0A70" w:rsidRDefault="002A0A70" w:rsidP="00123775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Laptop Negative Balance; Vehicle Negative Balance; Mobile Negative Balance; Other Admin Inputs.</w:t>
            </w:r>
          </w:p>
        </w:tc>
      </w:tr>
      <w:tr w:rsidR="002A0A70" w14:paraId="036C779C" w14:textId="77777777" w:rsidTr="00123775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8B970" w14:textId="77777777" w:rsidR="002A0A70" w:rsidRDefault="002A0A70" w:rsidP="00123775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Legal Input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EF367" w14:textId="77777777" w:rsidR="002A0A70" w:rsidRDefault="002A0A70" w:rsidP="00123775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Personal Recovery Notes; Issue Date of Vehicle; Price of Vehicle; Total Negative Vehicle Balance; Legal Action; Recovery Date; Assets Received By; Final Comments; TAT; Total Value Recovered.</w:t>
            </w:r>
          </w:p>
        </w:tc>
      </w:tr>
    </w:tbl>
    <w:p w14:paraId="73355032" w14:textId="77777777" w:rsidR="002A0A70" w:rsidRDefault="002A0A70" w:rsidP="002A0A70">
      <w:pPr>
        <w:spacing w:after="40"/>
        <w:rPr>
          <w:rFonts w:hint="eastAsia"/>
        </w:rPr>
      </w:pPr>
    </w:p>
    <w:p w14:paraId="5F5274AA" w14:textId="77777777" w:rsidR="002A0A70" w:rsidRDefault="002A0A70" w:rsidP="002A0A70">
      <w:pPr>
        <w:spacing w:after="80" w:line="259" w:lineRule="auto"/>
        <w:rPr>
          <w:rFonts w:hint="eastAsia"/>
        </w:rPr>
      </w:pPr>
      <w:r>
        <w:t>Legal Action shall support at least: Asset Recovered / Asset Not Recovered / No Action Required.</w:t>
      </w:r>
    </w:p>
    <w:p w14:paraId="73B05167" w14:textId="77777777" w:rsidR="002A0A70" w:rsidRDefault="002A0A70">
      <w:pPr>
        <w:pStyle w:val="Heading2"/>
        <w:spacing w:before="220" w:after="90"/>
      </w:pPr>
    </w:p>
    <w:p w14:paraId="1822FD45" w14:textId="77777777" w:rsidR="00251C46" w:rsidRDefault="00000000">
      <w:pPr>
        <w:spacing w:after="120" w:line="276" w:lineRule="auto"/>
      </w:pPr>
      <w:r>
        <w:t>Asset Recovery cases pull data from three sources — HR, Admin, and Legal. Each field should be tagged with its source so ownership is clear.</w:t>
      </w:r>
    </w:p>
    <w:p w14:paraId="115AEE4D" w14:textId="77777777" w:rsidR="00251C46" w:rsidRDefault="00000000">
      <w:pPr>
        <w:spacing w:before="150" w:after="70"/>
      </w:pPr>
      <w:r>
        <w:rPr>
          <w:b/>
          <w:bCs/>
          <w:color w:val="595959"/>
        </w:rPr>
        <w:t>HR Input</w:t>
      </w:r>
    </w:p>
    <w:p w14:paraId="6874B63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Employee ID, Name, Department; Region (National / North) and Sub-region (Head Office, Central, South); City; Month; Complaint Date; Date of Joining; Last Working Day.</w:t>
      </w:r>
    </w:p>
    <w:p w14:paraId="607F6FA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Excess Leaves, Over-utilized Days, Pending Salary, Provident Fund (if any), Total Payable to Employee, Show-cause Date, Link to Personnel File.</w:t>
      </w:r>
    </w:p>
    <w:p w14:paraId="13EBA720" w14:textId="77777777" w:rsidR="00251C46" w:rsidRDefault="00000000">
      <w:pPr>
        <w:spacing w:before="150" w:after="70"/>
      </w:pPr>
      <w:r>
        <w:rPr>
          <w:b/>
          <w:bCs/>
          <w:color w:val="595959"/>
        </w:rPr>
        <w:t>Asset Valuation (HR / Admin Input)</w:t>
      </w:r>
    </w:p>
    <w:p w14:paraId="52772C59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Total Asset Purchase Value (PV); Laptop PV; Mobile PV; Wingle PV; Other IT Equipment (bag, charger, etc.); Final Settlement (negative amount).</w:t>
      </w:r>
    </w:p>
    <w:p w14:paraId="40ED353D" w14:textId="77777777" w:rsidR="00251C46" w:rsidRDefault="00000000">
      <w:pPr>
        <w:spacing w:before="150" w:after="70"/>
      </w:pPr>
      <w:r>
        <w:rPr>
          <w:b/>
          <w:bCs/>
          <w:color w:val="595959"/>
        </w:rPr>
        <w:t>Admin Input (Vehicle &amp; Mobile)</w:t>
      </w:r>
    </w:p>
    <w:p w14:paraId="6720360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Vehicle negative-balance value; Mobile negative-balance value.</w:t>
      </w:r>
    </w:p>
    <w:p w14:paraId="59C4C431" w14:textId="77777777" w:rsidR="00251C46" w:rsidRDefault="00000000">
      <w:pPr>
        <w:spacing w:before="150" w:after="70"/>
      </w:pPr>
      <w:r>
        <w:rPr>
          <w:b/>
          <w:bCs/>
          <w:color w:val="595959"/>
        </w:rPr>
        <w:t>Legal Input</w:t>
      </w:r>
    </w:p>
    <w:p w14:paraId="6CA760FE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Recovery Officer's personal notes; Status (Pending / Closed).</w:t>
      </w:r>
    </w:p>
    <w:p w14:paraId="6C40DE44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Vehicle Issue Date, Vehicle Price, Total Negative Vehicle Balance.</w:t>
      </w:r>
    </w:p>
    <w:p w14:paraId="0F9BC96C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Legal Action (asset recovered / not recovered / no action required), Recovery Date, Assets Received By, Final Comments.</w:t>
      </w:r>
    </w:p>
    <w:p w14:paraId="668AEB4E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TAT (how long each asset-recovery case took) and Total Value Recovered.</w:t>
      </w:r>
    </w:p>
    <w:p w14:paraId="7A71FC94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8.3  IP Portfolio</w:t>
      </w:r>
    </w:p>
    <w:p w14:paraId="071DE10C" w14:textId="77777777" w:rsidR="006B364E" w:rsidRDefault="006B364E" w:rsidP="006B364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Group IP Portfolio: Mark Name; Mark Image (if any); Country; Classes; Trademark Registration Number; Filing Date; Registration Date; Renewal Due; Status; Sub-Status; Registered Owner; Address; Local Current Counsel.</w:t>
      </w:r>
    </w:p>
    <w:p w14:paraId="204F3186" w14:textId="77777777" w:rsidR="006B364E" w:rsidRDefault="006B364E" w:rsidP="006B364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lastRenderedPageBreak/>
        <w:t>Pending Trademarks: same core fields, with status/sub-status maintained throughout prosecution.</w:t>
      </w:r>
    </w:p>
    <w:p w14:paraId="192BA2F2" w14:textId="77777777" w:rsidR="006B364E" w:rsidRDefault="006B364E" w:rsidP="006B364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Automatic reminders at 30 / 15 / 7 days before renewal.</w:t>
      </w:r>
    </w:p>
    <w:p w14:paraId="3A16D968" w14:textId="77777777" w:rsidR="006B364E" w:rsidRDefault="006B364E" w:rsidP="006B364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Request types shall include New Filing, Renewal and Infringement Action.</w:t>
      </w:r>
    </w:p>
    <w:p w14:paraId="587DD9EC" w14:textId="77777777" w:rsidR="00251C46" w:rsidRDefault="00000000">
      <w:pPr>
        <w:spacing w:after="120" w:line="276" w:lineRule="auto"/>
      </w:pPr>
      <w:r>
        <w:rPr>
          <w:b/>
          <w:bCs/>
        </w:rPr>
        <w:t xml:space="preserve">Workflow: </w:t>
      </w:r>
      <w:r>
        <w:t>Request Raised → Assigned → Drafting / Filing Preparation → Internal Review → Submission to IP Office / Registry → Status (filed / pending application / pending registration / registered / renewed) → Sub-status (accepted / pending examination / published / registered / renewed).</w:t>
      </w:r>
    </w:p>
    <w:p w14:paraId="6F1E21DA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8.4  Developer Disputes (CPML Projects)</w:t>
      </w:r>
    </w:p>
    <w:p w14:paraId="72059058" w14:textId="77777777" w:rsidR="00251C46" w:rsidRDefault="00000000">
      <w:pPr>
        <w:spacing w:after="120" w:line="276" w:lineRule="auto"/>
      </w:pPr>
      <w:r>
        <w:t>Disputes relating to developer matters for CPML projects.</w:t>
      </w:r>
    </w:p>
    <w:p w14:paraId="5A7F6C64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Matter Details, Description / Nature of Dispute, Latest Update, Action Required, Action Taken, Region (e.g. Central), Authorized Person Dealing with the Dispute.</w:t>
      </w:r>
    </w:p>
    <w:p w14:paraId="656E0BDF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8.5  Police Complaints &amp; Notices</w:t>
      </w:r>
    </w:p>
    <w:p w14:paraId="49CA5828" w14:textId="77777777" w:rsidR="00251C46" w:rsidRDefault="00000000">
      <w:pPr>
        <w:spacing w:before="150" w:after="70"/>
      </w:pPr>
      <w:r>
        <w:rPr>
          <w:b/>
          <w:bCs/>
          <w:color w:val="595959"/>
        </w:rPr>
        <w:t>8.5.1  Police Complaints</w:t>
      </w:r>
    </w:p>
    <w:p w14:paraId="72A4D0D1" w14:textId="466C997D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Complaint Type (against ZD-project vendors, ex-employees</w:t>
      </w:r>
      <w:r w:rsidR="00297189">
        <w:t xml:space="preserve"> of any company</w:t>
      </w:r>
      <w:r>
        <w:t>, or ZD buyers), Reason, Complaint Filed By, Authorized Person to File the Complaint, Board Resolution Provided (Yes/No), Concerned Police Station, Date of Complaint, Date of FIR Lodging.</w:t>
      </w:r>
    </w:p>
    <w:p w14:paraId="37EBDD69" w14:textId="77777777" w:rsidR="00251C46" w:rsidRDefault="00000000">
      <w:pPr>
        <w:spacing w:before="150" w:after="70"/>
      </w:pPr>
      <w:r>
        <w:rPr>
          <w:b/>
          <w:bCs/>
          <w:color w:val="595959"/>
        </w:rPr>
        <w:t>8.5.2  Notices</w:t>
      </w:r>
    </w:p>
    <w:p w14:paraId="6E99C5CE" w14:textId="77777777" w:rsidR="00251C46" w:rsidRDefault="00000000">
      <w:pPr>
        <w:spacing w:after="120" w:line="276" w:lineRule="auto"/>
      </w:pPr>
      <w:r>
        <w:t>Two types: (a) notices received from government authorities, and (b) all other notices.</w:t>
      </w:r>
    </w:p>
    <w:p w14:paraId="1C4666AD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Serial Number, Date of Notice, Date of Receipt, Sender Name, Recipient.</w:t>
      </w:r>
    </w:p>
    <w:p w14:paraId="53DDB19F" w14:textId="41DF54B1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Category</w:t>
      </w:r>
      <w:r w:rsidR="00C366AB">
        <w:rPr>
          <w:b/>
          <w:bCs/>
        </w:rPr>
        <w:t xml:space="preserve"> of notices</w:t>
      </w:r>
      <w:r>
        <w:t xml:space="preserve"> — Citizen Portal Notice, Legal Notice, Developer PPA, Hearing Notice / Court Summons, Defamation Notice, IP Infringement, Government Notice, Private Notice.</w:t>
      </w:r>
    </w:p>
    <w:p w14:paraId="7AF3F22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Details of Notice, Status (Reply Required / Reply Received / Reply Submitted), Date of Reply.</w:t>
      </w:r>
    </w:p>
    <w:p w14:paraId="7B9CE63A" w14:textId="77777777" w:rsidR="00251C46" w:rsidRDefault="00000000">
      <w:pPr>
        <w:pBdr>
          <w:left w:val="single" w:sz="24" w:space="10" w:color="E0A800"/>
        </w:pBdr>
        <w:shd w:val="clear" w:color="auto" w:fill="FFF6E5"/>
        <w:spacing w:before="60" w:after="140" w:line="276" w:lineRule="auto"/>
      </w:pPr>
      <w:r>
        <w:rPr>
          <w:b/>
          <w:bCs/>
          <w:color w:val="8A6D00"/>
          <w:sz w:val="21"/>
          <w:szCs w:val="21"/>
        </w:rPr>
        <w:t xml:space="preserve">Note:  </w:t>
      </w:r>
      <w:r>
        <w:rPr>
          <w:color w:val="6B5300"/>
          <w:sz w:val="21"/>
          <w:szCs w:val="21"/>
        </w:rPr>
        <w:t>For standard or recurring notices (e.g. citizen-portal complaints, cease-and-desist, or face-saving notices), the system should auto-generate a response from a stored standard template: it detects the notice type and produces the matching auto-response for review.</w:t>
      </w:r>
    </w:p>
    <w:p w14:paraId="4D394438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8.6  Compliance with Government Authorities</w:t>
      </w:r>
    </w:p>
    <w:p w14:paraId="28FAE9A5" w14:textId="77777777" w:rsidR="00251C46" w:rsidRDefault="00000000">
      <w:pPr>
        <w:spacing w:before="150" w:after="70"/>
      </w:pPr>
      <w:r>
        <w:rPr>
          <w:b/>
          <w:bCs/>
          <w:color w:val="595959"/>
        </w:rPr>
        <w:t>8.6.1  Labour Department</w:t>
      </w:r>
    </w:p>
    <w:p w14:paraId="0FCF32F3" w14:textId="77777777" w:rsidR="00051323" w:rsidRDefault="00051323" w:rsidP="00051323">
      <w:pPr>
        <w:spacing w:after="80" w:line="259" w:lineRule="auto"/>
        <w:rPr>
          <w:rFonts w:hint="eastAsia"/>
        </w:rPr>
      </w:pPr>
      <w:r>
        <w:t>Bi-annual inspections shall be tracked for the relevant offices/entities, including Zameen Media (Head Office, Square One Building, B64 and New Auriga), OLX, Zameen Developments Mega Tower and Dubizzle Mega Tower.</w:t>
      </w:r>
    </w:p>
    <w:p w14:paraId="1AE253E5" w14:textId="77777777" w:rsidR="00051323" w:rsidRDefault="00051323" w:rsidP="00051323">
      <w:pPr>
        <w:pStyle w:val="ListBullet"/>
        <w:spacing w:after="40"/>
        <w:rPr>
          <w:rFonts w:hint="eastAsia"/>
        </w:rPr>
      </w:pPr>
      <w:r>
        <w:t>Inspection Date.</w:t>
      </w:r>
    </w:p>
    <w:p w14:paraId="77B933D5" w14:textId="77777777" w:rsidR="00051323" w:rsidRDefault="00051323" w:rsidP="00051323">
      <w:pPr>
        <w:pStyle w:val="ListBullet"/>
        <w:spacing w:after="40"/>
        <w:rPr>
          <w:rFonts w:hint="eastAsia"/>
        </w:rPr>
      </w:pPr>
      <w:r>
        <w:t>Inspecting Officer Name and Designation.</w:t>
      </w:r>
    </w:p>
    <w:p w14:paraId="170662B3" w14:textId="77777777" w:rsidR="00051323" w:rsidRDefault="00051323" w:rsidP="00051323">
      <w:pPr>
        <w:pStyle w:val="ListBullet"/>
        <w:spacing w:after="40"/>
        <w:rPr>
          <w:rFonts w:hint="eastAsia"/>
        </w:rPr>
      </w:pPr>
      <w:r>
        <w:t>Irregularities Noticed.</w:t>
      </w:r>
    </w:p>
    <w:p w14:paraId="6B052B4A" w14:textId="77777777" w:rsidR="00051323" w:rsidRDefault="00051323" w:rsidP="00051323">
      <w:pPr>
        <w:pStyle w:val="ListBullet"/>
        <w:spacing w:after="40"/>
        <w:rPr>
          <w:rFonts w:hint="eastAsia"/>
        </w:rPr>
      </w:pPr>
      <w:r>
        <w:t>Inspection Book Signed — Yes / No.</w:t>
      </w:r>
    </w:p>
    <w:p w14:paraId="405AB3EA" w14:textId="77777777" w:rsidR="00051323" w:rsidRDefault="00051323" w:rsidP="00051323">
      <w:pPr>
        <w:pStyle w:val="ListBullet"/>
        <w:spacing w:after="40"/>
        <w:rPr>
          <w:rFonts w:hint="eastAsia"/>
        </w:rPr>
      </w:pPr>
      <w:r>
        <w:t>Cost per Office — current year and forthcoming year.</w:t>
      </w:r>
    </w:p>
    <w:p w14:paraId="72B4DF90" w14:textId="77777777" w:rsidR="00051323" w:rsidRDefault="00051323" w:rsidP="00051323">
      <w:pPr>
        <w:pStyle w:val="ListBullet"/>
        <w:spacing w:after="40"/>
        <w:rPr>
          <w:rFonts w:hint="eastAsia"/>
        </w:rPr>
      </w:pPr>
      <w:r>
        <w:t>Cost Reduced — Yes / No.</w:t>
      </w:r>
    </w:p>
    <w:p w14:paraId="64F0E32E" w14:textId="77777777" w:rsidR="00251C46" w:rsidRDefault="00000000">
      <w:pPr>
        <w:spacing w:before="150" w:after="70"/>
      </w:pPr>
      <w:r>
        <w:rPr>
          <w:b/>
          <w:bCs/>
          <w:color w:val="595959"/>
        </w:rPr>
        <w:t>8.6.2  Civil Defence (Fire &amp; Safety)</w:t>
      </w:r>
    </w:p>
    <w:p w14:paraId="08484D3B" w14:textId="77777777" w:rsidR="00251C46" w:rsidRDefault="00000000">
      <w:pPr>
        <w:spacing w:after="120" w:line="276" w:lineRule="auto"/>
      </w:pPr>
      <w:r>
        <w:t>Annual inspection of fire and safety equipment. On compliance, the inspecting officer issues an inspection certificate, and a consultancy fee is payable. Same field heads as the Labour Department inspection above.</w:t>
      </w:r>
    </w:p>
    <w:p w14:paraId="58C78B07" w14:textId="77777777" w:rsidR="00251C46" w:rsidRDefault="00000000">
      <w:pPr>
        <w:pBdr>
          <w:left w:val="single" w:sz="24" w:space="10" w:color="E0A800"/>
        </w:pBdr>
        <w:shd w:val="clear" w:color="auto" w:fill="FFF6E5"/>
        <w:spacing w:before="60" w:after="140" w:line="276" w:lineRule="auto"/>
      </w:pPr>
      <w:r>
        <w:rPr>
          <w:b/>
          <w:bCs/>
          <w:color w:val="8A6D00"/>
          <w:sz w:val="21"/>
          <w:szCs w:val="21"/>
        </w:rPr>
        <w:t xml:space="preserve">Note:  </w:t>
      </w:r>
      <w:r>
        <w:rPr>
          <w:color w:val="6B5300"/>
          <w:sz w:val="21"/>
          <w:szCs w:val="21"/>
        </w:rPr>
        <w:t>Cost analysis is required for both compliance types (Labour and Civil Defence). These figures feed the Cost Dashboard in Section 13.</w:t>
      </w:r>
    </w:p>
    <w:p w14:paraId="7A2D6707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9.  TAT (Turnaround Time) Engine</w:t>
      </w:r>
    </w:p>
    <w:p w14:paraId="3AD66F6E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TAT measures actual Legal working time, not calendar time.</w:t>
      </w:r>
    </w:p>
    <w:p w14:paraId="4F7D9A6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The clock starts on assignment; every stage change is timestamped and logged.</w:t>
      </w:r>
    </w:p>
    <w:p w14:paraId="2099AAF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Intra-Dept Hold</w:t>
      </w:r>
      <w:r>
        <w:t xml:space="preserve"> — when a file is shared with another department (Finance, Admin, HR, etc.) for input, the TAT pauses. The department, sender, and a Hold Reason (from the standard dropdown in Section 2) are recorded rather than free text — keeping hold data analyzable (e.g. spotting that one department consistently causes a specific kind of delay). The clock resumes when the file is received back.</w:t>
      </w:r>
    </w:p>
    <w:p w14:paraId="424103D3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Reported TAT = gross time minus paused time, so delays caused by other departments do not count against Legal.</w:t>
      </w:r>
    </w:p>
    <w:p w14:paraId="533C88AC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SLA thresholds</w:t>
      </w:r>
      <w:r>
        <w:t xml:space="preserve"> — defined per request type, with an early warning near breach. Stage-level SLAs defined so far:</w:t>
      </w:r>
    </w:p>
    <w:p w14:paraId="54541237" w14:textId="77777777" w:rsidR="00251C46" w:rsidRDefault="00000000">
      <w:pPr>
        <w:pStyle w:val="ListParagraph"/>
        <w:numPr>
          <w:ilvl w:val="1"/>
          <w:numId w:val="2"/>
        </w:numPr>
        <w:spacing w:after="70" w:line="268" w:lineRule="auto"/>
      </w:pPr>
      <w:r>
        <w:t>Contracts (Existing Template): Drafting 3 days, Review 2 days.</w:t>
      </w:r>
    </w:p>
    <w:p w14:paraId="384B98C1" w14:textId="77777777" w:rsidR="00251C46" w:rsidRDefault="00000000">
      <w:pPr>
        <w:pStyle w:val="ListParagraph"/>
        <w:numPr>
          <w:ilvl w:val="1"/>
          <w:numId w:val="2"/>
        </w:numPr>
        <w:spacing w:after="70" w:line="268" w:lineRule="auto"/>
      </w:pPr>
      <w:r>
        <w:t>Contracts (New Template): Drafting 7 days, Review 2 days.</w:t>
      </w:r>
    </w:p>
    <w:p w14:paraId="472FF69C" w14:textId="77777777" w:rsidR="00251C46" w:rsidRDefault="00000000">
      <w:pPr>
        <w:pStyle w:val="ListParagraph"/>
        <w:numPr>
          <w:ilvl w:val="1"/>
          <w:numId w:val="2"/>
        </w:numPr>
        <w:spacing w:after="70" w:line="268" w:lineRule="auto"/>
      </w:pPr>
      <w:r>
        <w:t>Resolutions &amp; Authorization Letters: Drafting 2 days, Review 1 day.</w:t>
      </w:r>
    </w:p>
    <w:p w14:paraId="161497FD" w14:textId="77777777" w:rsidR="00251C46" w:rsidRDefault="00000000">
      <w:pPr>
        <w:pStyle w:val="ListParagraph"/>
        <w:numPr>
          <w:ilvl w:val="1"/>
          <w:numId w:val="2"/>
        </w:numPr>
        <w:spacing w:after="70" w:line="268" w:lineRule="auto"/>
      </w:pPr>
      <w:r>
        <w:t>Remaining modules (Lease/Loan/Service, Licenses, Litigation): stage-level SLAs to be assigned the same way once agreed with each team.</w:t>
      </w:r>
    </w:p>
    <w:p w14:paraId="2F178C2B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Every pause / resume is logged with a timestamp and the actor.</w:t>
      </w:r>
    </w:p>
    <w:p w14:paraId="35691D7F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10.  Google Drive / Tracker Integration</w:t>
      </w:r>
    </w:p>
    <w:p w14:paraId="1C9D5CBE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Phase 1</w:t>
      </w:r>
      <w:r>
        <w:t xml:space="preserve"> — every request can link or attach a Google Drive folder or file as a reference — no data sync.</w:t>
      </w:r>
    </w:p>
    <w:p w14:paraId="5BFBA310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Phase 2</w:t>
      </w:r>
      <w:r>
        <w:t xml:space="preserve"> — for well-structured, consistent trackers (e.g. renewal trackers), a read-only Google Sheets sync pulls key fields (dates, statuses) directly rather than requiring double entry.</w:t>
      </w:r>
    </w:p>
    <w:p w14:paraId="5FAB85EF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11.  Single-Window Dashboard</w:t>
      </w:r>
    </w:p>
    <w:p w14:paraId="523E1BF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My Tasks (personal view)</w:t>
      </w:r>
      <w:r>
        <w:t xml:space="preserve"> — every user's landing view — all open items currently assigned to them, across every module, sorted by TAT / SLA urgency. This is the day-to-day working screen, distinct from the team / management views below.</w:t>
      </w:r>
    </w:p>
    <w:p w14:paraId="33C362B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Role-based views</w:t>
      </w:r>
      <w:r>
        <w:t xml:space="preserve"> — team lead sees their team; department head sees their own requests across all Legal teams; management sees the aggregated cross-team view.</w:t>
      </w:r>
    </w:p>
    <w:p w14:paraId="69ADEE39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Filters</w:t>
      </w:r>
      <w:r>
        <w:t xml:space="preserve"> — team, requesting department, stage, TAT status, owner, date range.</w:t>
      </w:r>
    </w:p>
    <w:p w14:paraId="5098FD50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Color-coded TAT status, with paused items shown distinctly.</w:t>
      </w:r>
    </w:p>
    <w:p w14:paraId="183AC287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Drill-down to full activity log and version history.</w:t>
      </w:r>
    </w:p>
    <w:p w14:paraId="21456E1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Cross-team search (subject to the access rules in Section 14).</w:t>
      </w:r>
    </w:p>
    <w:p w14:paraId="7F9C3E6A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12.  Notifications</w:t>
      </w:r>
    </w:p>
    <w:p w14:paraId="28136A36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New request → assigned owner.</w:t>
      </w:r>
    </w:p>
    <w:p w14:paraId="0BDE5D4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Stage change / closure → requesting department.</w:t>
      </w:r>
    </w:p>
    <w:p w14:paraId="6CAD4774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SLA breach → team lead.</w:t>
      </w:r>
    </w:p>
    <w:p w14:paraId="4E9B251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Renewal reminders (Lease/Loan/Service Agreements, Licenses, IP Portfolio).</w:t>
      </w:r>
    </w:p>
    <w:p w14:paraId="30EB28F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lastRenderedPageBreak/>
        <w:t>Reminder to confirm Resolutions Tracker upload once finalized.</w:t>
      </w:r>
    </w:p>
    <w:p w14:paraId="488E7EDD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13.  Cost Tracking &amp; Analysis</w:t>
      </w:r>
    </w:p>
    <w:p w14:paraId="1DA5D1E8" w14:textId="77777777" w:rsidR="00251C46" w:rsidRDefault="00000000">
      <w:pPr>
        <w:spacing w:after="120" w:line="276" w:lineRule="auto"/>
      </w:pPr>
      <w:r>
        <w:rPr>
          <w:i/>
          <w:iCs/>
          <w:color w:val="595959"/>
        </w:rPr>
        <w:t>Added per the Director (Legal) request: the system must track how much is spent per module and per department, and support cost analysis across each department.</w:t>
      </w:r>
    </w:p>
    <w:p w14:paraId="7D728127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13.1  Cost Fields (extend Common Request Fields, Section 3, all modules)</w:t>
      </w:r>
    </w:p>
    <w:p w14:paraId="2CD1A723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Cost Type</w:t>
      </w:r>
      <w:r>
        <w:t xml:space="preserve"> — Internal Effort / External Counsel Fee / Filing &amp; Government Fee / Consultancy Fee / Other.</w:t>
      </w:r>
    </w:p>
    <w:p w14:paraId="0205A7D6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Estimated Cost</w:t>
      </w:r>
      <w:r>
        <w:t xml:space="preserve"> — entered at request stage (optional).</w:t>
      </w:r>
    </w:p>
    <w:p w14:paraId="2E04601C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Actual Cost</w:t>
      </w:r>
      <w:r>
        <w:t xml:space="preserve"> — entered at closure or per invoice.</w:t>
      </w:r>
    </w:p>
    <w:p w14:paraId="78E7E1D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Currency</w:t>
      </w:r>
      <w:r>
        <w:t xml:space="preserve"> — PKR / USD, matching the Financial Exposure convention in Section 8.1.</w:t>
      </w:r>
    </w:p>
    <w:p w14:paraId="72CF295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Vendor / Payee</w:t>
      </w:r>
      <w:r>
        <w:t xml:space="preserve"> — selected from the Counterparty / Entity Registry (Section 2) where applicable.</w:t>
      </w:r>
    </w:p>
    <w:p w14:paraId="10724979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Invoice / Reference Number.</w:t>
      </w:r>
    </w:p>
    <w:p w14:paraId="0B797077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Cost Approved By</w:t>
      </w:r>
      <w:r>
        <w:t xml:space="preserve"> — sign-off, distinct from the Risk Assessment sign-off in Section 4.2.</w:t>
      </w:r>
    </w:p>
    <w:p w14:paraId="4CDC3FF9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Cost Attribution</w:t>
      </w:r>
      <w:r>
        <w:t xml:space="preserve"> — whether the cost sits against Legal's own operating budget or is recharged to the Requesting Department. The requester tags this at raise time.</w:t>
      </w:r>
    </w:p>
    <w:p w14:paraId="388F1CE2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13.2  Module-Specific Cost Notes</w:t>
      </w:r>
    </w:p>
    <w:p w14:paraId="6553D361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Licenses &amp; Resolutions</w:t>
      </w:r>
      <w:r>
        <w:t xml:space="preserve"> — recurring government / regulatory fees — extend both modules with Actual Cost.</w:t>
      </w:r>
    </w:p>
    <w:p w14:paraId="5BE122CD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Compliance Inspections (Section 8.6, Labour &amp; Civil Defence)</w:t>
      </w:r>
      <w:r>
        <w:t xml:space="preserve"> — apply the same Cost fields, plus the year-over-year comparison (current year vs next year, reduced or not) already specified.</w:t>
      </w:r>
    </w:p>
    <w:p w14:paraId="6701084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IP Portfolio</w:t>
      </w:r>
      <w:r>
        <w:t xml:space="preserve"> — filing and renewal fees, tracked per trademark and per country.</w:t>
      </w:r>
    </w:p>
    <w:p w14:paraId="2DA6BA7F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Litigation Case Handling</w:t>
      </w:r>
      <w:r>
        <w:t xml:space="preserve"> — external counsel and court fees, tracked alongside Financial Exposure (Section 8.1) for a full cost-to-recovery view.</w:t>
      </w:r>
    </w:p>
    <w:p w14:paraId="704D70E7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13.3  Cost Dashboard &amp; Reporting</w:t>
      </w:r>
    </w:p>
    <w:p w14:paraId="65F134CB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Cost by Legal Team</w:t>
      </w:r>
      <w:r>
        <w:t xml:space="preserve"> — Litigation, Commercial &amp; Risk, Compliance.</w:t>
      </w:r>
    </w:p>
    <w:p w14:paraId="718338B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Cost by Requesting Department</w:t>
      </w:r>
      <w:r>
        <w:t xml:space="preserve"> — what each business department generates in Legal cost, or is recharged.</w:t>
      </w:r>
    </w:p>
    <w:p w14:paraId="5223D70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Cost by Module</w:t>
      </w:r>
      <w:r>
        <w:t xml:space="preserve"> — Contracts, Lease/Loan/Service, Resolutions, Licenses, Case Handling, IP Portfolio, Asset Recovery.</w:t>
      </w:r>
    </w:p>
    <w:p w14:paraId="43FD7F90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Budget vs Actual</w:t>
      </w:r>
      <w:r>
        <w:t xml:space="preserve"> — filterable by month / quarter / year.</w:t>
      </w:r>
    </w:p>
    <w:p w14:paraId="6F13847C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Period-over-period trend per module</w:t>
      </w:r>
      <w:r>
        <w:t xml:space="preserve"> — mirroring the cost-reduced-or-not comparison required for compliance inspections (Section 8.6).</w:t>
      </w:r>
    </w:p>
    <w:p w14:paraId="5ACE8CB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Export to Excel</w:t>
      </w:r>
      <w:r>
        <w:t xml:space="preserve"> — for Finance.</w:t>
      </w:r>
    </w:p>
    <w:p w14:paraId="40F8680C" w14:textId="77777777" w:rsidR="00251C46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14.  Access Control &amp; Cross-Department Visibility</w:t>
      </w:r>
    </w:p>
    <w:p w14:paraId="14BC76F8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14.1  Principle</w:t>
      </w:r>
    </w:p>
    <w:p w14:paraId="1D2CBD12" w14:textId="77777777" w:rsidR="00251C46" w:rsidRDefault="00000000">
      <w:pPr>
        <w:spacing w:after="120" w:line="276" w:lineRule="auto"/>
      </w:pPr>
      <w:r>
        <w:t xml:space="preserve">Two things are easy to conflate and must be kept separate in the design: </w:t>
      </w:r>
      <w:r>
        <w:rPr>
          <w:b/>
          <w:bCs/>
        </w:rPr>
        <w:t>raising a request to a team</w:t>
      </w:r>
      <w:r>
        <w:t xml:space="preserve">, and </w:t>
      </w:r>
      <w:r>
        <w:rPr>
          <w:b/>
          <w:bCs/>
        </w:rPr>
        <w:t>viewing that team's data</w:t>
      </w:r>
      <w:r>
        <w:t xml:space="preserve">. Any authorized user in any department can always raise a request to any Legal </w:t>
      </w:r>
      <w:r>
        <w:lastRenderedPageBreak/>
        <w:t>team. Viewing is a different, much narrower permission. A Commercial &amp; Risk team member can raise a request to Compliance, but must not be able to browse Compliance's queue, case data, or Litigation's case data — and the same holds in reverse.</w:t>
      </w:r>
    </w:p>
    <w:p w14:paraId="585E1F20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14.2  Raising a Request to Another Department</w:t>
      </w:r>
    </w:p>
    <w:p w14:paraId="2DDCE252" w14:textId="77777777" w:rsidR="00251C46" w:rsidRDefault="00000000">
      <w:pPr>
        <w:spacing w:after="120" w:line="276" w:lineRule="auto"/>
      </w:pPr>
      <w:r>
        <w:t>Any authenticated user, from any business or Legal department, can raise a request through a single “Raise Request” flow:</w:t>
      </w:r>
    </w:p>
    <w:p w14:paraId="0DE33983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Step 1 — </w:t>
      </w:r>
      <w:r>
        <w:t>Select the target Legal Team (Litigation / Commercial &amp; Risk / Compliance).</w:t>
      </w:r>
    </w:p>
    <w:p w14:paraId="6122024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Step 2 — </w:t>
      </w:r>
      <w:r>
        <w:t>Select the Module and Sub-type; the form then shows that module's fields.</w:t>
      </w:r>
    </w:p>
    <w:p w14:paraId="70BE0D4B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Step 3 — </w:t>
      </w:r>
      <w:r>
        <w:t>Complete the Common Request Fields (Section 3), attach documents, and submit.</w:t>
      </w:r>
    </w:p>
    <w:p w14:paraId="4610FC9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 xml:space="preserve">Step 4 — </w:t>
      </w:r>
      <w:r>
        <w:t>The request enters the target team's queue and is auto-assigned per that team's rules. The requester receives a Request ID and can track it under “My Requests.”</w:t>
      </w:r>
    </w:p>
    <w:p w14:paraId="14B720EC" w14:textId="77777777" w:rsidR="00251C46" w:rsidRDefault="00000000">
      <w:pPr>
        <w:spacing w:after="120" w:line="276" w:lineRule="auto"/>
      </w:pPr>
      <w:r>
        <w:t>Legal teams raise inter-team requests the same way (e.g. Litigation asking Compliance to prepare a resolution). The requester's view is always limited to status / stage / owner / TAT of their own request — never the target team's internal notes, risk assessment, or wider queue.</w:t>
      </w:r>
    </w:p>
    <w:p w14:paraId="5076BF12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14.3  Roles &amp; Visibility</w:t>
      </w:r>
    </w:p>
    <w:p w14:paraId="768CFE5C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Requester (any department, any Legal team)</w:t>
      </w:r>
      <w:r>
        <w:t xml:space="preserve"> — can create a request for any module; sees full detail and status of only the requests they personally raised; cannot browse the target team's wider queue.</w:t>
      </w:r>
    </w:p>
    <w:p w14:paraId="1A07140C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Legal Team Member (Litigation / Commercial &amp; Risk / Compliance)</w:t>
      </w:r>
      <w:r>
        <w:t xml:space="preserve"> — full access to all requests within their own team, including requests raised by other departments; no visibility into the other two Legal teams unless a record is explicitly shared.</w:t>
      </w:r>
    </w:p>
    <w:p w14:paraId="1C98D752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Legal Team Lead</w:t>
      </w:r>
      <w:r>
        <w:t xml:space="preserve"> — same as Team Member for their team, plus SLA / TAT reporting for that team.</w:t>
      </w:r>
    </w:p>
    <w:p w14:paraId="2E8918CA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Legal Department Head</w:t>
      </w:r>
      <w:r>
        <w:t xml:space="preserve"> — aggregated cross-team view across all three Legal teams (matches the management view in Section 11).</w:t>
      </w:r>
    </w:p>
    <w:p w14:paraId="5C88D978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Business Department Head (Commercial, Finance, HR, Admin, etc.)</w:t>
      </w:r>
      <w:r>
        <w:t xml:space="preserve"> — sees only their own department's outgoing requests and their status across all Legal teams; no access to other departments' requests or to the receiving team's internal queue.</w:t>
      </w:r>
    </w:p>
    <w:p w14:paraId="090BB381" w14:textId="77777777" w:rsidR="00251C46" w:rsidRDefault="00000000">
      <w:pPr>
        <w:spacing w:before="150" w:after="70"/>
      </w:pPr>
      <w:r>
        <w:rPr>
          <w:b/>
          <w:bCs/>
          <w:color w:val="595959"/>
        </w:rPr>
        <w:t>Permission Matrix</w:t>
      </w:r>
    </w:p>
    <w:tbl>
      <w:tblPr>
        <w:tblW w:w="9020" w:type="dxa"/>
        <w:tblBorders>
          <w:top w:val="single" w:sz="2" w:space="0" w:color="AAB7C9"/>
          <w:left w:val="single" w:sz="2" w:space="0" w:color="AAB7C9"/>
          <w:bottom w:val="single" w:sz="2" w:space="0" w:color="AAB7C9"/>
          <w:right w:val="single" w:sz="2" w:space="0" w:color="AAB7C9"/>
          <w:insideH w:val="single" w:sz="2" w:space="0" w:color="D0D8E4"/>
          <w:insideV w:val="single" w:sz="2" w:space="0" w:color="D0D8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1665"/>
        <w:gridCol w:w="1665"/>
        <w:gridCol w:w="1665"/>
        <w:gridCol w:w="1665"/>
      </w:tblGrid>
      <w:tr w:rsidR="00251C46" w14:paraId="233119AB" w14:textId="77777777">
        <w:trPr>
          <w:tblHeader/>
        </w:trPr>
        <w:tc>
          <w:tcPr>
            <w:tcW w:w="23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2065A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65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A5DCB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Raise request to any team</w:t>
            </w:r>
          </w:p>
        </w:tc>
        <w:tc>
          <w:tcPr>
            <w:tcW w:w="1665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D304D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View own raised requests</w:t>
            </w:r>
          </w:p>
        </w:tc>
        <w:tc>
          <w:tcPr>
            <w:tcW w:w="1665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2E80B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View own Legal team's full queue</w:t>
            </w:r>
          </w:p>
        </w:tc>
        <w:tc>
          <w:tcPr>
            <w:tcW w:w="1665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CC152" w14:textId="77777777" w:rsidR="00251C46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View other Legal teams' data</w:t>
            </w:r>
          </w:p>
        </w:tc>
      </w:tr>
      <w:tr w:rsidR="00251C46" w14:paraId="7DA3D7A6" w14:textId="77777777">
        <w:tc>
          <w:tcPr>
            <w:tcW w:w="2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27569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Requester (business user)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F1124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15D4F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 (status only)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56143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11EB4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251C46" w14:paraId="69DFCDB7" w14:textId="77777777">
        <w:tc>
          <w:tcPr>
            <w:tcW w:w="23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4E99A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Legal Team Member</w:t>
            </w:r>
          </w:p>
        </w:tc>
        <w:tc>
          <w:tcPr>
            <w:tcW w:w="1665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27ACF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65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E2413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65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AD4AD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 (own team)</w:t>
            </w:r>
          </w:p>
        </w:tc>
        <w:tc>
          <w:tcPr>
            <w:tcW w:w="1665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3DE0A5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251C46" w14:paraId="427F0850" w14:textId="77777777">
        <w:tc>
          <w:tcPr>
            <w:tcW w:w="2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3D306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Legal Team Lead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37C73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A1781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46D88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 (own team) + SLA/TAT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AC0B1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251C46" w14:paraId="7347BAA4" w14:textId="77777777">
        <w:tc>
          <w:tcPr>
            <w:tcW w:w="23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EBFE1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Legal Department Head</w:t>
            </w:r>
          </w:p>
        </w:tc>
        <w:tc>
          <w:tcPr>
            <w:tcW w:w="1665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C3D3E9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65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55BD4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65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080BF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 (all teams)</w:t>
            </w:r>
          </w:p>
        </w:tc>
        <w:tc>
          <w:tcPr>
            <w:tcW w:w="1665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80A15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 (aggregated)</w:t>
            </w:r>
          </w:p>
        </w:tc>
      </w:tr>
      <w:tr w:rsidR="00251C46" w14:paraId="3CD92F9A" w14:textId="77777777">
        <w:tc>
          <w:tcPr>
            <w:tcW w:w="2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01ED0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Business Department Head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AE781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026D1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Yes (own dept only)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DE96E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66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10211" w14:textId="77777777" w:rsidR="00251C46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7303F04C" w14:textId="77777777" w:rsidR="00251C46" w:rsidRDefault="00000000">
      <w:pPr>
        <w:pStyle w:val="Heading2"/>
        <w:spacing w:before="220" w:after="90"/>
      </w:pPr>
      <w:r>
        <w:rPr>
          <w:b/>
          <w:bCs/>
          <w:color w:val="2E5496"/>
          <w:sz w:val="24"/>
          <w:szCs w:val="24"/>
        </w:rPr>
        <w:t>14.4  Enforcement Mechanism (for Tech Team)</w:t>
      </w:r>
    </w:p>
    <w:p w14:paraId="79268D24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Row-level security</w:t>
      </w:r>
      <w:r>
        <w:t xml:space="preserve"> — keyed on two fields already in the schema: Legal Team (owning team) and Requesting Department (originating department).</w:t>
      </w:r>
    </w:p>
    <w:p w14:paraId="57018FE5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Each user session carries their Legal Team membership (if any) and their Business Department.</w:t>
      </w:r>
    </w:p>
    <w:p w14:paraId="71FA1ABB" w14:textId="77777777" w:rsidR="00251C46" w:rsidRDefault="00000000">
      <w:pPr>
        <w:spacing w:after="120" w:line="276" w:lineRule="auto"/>
      </w:pPr>
      <w:r>
        <w:rPr>
          <w:b/>
          <w:bCs/>
        </w:rPr>
        <w:lastRenderedPageBreak/>
        <w:t>Filter logic:</w:t>
      </w:r>
    </w:p>
    <w:p w14:paraId="22E07045" w14:textId="77777777" w:rsidR="00251C46" w:rsidRDefault="00000000">
      <w:pPr>
        <w:pStyle w:val="ListParagraph"/>
        <w:numPr>
          <w:ilvl w:val="1"/>
          <w:numId w:val="2"/>
        </w:numPr>
        <w:spacing w:after="70" w:line="268" w:lineRule="auto"/>
      </w:pPr>
      <w:r>
        <w:t>If user's Legal Team = record's Legal Team → the full record is visible.</w:t>
      </w:r>
    </w:p>
    <w:p w14:paraId="173FD61E" w14:textId="77777777" w:rsidR="00251C46" w:rsidRDefault="00000000">
      <w:pPr>
        <w:pStyle w:val="ListParagraph"/>
        <w:numPr>
          <w:ilvl w:val="1"/>
          <w:numId w:val="2"/>
        </w:numPr>
        <w:spacing w:after="70" w:line="268" w:lineRule="auto"/>
      </w:pPr>
      <w:r>
        <w:t>Else if user's Business Department = record's Requesting Department → the record is visible only in the user's own “My Requests” view, showing status / stage / owner / TAT, but not internal notes, Risk Assessment, or internal Activity Log entries.</w:t>
      </w:r>
    </w:p>
    <w:p w14:paraId="07060894" w14:textId="77777777" w:rsidR="00251C46" w:rsidRDefault="00000000">
      <w:pPr>
        <w:pStyle w:val="ListParagraph"/>
        <w:numPr>
          <w:ilvl w:val="1"/>
          <w:numId w:val="2"/>
        </w:numPr>
        <w:spacing w:after="70" w:line="268" w:lineRule="auto"/>
      </w:pPr>
      <w:r>
        <w:t>Otherwise → the record is not visible or searchable.</w:t>
      </w:r>
    </w:p>
    <w:p w14:paraId="0D83DAC7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Cross-team search (Section 11) must respect this same filter rather than acting as a bypass.</w:t>
      </w:r>
    </w:p>
    <w:p w14:paraId="166CC2F0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t>Internal fields (risk notes, internal review comments) should be flaggable as team-internal, so they are excluded even from the requester's own-request view.</w:t>
      </w:r>
    </w:p>
    <w:p w14:paraId="657F1EF7" w14:textId="77777777" w:rsidR="00251C46" w:rsidRDefault="00000000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</w:rPr>
        <w:t>Recommendation</w:t>
      </w:r>
      <w:r>
        <w:t xml:space="preserve"> — implement this as roles / claims in the identity layer (an internal RBAC table or AD groups) rather than hard-coded per-module logic, so adding a new team or department later does not require a code change.</w:t>
      </w:r>
    </w:p>
    <w:p w14:paraId="54A868A9" w14:textId="749126F2" w:rsidR="00251C46" w:rsidRDefault="00251C46">
      <w:pPr>
        <w:spacing w:after="120" w:line="276" w:lineRule="auto"/>
      </w:pPr>
    </w:p>
    <w:sectPr w:rsidR="00251C46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A223" w14:textId="77777777" w:rsidR="0003325E" w:rsidRDefault="0003325E">
      <w:r>
        <w:separator/>
      </w:r>
    </w:p>
  </w:endnote>
  <w:endnote w:type="continuationSeparator" w:id="0">
    <w:p w14:paraId="6A372153" w14:textId="77777777" w:rsidR="0003325E" w:rsidRDefault="00033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E73B" w14:textId="77777777" w:rsidR="00251C46" w:rsidRDefault="00000000">
    <w:pPr>
      <w:pBdr>
        <w:top w:val="single" w:sz="4" w:space="4" w:color="C9D3E2"/>
      </w:pBdr>
      <w:jc w:val="center"/>
    </w:pPr>
    <w:r>
      <w:rPr>
        <w:color w:val="595959"/>
        <w:sz w:val="16"/>
        <w:szCs w:val="16"/>
      </w:rPr>
      <w:t xml:space="preserve">Confidential — Legal Department  ·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9718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9718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12C6" w14:textId="77777777" w:rsidR="0003325E" w:rsidRDefault="0003325E">
      <w:r>
        <w:separator/>
      </w:r>
    </w:p>
  </w:footnote>
  <w:footnote w:type="continuationSeparator" w:id="0">
    <w:p w14:paraId="252467AC" w14:textId="77777777" w:rsidR="0003325E" w:rsidRDefault="00033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D6B0A" w14:textId="77777777" w:rsidR="00251C46" w:rsidRDefault="00000000">
    <w:pPr>
      <w:pBdr>
        <w:bottom w:val="single" w:sz="4" w:space="4" w:color="C9D3E2"/>
      </w:pBdr>
      <w:spacing w:after="40"/>
      <w:jc w:val="right"/>
    </w:pPr>
    <w:r>
      <w:rPr>
        <w:color w:val="595959"/>
        <w:sz w:val="16"/>
        <w:szCs w:val="16"/>
      </w:rPr>
      <w:t>LegalOS — Functional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94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B7D5AAD"/>
    <w:multiLevelType w:val="hybridMultilevel"/>
    <w:tmpl w:val="B37AF854"/>
    <w:lvl w:ilvl="0" w:tplc="5318343A">
      <w:start w:val="1"/>
      <w:numFmt w:val="bullet"/>
      <w:lvlText w:val="•"/>
      <w:lvlJc w:val="left"/>
      <w:pPr>
        <w:ind w:left="380" w:hanging="220"/>
      </w:pPr>
      <w:rPr>
        <w:color w:val="2E5496"/>
      </w:rPr>
    </w:lvl>
    <w:lvl w:ilvl="1" w:tplc="FDC2A2AC">
      <w:start w:val="1"/>
      <w:numFmt w:val="bullet"/>
      <w:lvlText w:val="–"/>
      <w:lvlJc w:val="left"/>
      <w:pPr>
        <w:ind w:left="760" w:hanging="220"/>
      </w:pPr>
      <w:rPr>
        <w:color w:val="2E5496"/>
      </w:rPr>
    </w:lvl>
    <w:lvl w:ilvl="2" w:tplc="2CD0B70C">
      <w:numFmt w:val="decimal"/>
      <w:lvlText w:val=""/>
      <w:lvlJc w:val="left"/>
    </w:lvl>
    <w:lvl w:ilvl="3" w:tplc="E08E48CC">
      <w:numFmt w:val="decimal"/>
      <w:lvlText w:val=""/>
      <w:lvlJc w:val="left"/>
    </w:lvl>
    <w:lvl w:ilvl="4" w:tplc="37760580">
      <w:numFmt w:val="decimal"/>
      <w:lvlText w:val=""/>
      <w:lvlJc w:val="left"/>
    </w:lvl>
    <w:lvl w:ilvl="5" w:tplc="6AA01AD4">
      <w:numFmt w:val="decimal"/>
      <w:lvlText w:val=""/>
      <w:lvlJc w:val="left"/>
    </w:lvl>
    <w:lvl w:ilvl="6" w:tplc="A13E74D2">
      <w:numFmt w:val="decimal"/>
      <w:lvlText w:val=""/>
      <w:lvlJc w:val="left"/>
    </w:lvl>
    <w:lvl w:ilvl="7" w:tplc="2FA889A2">
      <w:numFmt w:val="decimal"/>
      <w:lvlText w:val=""/>
      <w:lvlJc w:val="left"/>
    </w:lvl>
    <w:lvl w:ilvl="8" w:tplc="97A61F7E">
      <w:numFmt w:val="decimal"/>
      <w:lvlText w:val=""/>
      <w:lvlJc w:val="left"/>
    </w:lvl>
  </w:abstractNum>
  <w:abstractNum w:abstractNumId="2" w15:restartNumberingAfterBreak="0">
    <w:nsid w:val="79AA4300"/>
    <w:multiLevelType w:val="hybridMultilevel"/>
    <w:tmpl w:val="4378D2C0"/>
    <w:lvl w:ilvl="0" w:tplc="C9F44326">
      <w:start w:val="1"/>
      <w:numFmt w:val="bullet"/>
      <w:lvlText w:val="●"/>
      <w:lvlJc w:val="left"/>
      <w:pPr>
        <w:ind w:left="720" w:hanging="360"/>
      </w:pPr>
    </w:lvl>
    <w:lvl w:ilvl="1" w:tplc="7DF49F86">
      <w:start w:val="1"/>
      <w:numFmt w:val="bullet"/>
      <w:lvlText w:val="○"/>
      <w:lvlJc w:val="left"/>
      <w:pPr>
        <w:ind w:left="1440" w:hanging="360"/>
      </w:pPr>
    </w:lvl>
    <w:lvl w:ilvl="2" w:tplc="4C62BE32">
      <w:start w:val="1"/>
      <w:numFmt w:val="bullet"/>
      <w:lvlText w:val="■"/>
      <w:lvlJc w:val="left"/>
      <w:pPr>
        <w:ind w:left="2160" w:hanging="360"/>
      </w:pPr>
    </w:lvl>
    <w:lvl w:ilvl="3" w:tplc="0EC607C4">
      <w:start w:val="1"/>
      <w:numFmt w:val="bullet"/>
      <w:lvlText w:val="●"/>
      <w:lvlJc w:val="left"/>
      <w:pPr>
        <w:ind w:left="2880" w:hanging="360"/>
      </w:pPr>
    </w:lvl>
    <w:lvl w:ilvl="4" w:tplc="2D28CA8C">
      <w:start w:val="1"/>
      <w:numFmt w:val="bullet"/>
      <w:lvlText w:val="○"/>
      <w:lvlJc w:val="left"/>
      <w:pPr>
        <w:ind w:left="3600" w:hanging="360"/>
      </w:pPr>
    </w:lvl>
    <w:lvl w:ilvl="5" w:tplc="17B25DB6">
      <w:start w:val="1"/>
      <w:numFmt w:val="bullet"/>
      <w:lvlText w:val="■"/>
      <w:lvlJc w:val="left"/>
      <w:pPr>
        <w:ind w:left="4320" w:hanging="360"/>
      </w:pPr>
    </w:lvl>
    <w:lvl w:ilvl="6" w:tplc="7D825D96">
      <w:start w:val="1"/>
      <w:numFmt w:val="bullet"/>
      <w:lvlText w:val="●"/>
      <w:lvlJc w:val="left"/>
      <w:pPr>
        <w:ind w:left="5040" w:hanging="360"/>
      </w:pPr>
    </w:lvl>
    <w:lvl w:ilvl="7" w:tplc="A40E5194">
      <w:start w:val="1"/>
      <w:numFmt w:val="bullet"/>
      <w:lvlText w:val="●"/>
      <w:lvlJc w:val="left"/>
      <w:pPr>
        <w:ind w:left="5760" w:hanging="360"/>
      </w:pPr>
    </w:lvl>
    <w:lvl w:ilvl="8" w:tplc="EB54918C">
      <w:start w:val="1"/>
      <w:numFmt w:val="bullet"/>
      <w:lvlText w:val="●"/>
      <w:lvlJc w:val="left"/>
      <w:pPr>
        <w:ind w:left="6480" w:hanging="360"/>
      </w:pPr>
    </w:lvl>
  </w:abstractNum>
  <w:num w:numId="1" w16cid:durableId="103115221">
    <w:abstractNumId w:val="2"/>
    <w:lvlOverride w:ilvl="0">
      <w:startOverride w:val="1"/>
    </w:lvlOverride>
  </w:num>
  <w:num w:numId="2" w16cid:durableId="449013052">
    <w:abstractNumId w:val="1"/>
    <w:lvlOverride w:ilvl="0">
      <w:startOverride w:val="1"/>
    </w:lvlOverride>
  </w:num>
  <w:num w:numId="3" w16cid:durableId="155603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46"/>
    <w:rsid w:val="0003325E"/>
    <w:rsid w:val="00051323"/>
    <w:rsid w:val="001E0415"/>
    <w:rsid w:val="0022741B"/>
    <w:rsid w:val="00251C46"/>
    <w:rsid w:val="00297189"/>
    <w:rsid w:val="002A0A70"/>
    <w:rsid w:val="004242E6"/>
    <w:rsid w:val="00443D7B"/>
    <w:rsid w:val="004D555A"/>
    <w:rsid w:val="005D3CC0"/>
    <w:rsid w:val="006B364E"/>
    <w:rsid w:val="006C0CC4"/>
    <w:rsid w:val="00716E97"/>
    <w:rsid w:val="00A971CB"/>
    <w:rsid w:val="00C366AB"/>
    <w:rsid w:val="00EC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F436"/>
  <w15:docId w15:val="{6270B6F1-A6DF-4E20-85CE-3B3EAB4D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2A0A70"/>
    <w:rPr>
      <w:rFonts w:asciiTheme="minorHAnsi" w:eastAsiaTheme="minorEastAsia" w:hAnsiTheme="minorHAnsi" w:cstheme="minorBidi"/>
      <w:color w:val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6B364E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 w:cstheme="minorBidi"/>
      <w:color w:val="auto"/>
      <w:sz w:val="19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3200</Words>
  <Characters>18244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LegalOS — Functional Requirements Document</vt:lpstr>
    </vt:vector>
  </TitlesOfParts>
  <Company/>
  <LinksUpToDate>false</LinksUpToDate>
  <CharactersWithSpaces>21402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LegalOS — Functional Requirements Document</dc:title>
  <dc:creator>Legal Department</dc:creator>
  <cp:lastModifiedBy>Sana Hurmat</cp:lastModifiedBy>
  <cp:revision>9</cp:revision>
  <dcterms:created xsi:type="dcterms:W3CDTF">2026-08-07T13:23:00Z</dcterms:created>
  <dcterms:modified xsi:type="dcterms:W3CDTF">2026-08-07T13:23:00Z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99d72ef4-20c6-40b7-8fad-58ac92276b02</vt:lpwstr>
  </property>
</Properties>
</file>