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D7A3F"/>
          <w:sz w:val="52"/>
        </w:rPr>
        <w:t>LegalOS — The Complete Team Guide</w:t>
      </w:r>
    </w:p>
    <w:p>
      <w:pPr>
        <w:spacing w:after="40"/>
      </w:pPr>
      <w:r>
        <w:rPr>
          <w:b w:val="0"/>
          <w:i w:val="0"/>
          <w:color w:val="4C655A"/>
          <w:sz w:val="24"/>
        </w:rPr>
        <w:t>Everything the OS can do, and what each module is capable of.</w:t>
      </w:r>
    </w:p>
    <w:p>
      <w:pPr>
        <w:spacing w:after="240"/>
      </w:pPr>
      <w:r>
        <w:rPr>
          <w:b w:val="0"/>
          <w:i/>
          <w:color w:val="4C655A"/>
          <w:sz w:val="19"/>
        </w:rPr>
        <w:t>For the Legal department and the business teams that raise work to it. All data currently in the system is fictional demo data shaped like our real work (KSA + Pakistan, real-estate group); the structure is what is being reviewed.</w:t>
      </w:r>
    </w:p>
    <w:p>
      <w:pPr>
        <w:pStyle w:val="Heading1"/>
      </w:pPr>
      <w:r>
        <w:t>1. What LegalOS is</w:t>
      </w:r>
    </w:p>
    <w:p>
      <w:pPr>
        <w:spacing w:after="120"/>
      </w:pPr>
      <w:r>
        <w:rPr>
          <w:b w:val="0"/>
          <w:i w:val="0"/>
        </w:rPr>
        <w:t>LegalOS is a single window for every piece of legal work in the group. The business raises a request once, through one front door; the request lands in the right Legal team's queue, gets an owner automatically, and moves through a fixed, visible workflow until it is closed. At any moment, anyone entitled to look can see: who raised it, who owns it, what stage it is at, and how long it has genuinely taken — excluding time the file sat with other departments.</w:t>
      </w:r>
    </w:p>
    <w:p>
      <w:pPr>
        <w:spacing w:after="120"/>
      </w:pPr>
      <w:r>
        <w:rPr>
          <w:b w:val="0"/>
          <w:i w:val="0"/>
        </w:rPr>
        <w:t>The department is organised as three Legal teams operating thirteen modules:</w:t>
      </w:r>
    </w:p>
    <w:p>
      <w:pPr>
        <w:pStyle w:val="ListBullet"/>
        <w:spacing w:after="60"/>
      </w:pPr>
      <w:r>
        <w:rPr>
          <w:b/>
        </w:rPr>
        <w:t xml:space="preserve">Litigation &amp; Dispute Management (LIT) — </w:t>
      </w:r>
      <w:r>
        <w:t>Case Handling, Asset Recovery, IP Portfolio, Developer Disputes, Police Complaints, Notices, Govt Inspections</w:t>
      </w:r>
    </w:p>
    <w:p>
      <w:pPr>
        <w:pStyle w:val="ListBullet"/>
        <w:spacing w:after="60"/>
      </w:pPr>
      <w:r>
        <w:rPr>
          <w:b/>
        </w:rPr>
        <w:t xml:space="preserve">Commercial &amp; Risk Management (CRM) — </w:t>
      </w:r>
      <w:r>
        <w:t>Contracts, Risk Vetting</w:t>
      </w:r>
    </w:p>
    <w:p>
      <w:pPr>
        <w:pStyle w:val="ListBullet"/>
        <w:spacing w:after="60"/>
      </w:pPr>
      <w:r>
        <w:rPr>
          <w:b/>
        </w:rPr>
        <w:t xml:space="preserve">Compliance (CMP) — </w:t>
      </w:r>
      <w:r>
        <w:t>Lease/Loan/Service Agreements, Resolutions, License Renewals, SECP Filings</w:t>
      </w:r>
    </w:p>
    <w:p>
      <w:pPr>
        <w:spacing w:after="120"/>
      </w:pPr>
      <w:r>
        <w:rPr>
          <w:b w:val="0"/>
          <w:i w:val="0"/>
        </w:rPr>
        <w:t>Every record carries a team-prefixed reference (LIT-0001, CRM-0007, CMP-0020) and one shared envelope: requester and department, linked entity, owner, stage, priority, dates, the TAT clock, a Google Drive reference, attachments, a two-way conversation, cost lines, and a complete activity log of who did what and when.</w:t>
      </w:r>
    </w:p>
    <w:p>
      <w:pPr>
        <w:pStyle w:val="Heading1"/>
      </w:pPr>
      <w:r>
        <w:t>2. How work flows, end to end</w:t>
      </w:r>
    </w:p>
    <w:p>
      <w:pPr>
        <w:pStyle w:val="ListBullet"/>
        <w:spacing w:after="60"/>
      </w:pPr>
      <w:r>
        <w:rPr>
          <w:b/>
        </w:rPr>
        <w:t xml:space="preserve">Raise. </w:t>
      </w:r>
      <w:r>
        <w:t>Any user — business or legal — opens Raise Request, picks the team, picks the module, and fills that module's form. Required documents and an estimated cost (with attribution) are captured up front.</w:t>
      </w:r>
    </w:p>
    <w:p>
      <w:pPr>
        <w:pStyle w:val="ListBullet"/>
        <w:spacing w:after="60"/>
      </w:pPr>
      <w:r>
        <w:rPr>
          <w:b/>
        </w:rPr>
        <w:t xml:space="preserve">Auto-assign. </w:t>
      </w:r>
      <w:r>
        <w:t>The request is assigned to the least-loaded member of the owning team, instantly. The owner is notified; the requester gets a reference number.</w:t>
      </w:r>
    </w:p>
    <w:p>
      <w:pPr>
        <w:pStyle w:val="ListBullet"/>
        <w:spacing w:after="60"/>
      </w:pPr>
      <w:r>
        <w:rPr>
          <w:b/>
        </w:rPr>
        <w:t xml:space="preserve">Work the stages. </w:t>
      </w:r>
      <w:r>
        <w:t>Each module has its own workflow (6–8 stages). Moving a stage is one click; some moves are gated (e.g. a contract cannot go for signature until Risk Assessment fields are signed off).</w:t>
      </w:r>
    </w:p>
    <w:p>
      <w:pPr>
        <w:pStyle w:val="ListBullet"/>
        <w:spacing w:after="60"/>
      </w:pPr>
      <w:r>
        <w:rPr>
          <w:b/>
        </w:rPr>
        <w:t xml:space="preserve">Share and pause. </w:t>
      </w:r>
      <w:r>
        <w:t>If the file must sit with another department (documents, approvals, signatures), legal 'shares' it with a structured reason. The TAT clock pauses until it is received back — delays caused elsewhere never count against Legal.</w:t>
      </w:r>
    </w:p>
    <w:p>
      <w:pPr>
        <w:pStyle w:val="ListBullet"/>
        <w:spacing w:after="60"/>
      </w:pPr>
      <w:r>
        <w:rPr>
          <w:b/>
        </w:rPr>
        <w:t xml:space="preserve">Converse. </w:t>
      </w:r>
      <w:r>
        <w:t>The requester and the team talk on the record itself. Internal notes stay team-side; everything else reaches the requester. Documents attach from either side.</w:t>
      </w:r>
    </w:p>
    <w:p>
      <w:pPr>
        <w:pStyle w:val="ListBullet"/>
        <w:spacing w:after="60"/>
      </w:pPr>
      <w:r>
        <w:rPr>
          <w:b/>
        </w:rPr>
        <w:t xml:space="preserve">Close. </w:t>
      </w:r>
      <w:r>
        <w:t>Closure stamps the record, stops the clock, and feeds every dashboard, report and cost view automatically.</w:t>
      </w:r>
    </w:p>
    <w:p>
      <w:pPr>
        <w:pStyle w:val="Heading1"/>
      </w:pPr>
      <w:r>
        <w:t>3. Who sees what (access model)</w:t>
      </w:r>
    </w:p>
    <w:p>
      <w:pPr>
        <w:spacing w:after="120"/>
      </w:pPr>
      <w:r>
        <w:rPr>
          <w:b w:val="0"/>
          <w:i w:val="0"/>
        </w:rPr>
        <w:t>Raising and viewing are deliberately different rights. Anyone can raise to any team; viewing is narrow and row-level.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9"/>
              </w:rPr>
              <w:t>Role</w:t>
            </w:r>
          </w:p>
        </w:tc>
        <w:tc>
          <w:tcPr>
            <w:tcW w:type="dxa" w:w="2160"/>
          </w:tcPr>
          <w:p>
            <w:r>
              <w:rPr>
                <w:b/>
                <w:sz w:val="19"/>
              </w:rPr>
              <w:t>Raise to any team</w:t>
            </w:r>
          </w:p>
        </w:tc>
        <w:tc>
          <w:tcPr>
            <w:tcW w:type="dxa" w:w="2160"/>
          </w:tcPr>
          <w:p>
            <w:r>
              <w:rPr>
                <w:b/>
                <w:sz w:val="19"/>
              </w:rPr>
              <w:t>Own requests</w:t>
            </w:r>
          </w:p>
        </w:tc>
        <w:tc>
          <w:tcPr>
            <w:tcW w:type="dxa" w:w="2160"/>
          </w:tcPr>
          <w:p>
            <w:r>
              <w:rPr>
                <w:b/>
                <w:sz w:val="19"/>
              </w:rPr>
              <w:t>Team queues</w:t>
            </w:r>
          </w:p>
        </w:tc>
      </w:tr>
      <w:tr>
        <w:tc>
          <w:tcPr>
            <w:tcW w:type="dxa" w:w="2160"/>
          </w:tcPr>
          <w:p>
            <w:r>
              <w:rPr>
                <w:b/>
                <w:sz w:val="19"/>
              </w:rPr>
              <w:t>Requester (business user)</w:t>
            </w:r>
          </w:p>
        </w:tc>
        <w:tc>
          <w:tcPr>
            <w:tcW w:type="dxa" w:w="2160"/>
          </w:tcPr>
          <w:p>
            <w:r>
              <w:rPr>
                <w:sz w:val="19"/>
              </w:rPr>
              <w:t>Yes</w:t>
            </w:r>
          </w:p>
        </w:tc>
        <w:tc>
          <w:tcPr>
            <w:tcW w:type="dxa" w:w="2160"/>
          </w:tcPr>
          <w:p>
            <w:r>
              <w:rPr>
                <w:sz w:val="19"/>
              </w:rPr>
              <w:t>Status, stage, owner, TAT + conversation &amp; documents</w:t>
            </w:r>
          </w:p>
        </w:tc>
        <w:tc>
          <w:tcPr>
            <w:tcW w:type="dxa" w:w="2160"/>
          </w:tcPr>
          <w:p>
            <w:r>
              <w:rPr>
                <w:sz w:val="19"/>
              </w:rPr>
              <w:t>No</w:t>
            </w:r>
          </w:p>
        </w:tc>
      </w:tr>
      <w:tr>
        <w:tc>
          <w:tcPr>
            <w:tcW w:type="dxa" w:w="2160"/>
          </w:tcPr>
          <w:p>
            <w:r>
              <w:rPr>
                <w:b/>
                <w:sz w:val="19"/>
              </w:rPr>
              <w:t>Business Department Head</w:t>
            </w:r>
          </w:p>
        </w:tc>
        <w:tc>
          <w:tcPr>
            <w:tcW w:type="dxa" w:w="2160"/>
          </w:tcPr>
          <w:p>
            <w:r>
              <w:rPr>
                <w:sz w:val="19"/>
              </w:rPr>
              <w:t>Yes</w:t>
            </w:r>
          </w:p>
        </w:tc>
        <w:tc>
          <w:tcPr>
            <w:tcW w:type="dxa" w:w="2160"/>
          </w:tcPr>
          <w:p>
            <w:r>
              <w:rPr>
                <w:sz w:val="19"/>
              </w:rPr>
              <w:t>Own department's requests (status view)</w:t>
            </w:r>
          </w:p>
        </w:tc>
        <w:tc>
          <w:tcPr>
            <w:tcW w:type="dxa" w:w="2160"/>
          </w:tcPr>
          <w:p>
            <w:r>
              <w:rPr>
                <w:sz w:val="19"/>
              </w:rPr>
              <w:t>No</w:t>
            </w:r>
          </w:p>
        </w:tc>
      </w:tr>
      <w:tr>
        <w:tc>
          <w:tcPr>
            <w:tcW w:type="dxa" w:w="2160"/>
          </w:tcPr>
          <w:p>
            <w:r>
              <w:rPr>
                <w:b/>
                <w:sz w:val="19"/>
              </w:rPr>
              <w:t>Legal Team Member</w:t>
            </w:r>
          </w:p>
        </w:tc>
        <w:tc>
          <w:tcPr>
            <w:tcW w:type="dxa" w:w="2160"/>
          </w:tcPr>
          <w:p>
            <w:r>
              <w:rPr>
                <w:sz w:val="19"/>
              </w:rPr>
              <w:t>Yes</w:t>
            </w:r>
          </w:p>
        </w:tc>
        <w:tc>
          <w:tcPr>
            <w:tcW w:type="dxa" w:w="2160"/>
          </w:tcPr>
          <w:p>
            <w:r>
              <w:rPr>
                <w:sz w:val="19"/>
              </w:rPr>
              <w:t>Full</w:t>
            </w:r>
          </w:p>
        </w:tc>
        <w:tc>
          <w:tcPr>
            <w:tcW w:type="dxa" w:w="2160"/>
          </w:tcPr>
          <w:p>
            <w:r>
              <w:rPr>
                <w:sz w:val="19"/>
              </w:rPr>
              <w:t>Own team, full</w:t>
            </w:r>
          </w:p>
        </w:tc>
      </w:tr>
      <w:tr>
        <w:tc>
          <w:tcPr>
            <w:tcW w:type="dxa" w:w="2160"/>
          </w:tcPr>
          <w:p>
            <w:r>
              <w:rPr>
                <w:b/>
                <w:sz w:val="19"/>
              </w:rPr>
              <w:t>Legal Team Lead</w:t>
            </w:r>
          </w:p>
        </w:tc>
        <w:tc>
          <w:tcPr>
            <w:tcW w:type="dxa" w:w="2160"/>
          </w:tcPr>
          <w:p>
            <w:r>
              <w:rPr>
                <w:sz w:val="19"/>
              </w:rPr>
              <w:t>Yes</w:t>
            </w:r>
          </w:p>
        </w:tc>
        <w:tc>
          <w:tcPr>
            <w:tcW w:type="dxa" w:w="2160"/>
          </w:tcPr>
          <w:p>
            <w:r>
              <w:rPr>
                <w:sz w:val="19"/>
              </w:rPr>
              <w:t>Full</w:t>
            </w:r>
          </w:p>
        </w:tc>
        <w:tc>
          <w:tcPr>
            <w:tcW w:type="dxa" w:w="2160"/>
          </w:tcPr>
          <w:p>
            <w:r>
              <w:rPr>
                <w:sz w:val="19"/>
              </w:rPr>
              <w:t>Own team + SLA/TAT reporting + reassignment</w:t>
            </w:r>
          </w:p>
        </w:tc>
      </w:tr>
      <w:tr>
        <w:tc>
          <w:tcPr>
            <w:tcW w:type="dxa" w:w="2160"/>
          </w:tcPr>
          <w:p>
            <w:r>
              <w:rPr>
                <w:b/>
                <w:sz w:val="19"/>
              </w:rPr>
              <w:t>Legal Department Head</w:t>
            </w:r>
          </w:p>
        </w:tc>
        <w:tc>
          <w:tcPr>
            <w:tcW w:type="dxa" w:w="2160"/>
          </w:tcPr>
          <w:p>
            <w:r>
              <w:rPr>
                <w:sz w:val="19"/>
              </w:rPr>
              <w:t>Yes</w:t>
            </w:r>
          </w:p>
        </w:tc>
        <w:tc>
          <w:tcPr>
            <w:tcW w:type="dxa" w:w="2160"/>
          </w:tcPr>
          <w:p>
            <w:r>
              <w:rPr>
                <w:sz w:val="19"/>
              </w:rPr>
              <w:t>Full</w:t>
            </w:r>
          </w:p>
        </w:tc>
        <w:tc>
          <w:tcPr>
            <w:tcW w:type="dxa" w:w="2160"/>
          </w:tcPr>
          <w:p>
            <w:r>
              <w:rPr>
                <w:sz w:val="19"/>
              </w:rPr>
              <w:t>All teams, full + aggregated views</w:t>
            </w:r>
          </w:p>
        </w:tc>
      </w:tr>
    </w:tbl>
    <w:p>
      <w:pPr>
        <w:spacing w:after="40"/>
      </w:pPr>
    </w:p>
    <w:p>
      <w:pPr>
        <w:spacing w:after="120"/>
      </w:pPr>
      <w:r>
        <w:rPr>
          <w:b w:val="0"/>
          <w:i w:val="0"/>
        </w:rPr>
        <w:t>Two special rules worth knowing:</w:t>
      </w:r>
    </w:p>
    <w:p>
      <w:pPr>
        <w:pStyle w:val="ListBullet"/>
        <w:spacing w:after="60"/>
      </w:pPr>
      <w:r>
        <w:rPr>
          <w:b/>
        </w:rPr>
        <w:t xml:space="preserve">Internal stays internal. </w:t>
      </w:r>
      <w:r>
        <w:t>Fields flagged team-internal (risk notes, proceedings, internal review comments) and internal conversation notes are stripped from the requester's view of their own request.</w:t>
      </w:r>
    </w:p>
    <w:p>
      <w:pPr>
        <w:pStyle w:val="ListBullet"/>
        <w:spacing w:after="60"/>
      </w:pPr>
      <w:r>
        <w:rPr>
          <w:b/>
        </w:rPr>
        <w:t xml:space="preserve">Source-tagged inputs. </w:t>
      </w:r>
      <w:r>
        <w:t>Where a module pulls data from other departments (Asset Recovery pulls from HR and Admin), each field is tagged with its source — and that department can maintain its own field group directly, even from a status-only view.</w:t>
      </w:r>
    </w:p>
    <w:p>
      <w:pPr>
        <w:pStyle w:val="Heading1"/>
      </w:pPr>
      <w:r>
        <w:t>4. The engines running underneath</w:t>
      </w:r>
    </w:p>
    <w:p>
      <w:pPr>
        <w:pStyle w:val="Heading2"/>
      </w:pPr>
      <w:r>
        <w:t>The TAT engine — actual legal working time</w:t>
      </w:r>
    </w:p>
    <w:p>
      <w:pPr>
        <w:pStyle w:val="ListBullet"/>
        <w:spacing w:after="60"/>
      </w:pPr>
      <w:r>
        <w:t>The clock starts at assignment, not at raising.</w:t>
      </w:r>
    </w:p>
    <w:p>
      <w:pPr>
        <w:pStyle w:val="ListBullet"/>
        <w:spacing w:after="60"/>
      </w:pPr>
      <w:r>
        <w:t>Working days only (Fri/Sat weekend aware).</w:t>
      </w:r>
    </w:p>
    <w:p>
      <w:pPr>
        <w:pStyle w:val="ListBullet"/>
        <w:spacing w:after="60"/>
      </w:pPr>
      <w:r>
        <w:t>An intra-department hold pauses the clock, with the department, sender and a structured reason recorded — repeat offenders show up in the data.</w:t>
      </w:r>
    </w:p>
    <w:p>
      <w:pPr>
        <w:pStyle w:val="ListBullet"/>
        <w:spacing w:after="60"/>
      </w:pPr>
      <w:r>
        <w:t>Reported TAT = gross working time minus paused time. Statuses: Running / Paused / Overdue / Closed, with near-breach early warning.</w:t>
      </w:r>
    </w:p>
    <w:p>
      <w:pPr>
        <w:pStyle w:val="ListBullet"/>
        <w:spacing w:after="60"/>
      </w:pPr>
      <w:r>
        <w:t>Stages carry their own SLAs (e.g. contract drafting: 3 days on an existing template, 7 on a new one; resolutions: 2-day draft, 1-day review). Some clocks stop by design — a case's clock freezes at 'Submitted to Court' because court time is not Legal's time.</w:t>
      </w:r>
    </w:p>
    <w:p>
      <w:pPr>
        <w:pStyle w:val="ListBullet"/>
        <w:spacing w:after="60"/>
      </w:pPr>
      <w:r>
        <w:t>Every record page shows the arithmetic openly: gross − paused = reported, against the SLA budget, with a consumption bar.</w:t>
      </w:r>
    </w:p>
    <w:p>
      <w:pPr>
        <w:pStyle w:val="Heading2"/>
      </w:pPr>
      <w:r>
        <w:t>Automatic triggers — the system raises its own work</w:t>
      </w:r>
    </w:p>
    <w:p>
      <w:pPr>
        <w:pStyle w:val="ListBullet"/>
        <w:spacing w:after="60"/>
      </w:pPr>
      <w:r>
        <w:rPr>
          <w:b/>
        </w:rPr>
        <w:t xml:space="preserve">Renewals (agreements, licenses, IP): </w:t>
      </w:r>
      <w:r>
        <w:t>30 days before a renewal due date the system generates the renewal record and reminds at 30/15/7 days. The license sweep also watches the License Register itself.</w:t>
      </w:r>
    </w:p>
    <w:p>
      <w:pPr>
        <w:pStyle w:val="ListBullet"/>
        <w:spacing w:after="60"/>
      </w:pPr>
      <w:r>
        <w:rPr>
          <w:b/>
        </w:rPr>
        <w:t xml:space="preserve">SECP periodic filings: </w:t>
      </w:r>
      <w:r>
        <w:t>a per-entity statutory filing calendar generates each filing (e.g. Form A) automatically 30 days before its due date — assigned, notified, activity-stamped 'System-generated'. Once filed, the calendar rolls forward a year on its own.</w:t>
      </w:r>
    </w:p>
    <w:p>
      <w:pPr>
        <w:pStyle w:val="ListBullet"/>
        <w:spacing w:after="60"/>
      </w:pPr>
      <w:r>
        <w:rPr>
          <w:b/>
        </w:rPr>
        <w:t xml:space="preserve">Resolutions: </w:t>
      </w:r>
      <w:r>
        <w:t>a finalized resolution that has not been uploaded to the Resolutions Tracker generates a reminder until it is.</w:t>
      </w:r>
    </w:p>
    <w:p>
      <w:pPr>
        <w:pStyle w:val="Heading2"/>
      </w:pPr>
      <w:r>
        <w:t>Notifications</w:t>
      </w:r>
    </w:p>
    <w:p>
      <w:pPr>
        <w:spacing w:after="120"/>
      </w:pPr>
      <w:r>
        <w:rPr>
          <w:b w:val="0"/>
          <w:i w:val="0"/>
        </w:rPr>
        <w:t>Five kinds, each addressed to a person or a department and de-duplicated: new request → owner; stage change or closure → requesting department; SLA breach → team lead; renewal/filing reminders → owner; tracker-upload reminders → owner. The bell shows only what concerns the identity you are signed in as.</w:t>
      </w:r>
    </w:p>
    <w:p>
      <w:pPr>
        <w:pStyle w:val="Heading2"/>
      </w:pPr>
      <w:r>
        <w:t>Master data — configurable without a developer</w:t>
      </w:r>
    </w:p>
    <w:p>
      <w:pPr>
        <w:spacing w:after="120"/>
      </w:pPr>
      <w:r>
        <w:rPr>
          <w:b w:val="0"/>
          <w:i w:val="0"/>
        </w:rPr>
        <w:t>Sixteen registries drive every dropdown in every form: departments, contract types, PPA categories (KSA and Pakistan models), agreement types, resolution types, authorities, license types, hold reasons, notice categories, hearing types, cost types, complaint types, IP request types, inspection offices, and SECP form types. Settings → Master Data adds, renames or deactivates a value and the forms change immediately. Deactivation keeps history intact.</w:t>
      </w:r>
    </w:p>
    <w:p>
      <w:pPr>
        <w:pStyle w:val="Heading2"/>
      </w:pPr>
      <w:r>
        <w:t>Cost tracking</w:t>
      </w:r>
    </w:p>
    <w:p>
      <w:pPr>
        <w:spacing w:after="120"/>
      </w:pPr>
      <w:r>
        <w:rPr>
          <w:b w:val="0"/>
          <w:i w:val="0"/>
        </w:rPr>
        <w:t>Every record carries cost lines: type, estimated vs actual, PKR/USD, vendor or payee from the registry, invoice number, approver, and attribution — Legal's budget or recharged to the requesting department (the requester tags this at raise time). Cost Analysis rolls it up by team, module and department, meters budget burn, and exports CSV for Finance.</w:t>
      </w:r>
    </w:p>
    <w:p>
      <w:pPr>
        <w:pStyle w:val="Heading2"/>
      </w:pPr>
      <w:r>
        <w:t>Everything is connected</w:t>
      </w:r>
    </w:p>
    <w:p>
      <w:pPr>
        <w:pStyle w:val="ListBullet"/>
        <w:spacing w:after="60"/>
      </w:pPr>
      <w:r>
        <w:t>Any entity name, anywhere, opens that entity's 360° view: every module record, contract, matter, license and litigation touching it — as group entity, counterparty, or paid vendor.</w:t>
      </w:r>
    </w:p>
    <w:p>
      <w:pPr>
        <w:pStyle w:val="ListBullet"/>
        <w:spacing w:after="60"/>
      </w:pPr>
      <w:r>
        <w:t>Any owner's name opens that person's pipeline.</w:t>
      </w:r>
    </w:p>
    <w:p>
      <w:pPr>
        <w:pStyle w:val="ListBullet"/>
        <w:spacing w:after="60"/>
      </w:pPr>
      <w:r>
        <w:t>The KPI cards on every register are filters: click 'Overdue' to see exactly those rows.</w:t>
      </w:r>
    </w:p>
    <w:p>
      <w:pPr>
        <w:pStyle w:val="ListBullet"/>
        <w:spacing w:after="60"/>
      </w:pPr>
      <w:r>
        <w:t>Linked resolutions ↔ filings cross-reference both ways. Requester contacts are one-click email.</w:t>
      </w:r>
    </w:p>
    <w:p>
      <w:pPr>
        <w:pStyle w:val="Heading1"/>
      </w:pPr>
      <w:r>
        <w:t>5. The thirteen modules</w:t>
      </w:r>
    </w:p>
    <w:p>
      <w:pPr>
        <w:spacing w:after="120"/>
      </w:pPr>
      <w:r>
        <w:rPr>
          <w:b w:val="0"/>
          <w:i w:val="0"/>
        </w:rPr>
        <w:t>Each module is a register (the list, with pipeline strip, KPI filter cards and search), a record page (workflow, fields, conversation, documents, costs, activity, the TAT instrument), and a raise form — all generated from one registry spec, so they behave identically. Below: what each one is for and what makes it more than a spreadsheet.</w:t>
      </w:r>
    </w:p>
    <w:p>
      <w:pPr>
        <w:pStyle w:val="Heading2"/>
      </w:pPr>
      <w:r>
        <w:t>Commercial &amp; Risk Management</w:t>
      </w:r>
    </w:p>
    <w:p>
      <w:pPr>
        <w:pStyle w:val="Heading3"/>
      </w:pPr>
      <w:r>
        <w:t>Contracts</w:t>
      </w:r>
    </w:p>
    <w:p>
      <w:pPr>
        <w:spacing w:after="100"/>
      </w:pPr>
      <w:r>
        <w:rPr>
          <w:b w:val="0"/>
          <w:i w:val="0"/>
        </w:rPr>
        <w:t>The full contract lifecycle: request → drafting → reviews → risk sign-off → signature → executed. Covers PPAs, sale &amp; purchase, IT/MEP/construction/service contracts and more.</w:t>
      </w:r>
    </w:p>
    <w:tbl>
      <w:tblPr>
        <w:tblStyle w:val="TableGrid"/>
        <w:tblW w:type="auto" w:w="0"/>
        <w:jc w:val="left"/>
        <w:tblLayout w:type="autofit"/>
        <w:tblLook w:firstColumn="1" w:firstRow="1" w:lastColumn="0" w:lastRow="0" w:noHBand="0" w:noVBand="1" w:val="04A0"/>
      </w:tblPr>
      <w:tblGrid>
        <w:gridCol w:w="4320"/>
        <w:gridCol w:w="4320"/>
      </w:tblGrid>
      <w:tr>
        <w:tc>
          <w:tcPr>
            <w:tcW w:type="dxa" w:w="2232"/>
          </w:tcPr>
          <w:p>
            <w:r>
              <w:rPr>
                <w:b/>
                <w:color w:val="4C655A"/>
                <w:sz w:val="19"/>
              </w:rPr>
              <w:t>Workflow</w:t>
            </w:r>
          </w:p>
        </w:tc>
        <w:tc>
          <w:tcPr>
            <w:tcW w:type="dxa" w:w="7344"/>
          </w:tcPr>
          <w:p>
            <w:r>
              <w:rPr>
                <w:sz w:val="20"/>
              </w:rPr>
              <w:t>Request Raised → Assigned → Drafting → Internal Review → Risk Assessment → Final Review → Submission for Signature → Executed / Closed</w:t>
            </w:r>
          </w:p>
        </w:tc>
      </w:tr>
      <w:tr>
        <w:tc>
          <w:tcPr>
            <w:tcW w:type="dxa" w:w="2232"/>
          </w:tcPr>
          <w:p>
            <w:r>
              <w:rPr>
                <w:b/>
                <w:color w:val="4C655A"/>
                <w:sz w:val="19"/>
              </w:rPr>
              <w:t>Staged SLAs</w:t>
            </w:r>
          </w:p>
        </w:tc>
        <w:tc>
          <w:tcPr>
            <w:tcW w:type="dxa" w:w="7344"/>
          </w:tcPr>
          <w:p>
            <w:r>
              <w:rPr>
                <w:sz w:val="20"/>
              </w:rPr>
              <w:t>Drafting 3d on an existing template / 7d on a new one (the Template Type field drives it); Internal Review 2d</w:t>
            </w:r>
          </w:p>
        </w:tc>
      </w:tr>
      <w:tr>
        <w:tc>
          <w:tcPr>
            <w:tcW w:type="dxa" w:w="2232"/>
          </w:tcPr>
          <w:p>
            <w:r>
              <w:rPr>
                <w:b/>
                <w:color w:val="4C655A"/>
                <w:sz w:val="19"/>
              </w:rPr>
              <w:t>Key fields</w:t>
            </w:r>
          </w:p>
        </w:tc>
        <w:tc>
          <w:tcPr>
            <w:tcW w:type="dxa" w:w="7344"/>
          </w:tcPr>
          <w:p>
            <w:r>
              <w:rPr>
                <w:sz w:val="20"/>
              </w:rPr>
              <w:t>Contract type (master list), PPA category — jurisdiction-dependent (KSA: Off-Plan / Ready / Advance-Fee; PK: Medallion / Non-Medallion), counterparty from the registry, value &amp; currency, expiry, renewal flag</w:t>
            </w:r>
          </w:p>
        </w:tc>
      </w:tr>
    </w:tbl>
    <w:p>
      <w:pPr>
        <w:spacing w:after="40"/>
      </w:pPr>
    </w:p>
    <w:p>
      <w:pPr>
        <w:spacing w:after="60"/>
      </w:pPr>
      <w:r>
        <w:rPr>
          <w:b/>
        </w:rPr>
        <w:t xml:space="preserve">What it can do that a tracker can't: </w:t>
      </w:r>
    </w:p>
    <w:p>
      <w:pPr>
        <w:pStyle w:val="ListBullet"/>
        <w:spacing w:after="60"/>
      </w:pPr>
      <w:r>
        <w:t>A hard risk gate: the record physically cannot move to Submission for Signature until risk rating, reviewer and sign-off date are complete — and it tells you which fields are missing.</w:t>
      </w:r>
    </w:p>
    <w:p>
      <w:pPr>
        <w:pStyle w:val="ListBullet"/>
        <w:spacing w:after="60"/>
      </w:pPr>
      <w:r>
        <w:t>A draft version log (v0.1, 0.2 …) with one-click 'Log a draft version'.</w:t>
      </w:r>
    </w:p>
    <w:p>
      <w:pPr>
        <w:pStyle w:val="ListBullet"/>
        <w:spacing w:after="60"/>
      </w:pPr>
      <w:r>
        <w:t>Feeds the Contract Tracker and per-entity value dashboards.</w:t>
      </w:r>
    </w:p>
    <w:p>
      <w:pPr>
        <w:pStyle w:val="Heading3"/>
      </w:pPr>
      <w:r>
        <w:t>Risk Vetting</w:t>
      </w:r>
    </w:p>
    <w:p>
      <w:pPr>
        <w:spacing w:after="100"/>
      </w:pPr>
      <w:r>
        <w:rPr>
          <w:b w:val="0"/>
          <w:i w:val="0"/>
        </w:rPr>
        <w:t>Fast commercial risk screening — counterparty vetting, deal-structure and commercial-terms review — ending in a formal advisory.</w:t>
      </w:r>
    </w:p>
    <w:tbl>
      <w:tblPr>
        <w:tblStyle w:val="TableGrid"/>
        <w:tblW w:type="auto" w:w="0"/>
        <w:jc w:val="left"/>
        <w:tblLayout w:type="autofit"/>
        <w:tblLook w:firstColumn="1" w:firstRow="1" w:lastColumn="0" w:lastRow="0" w:noHBand="0" w:noVBand="1" w:val="04A0"/>
      </w:tblPr>
      <w:tblGrid>
        <w:gridCol w:w="4320"/>
        <w:gridCol w:w="4320"/>
      </w:tblGrid>
      <w:tr>
        <w:tc>
          <w:tcPr>
            <w:tcW w:type="dxa" w:w="2232"/>
          </w:tcPr>
          <w:p>
            <w:r>
              <w:rPr>
                <w:b/>
                <w:color w:val="4C655A"/>
                <w:sz w:val="19"/>
              </w:rPr>
              <w:t>Workflow</w:t>
            </w:r>
          </w:p>
        </w:tc>
        <w:tc>
          <w:tcPr>
            <w:tcW w:type="dxa" w:w="7344"/>
          </w:tcPr>
          <w:p>
            <w:r>
              <w:rPr>
                <w:sz w:val="20"/>
              </w:rPr>
              <w:t>Request Raised → Assigned → Review → Risk Assessment → Advisory Issued → Closed</w:t>
            </w:r>
          </w:p>
        </w:tc>
      </w:tr>
      <w:tr>
        <w:tc>
          <w:tcPr>
            <w:tcW w:type="dxa" w:w="2232"/>
          </w:tcPr>
          <w:p>
            <w:r>
              <w:rPr>
                <w:b/>
                <w:color w:val="4C655A"/>
                <w:sz w:val="19"/>
              </w:rPr>
              <w:t>Staged SLAs</w:t>
            </w:r>
          </w:p>
        </w:tc>
        <w:tc>
          <w:tcPr>
            <w:tcW w:type="dxa" w:w="7344"/>
          </w:tcPr>
          <w:p>
            <w:r>
              <w:rPr>
                <w:sz w:val="20"/>
              </w:rPr>
              <w:t>Review 2d; Risk Assessment 1d</w:t>
            </w:r>
          </w:p>
        </w:tc>
      </w:tr>
      <w:tr>
        <w:tc>
          <w:tcPr>
            <w:tcW w:type="dxa" w:w="2232"/>
          </w:tcPr>
          <w:p>
            <w:r>
              <w:rPr>
                <w:b/>
                <w:color w:val="4C655A"/>
                <w:sz w:val="19"/>
              </w:rPr>
              <w:t>Key fields</w:t>
            </w:r>
          </w:p>
        </w:tc>
        <w:tc>
          <w:tcPr>
            <w:tcW w:type="dxa" w:w="7344"/>
          </w:tcPr>
          <w:p>
            <w:r>
              <w:rPr>
                <w:sz w:val="20"/>
              </w:rPr>
              <w:t>Counterparty (registry), deal context, risk rating, advisory (team-internal)</w:t>
            </w:r>
          </w:p>
        </w:tc>
      </w:tr>
    </w:tbl>
    <w:p>
      <w:pPr>
        <w:spacing w:after="40"/>
      </w:pPr>
    </w:p>
    <w:p>
      <w:pPr>
        <w:spacing w:after="60"/>
      </w:pPr>
      <w:r>
        <w:rPr>
          <w:b/>
        </w:rPr>
        <w:t xml:space="preserve">What it can do that a tracker can't: </w:t>
      </w:r>
    </w:p>
    <w:p>
      <w:pPr>
        <w:pStyle w:val="ListBullet"/>
        <w:spacing w:after="60"/>
      </w:pPr>
      <w:r>
        <w:t>The advisory text is internal — the requester sees the verdict through the workflow, not the working.</w:t>
      </w:r>
    </w:p>
    <w:p>
      <w:pPr>
        <w:pStyle w:val="Heading2"/>
      </w:pPr>
      <w:r>
        <w:t>Compliance</w:t>
      </w:r>
    </w:p>
    <w:p>
      <w:pPr>
        <w:pStyle w:val="Heading3"/>
      </w:pPr>
      <w:r>
        <w:t>Lease, Loan &amp; Service Agreements</w:t>
      </w:r>
    </w:p>
    <w:p>
      <w:pPr>
        <w:spacing w:after="100"/>
      </w:pPr>
      <w:r>
        <w:rPr>
          <w:b w:val="0"/>
          <w:i w:val="0"/>
        </w:rPr>
        <w:t>Drafting and renewing the group's leases, loans and service agreements.</w:t>
      </w:r>
    </w:p>
    <w:tbl>
      <w:tblPr>
        <w:tblStyle w:val="TableGrid"/>
        <w:tblW w:type="auto" w:w="0"/>
        <w:jc w:val="left"/>
        <w:tblLayout w:type="autofit"/>
        <w:tblLook w:firstColumn="1" w:firstRow="1" w:lastColumn="0" w:lastRow="0" w:noHBand="0" w:noVBand="1" w:val="04A0"/>
      </w:tblPr>
      <w:tblGrid>
        <w:gridCol w:w="4320"/>
        <w:gridCol w:w="4320"/>
      </w:tblGrid>
      <w:tr>
        <w:tc>
          <w:tcPr>
            <w:tcW w:type="dxa" w:w="2232"/>
          </w:tcPr>
          <w:p>
            <w:r>
              <w:rPr>
                <w:b/>
                <w:color w:val="4C655A"/>
                <w:sz w:val="19"/>
              </w:rPr>
              <w:t>Workflows</w:t>
            </w:r>
          </w:p>
        </w:tc>
        <w:tc>
          <w:tcPr>
            <w:tcW w:type="dxa" w:w="7344"/>
          </w:tcPr>
          <w:p>
            <w:r>
              <w:rPr>
                <w:sz w:val="20"/>
              </w:rPr>
              <w:t>Drafting: Request Raised → … → Executed / Closed. Renewal (separate path): Renewal Trigger → Assigned → Terms Review → Draft Renewal / Amendment → Internal Review → Submission for Signature → Renewed / Closed</w:t>
            </w:r>
          </w:p>
        </w:tc>
      </w:tr>
      <w:tr>
        <w:tc>
          <w:tcPr>
            <w:tcW w:type="dxa" w:w="2232"/>
          </w:tcPr>
          <w:p>
            <w:r>
              <w:rPr>
                <w:b/>
                <w:color w:val="4C655A"/>
                <w:sz w:val="19"/>
              </w:rPr>
              <w:t>Staged SLAs</w:t>
            </w:r>
          </w:p>
        </w:tc>
        <w:tc>
          <w:tcPr>
            <w:tcW w:type="dxa" w:w="7344"/>
          </w:tcPr>
          <w:p>
            <w:r>
              <w:rPr>
                <w:sz w:val="20"/>
              </w:rPr>
              <w:t>Drafting 3d; Internal Review 2d</w:t>
            </w:r>
          </w:p>
        </w:tc>
      </w:tr>
      <w:tr>
        <w:tc>
          <w:tcPr>
            <w:tcW w:type="dxa" w:w="2232"/>
          </w:tcPr>
          <w:p>
            <w:r>
              <w:rPr>
                <w:b/>
                <w:color w:val="4C655A"/>
                <w:sz w:val="19"/>
              </w:rPr>
              <w:t>Key fields</w:t>
            </w:r>
          </w:p>
        </w:tc>
        <w:tc>
          <w:tcPr>
            <w:tcW w:type="dxa" w:w="7344"/>
          </w:tcPr>
          <w:p>
            <w:r>
              <w:rPr>
                <w:sz w:val="20"/>
              </w:rPr>
              <w:t>Agreement type, counterparty, value/principal, term &amp; expiry, renewal term, renewal due date, renewal status, renewal owner (may differ from the drafting owner)</w:t>
            </w:r>
          </w:p>
        </w:tc>
      </w:tr>
    </w:tbl>
    <w:p>
      <w:pPr>
        <w:spacing w:after="40"/>
      </w:pPr>
    </w:p>
    <w:p>
      <w:pPr>
        <w:spacing w:after="60"/>
      </w:pPr>
      <w:r>
        <w:rPr>
          <w:b/>
        </w:rPr>
        <w:t xml:space="preserve">What it can do that a tracker can't: </w:t>
      </w:r>
    </w:p>
    <w:p>
      <w:pPr>
        <w:pStyle w:val="ListBullet"/>
        <w:spacing w:after="60"/>
      </w:pPr>
      <w:r>
        <w:t>Renewal records are system-generated 30 days before the due date, with 30/15/7 reminders.</w:t>
      </w:r>
    </w:p>
    <w:p>
      <w:pPr>
        <w:pStyle w:val="Heading3"/>
      </w:pPr>
      <w:r>
        <w:t>Resolutions</w:t>
      </w:r>
    </w:p>
    <w:p>
      <w:pPr>
        <w:spacing w:after="100"/>
      </w:pPr>
      <w:r>
        <w:rPr>
          <w:b w:val="0"/>
          <w:i w:val="0"/>
        </w:rPr>
        <w:t>Board and Partners resolutions and authorization letters, from request to the signed copy on the Resolutions Tracker.</w:t>
      </w:r>
    </w:p>
    <w:tbl>
      <w:tblPr>
        <w:tblStyle w:val="TableGrid"/>
        <w:tblW w:type="auto" w:w="0"/>
        <w:jc w:val="left"/>
        <w:tblLayout w:type="autofit"/>
        <w:tblLook w:firstColumn="1" w:firstRow="1" w:lastColumn="0" w:lastRow="0" w:noHBand="0" w:noVBand="1" w:val="04A0"/>
      </w:tblPr>
      <w:tblGrid>
        <w:gridCol w:w="4320"/>
        <w:gridCol w:w="4320"/>
      </w:tblGrid>
      <w:tr>
        <w:tc>
          <w:tcPr>
            <w:tcW w:type="dxa" w:w="2232"/>
          </w:tcPr>
          <w:p>
            <w:r>
              <w:rPr>
                <w:b/>
                <w:color w:val="4C655A"/>
                <w:sz w:val="19"/>
              </w:rPr>
              <w:t>Workflow</w:t>
            </w:r>
          </w:p>
        </w:tc>
        <w:tc>
          <w:tcPr>
            <w:tcW w:type="dxa" w:w="7344"/>
          </w:tcPr>
          <w:p>
            <w:r>
              <w:rPr>
                <w:sz w:val="20"/>
              </w:rPr>
              <w:t>Request Raised → Assigned → Drafting → Review → Finalize &amp; Sign → Upload to Resolutions Tracker → Closed</w:t>
            </w:r>
          </w:p>
        </w:tc>
      </w:tr>
      <w:tr>
        <w:tc>
          <w:tcPr>
            <w:tcW w:type="dxa" w:w="2232"/>
          </w:tcPr>
          <w:p>
            <w:r>
              <w:rPr>
                <w:b/>
                <w:color w:val="4C655A"/>
                <w:sz w:val="19"/>
              </w:rPr>
              <w:t>Staged SLAs</w:t>
            </w:r>
          </w:p>
        </w:tc>
        <w:tc>
          <w:tcPr>
            <w:tcW w:type="dxa" w:w="7344"/>
          </w:tcPr>
          <w:p>
            <w:r>
              <w:rPr>
                <w:sz w:val="20"/>
              </w:rPr>
              <w:t>Drafting 2d; Review 1d</w:t>
            </w:r>
          </w:p>
        </w:tc>
      </w:tr>
      <w:tr>
        <w:tc>
          <w:tcPr>
            <w:tcW w:type="dxa" w:w="2232"/>
          </w:tcPr>
          <w:p>
            <w:r>
              <w:rPr>
                <w:b/>
                <w:color w:val="4C655A"/>
                <w:sz w:val="19"/>
              </w:rPr>
              <w:t>Key fields</w:t>
            </w:r>
          </w:p>
        </w:tc>
        <w:tc>
          <w:tcPr>
            <w:tcW w:type="dxa" w:w="7344"/>
          </w:tcPr>
          <w:p>
            <w:r>
              <w:rPr>
                <w:sz w:val="20"/>
              </w:rPr>
              <w:t>Type (Board/Partners), purpose, urgency (tracked separately from priority), authority addressed (SECP, banks, LESCO, customs…), authorized persons with CNIC, tracker upload Y/N + date + link</w:t>
            </w:r>
          </w:p>
        </w:tc>
      </w:tr>
    </w:tbl>
    <w:p>
      <w:pPr>
        <w:spacing w:after="40"/>
      </w:pPr>
    </w:p>
    <w:p>
      <w:pPr>
        <w:spacing w:after="60"/>
      </w:pPr>
      <w:r>
        <w:rPr>
          <w:b/>
        </w:rPr>
        <w:t xml:space="preserve">What it can do that a tracker can't: </w:t>
      </w:r>
    </w:p>
    <w:p>
      <w:pPr>
        <w:pStyle w:val="ListBullet"/>
        <w:spacing w:after="60"/>
      </w:pPr>
      <w:r>
        <w:t>A built-in report: resolutions by requesting department, filterable by urgency and period — who generates the volume.</w:t>
      </w:r>
    </w:p>
    <w:p>
      <w:pPr>
        <w:pStyle w:val="ListBullet"/>
        <w:spacing w:after="60"/>
      </w:pPr>
      <w:r>
        <w:t>One-click 'Confirm tracker upload' stamps date and link.</w:t>
      </w:r>
    </w:p>
    <w:p>
      <w:pPr>
        <w:pStyle w:val="ListBullet"/>
        <w:spacing w:after="60"/>
      </w:pPr>
      <w:r>
        <w:t>An un-uploaded finalized resolution keeps reminding until it is on the tracker.</w:t>
      </w:r>
    </w:p>
    <w:p>
      <w:pPr>
        <w:pStyle w:val="Heading3"/>
      </w:pPr>
      <w:r>
        <w:t>License Renewals</w:t>
      </w:r>
    </w:p>
    <w:p>
      <w:pPr>
        <w:spacing w:after="100"/>
      </w:pPr>
      <w:r>
        <w:rPr>
          <w:b w:val="0"/>
          <w:i w:val="0"/>
        </w:rPr>
        <w:t>Working the renewal of trade licenses, commercial registrations, municipality licenses, brokerage (FAL) licenses and the rest of the register.</w:t>
      </w:r>
    </w:p>
    <w:tbl>
      <w:tblPr>
        <w:tblStyle w:val="TableGrid"/>
        <w:tblW w:type="auto" w:w="0"/>
        <w:jc w:val="left"/>
        <w:tblLayout w:type="autofit"/>
        <w:tblLook w:firstColumn="1" w:firstRow="1" w:lastColumn="0" w:lastRow="0" w:noHBand="0" w:noVBand="1" w:val="04A0"/>
      </w:tblPr>
      <w:tblGrid>
        <w:gridCol w:w="4320"/>
        <w:gridCol w:w="4320"/>
      </w:tblGrid>
      <w:tr>
        <w:tc>
          <w:tcPr>
            <w:tcW w:type="dxa" w:w="2232"/>
          </w:tcPr>
          <w:p>
            <w:r>
              <w:rPr>
                <w:b/>
                <w:color w:val="4C655A"/>
                <w:sz w:val="19"/>
              </w:rPr>
              <w:t>Workflow</w:t>
            </w:r>
          </w:p>
        </w:tc>
        <w:tc>
          <w:tcPr>
            <w:tcW w:type="dxa" w:w="7344"/>
          </w:tcPr>
          <w:p>
            <w:r>
              <w:rPr>
                <w:sz w:val="20"/>
              </w:rPr>
              <w:t>Renewal Trigger → Assigned → Document Collection → Submission to Authority → Awaiting Response → Renewed / Closed</w:t>
            </w:r>
          </w:p>
        </w:tc>
      </w:tr>
      <w:tr>
        <w:tc>
          <w:tcPr>
            <w:tcW w:type="dxa" w:w="2232"/>
          </w:tcPr>
          <w:p>
            <w:r>
              <w:rPr>
                <w:b/>
                <w:color w:val="4C655A"/>
                <w:sz w:val="19"/>
              </w:rPr>
              <w:t>Staged SLAs</w:t>
            </w:r>
          </w:p>
        </w:tc>
        <w:tc>
          <w:tcPr>
            <w:tcW w:type="dxa" w:w="7344"/>
          </w:tcPr>
          <w:p>
            <w:r>
              <w:rPr>
                <w:sz w:val="20"/>
              </w:rPr>
              <w:t>Document Collection 3d</w:t>
            </w:r>
          </w:p>
        </w:tc>
      </w:tr>
      <w:tr>
        <w:tc>
          <w:tcPr>
            <w:tcW w:type="dxa" w:w="2232"/>
          </w:tcPr>
          <w:p>
            <w:r>
              <w:rPr>
                <w:b/>
                <w:color w:val="4C655A"/>
                <w:sz w:val="19"/>
              </w:rPr>
              <w:t>Key fields</w:t>
            </w:r>
          </w:p>
        </w:tc>
        <w:tc>
          <w:tcPr>
            <w:tcW w:type="dxa" w:w="7344"/>
          </w:tcPr>
          <w:p>
            <w:r>
              <w:rPr>
                <w:sz w:val="20"/>
              </w:rPr>
              <w:t>License name, issuing authority, issue date, renewal term &amp; due date, renewal status, link to the register entry</w:t>
            </w:r>
          </w:p>
        </w:tc>
      </w:tr>
    </w:tbl>
    <w:p>
      <w:pPr>
        <w:spacing w:after="40"/>
      </w:pPr>
    </w:p>
    <w:p>
      <w:pPr>
        <w:spacing w:after="60"/>
      </w:pPr>
      <w:r>
        <w:rPr>
          <w:b/>
        </w:rPr>
        <w:t xml:space="preserve">What it can do that a tracker can't: </w:t>
      </w:r>
    </w:p>
    <w:p>
      <w:pPr>
        <w:pStyle w:val="ListBullet"/>
        <w:spacing w:after="60"/>
      </w:pPr>
      <w:r>
        <w:t>The sweep watches the License Register itself: anything expiring within 30 days with no open renewal gets a trigger raised automatically.</w:t>
      </w:r>
    </w:p>
    <w:p>
      <w:pPr>
        <w:pStyle w:val="Heading3"/>
      </w:pPr>
      <w:r>
        <w:t>SECP Filings</w:t>
      </w:r>
    </w:p>
    <w:p>
      <w:pPr>
        <w:spacing w:after="100"/>
      </w:pPr>
      <w:r>
        <w:rPr>
          <w:b w:val="0"/>
          <w:i w:val="0"/>
        </w:rPr>
        <w:t>Statutory filings for the Pakistan entities — Form A annual returns, and event-based forms (3, 7, 9, 19, 29) triggered by corporate events.</w:t>
      </w:r>
    </w:p>
    <w:tbl>
      <w:tblPr>
        <w:tblStyle w:val="TableGrid"/>
        <w:tblW w:type="auto" w:w="0"/>
        <w:jc w:val="left"/>
        <w:tblLayout w:type="autofit"/>
        <w:tblLook w:firstColumn="1" w:firstRow="1" w:lastColumn="0" w:lastRow="0" w:noHBand="0" w:noVBand="1" w:val="04A0"/>
      </w:tblPr>
      <w:tblGrid>
        <w:gridCol w:w="4320"/>
        <w:gridCol w:w="4320"/>
      </w:tblGrid>
      <w:tr>
        <w:tc>
          <w:tcPr>
            <w:tcW w:type="dxa" w:w="2232"/>
          </w:tcPr>
          <w:p>
            <w:r>
              <w:rPr>
                <w:b/>
                <w:color w:val="4C655A"/>
                <w:sz w:val="19"/>
              </w:rPr>
              <w:t>Workflows</w:t>
            </w:r>
          </w:p>
        </w:tc>
        <w:tc>
          <w:tcPr>
            <w:tcW w:type="dxa" w:w="7344"/>
          </w:tcPr>
          <w:p>
            <w:r>
              <w:rPr>
                <w:sz w:val="20"/>
              </w:rPr>
              <w:t>Event-based: Request Raised → Assigned → Preparation → Internal Review → Filed with SECP → Closed. Periodic: starts at Filing Trigger (system-generated) and follows the same path</w:t>
            </w:r>
          </w:p>
        </w:tc>
      </w:tr>
      <w:tr>
        <w:tc>
          <w:tcPr>
            <w:tcW w:type="dxa" w:w="2232"/>
          </w:tcPr>
          <w:p>
            <w:r>
              <w:rPr>
                <w:b/>
                <w:color w:val="4C655A"/>
                <w:sz w:val="19"/>
              </w:rPr>
              <w:t>Staged SLAs</w:t>
            </w:r>
          </w:p>
        </w:tc>
        <w:tc>
          <w:tcPr>
            <w:tcW w:type="dxa" w:w="7344"/>
          </w:tcPr>
          <w:p>
            <w:r>
              <w:rPr>
                <w:sz w:val="20"/>
              </w:rPr>
              <w:t>Preparation 3d; Internal Review 2d</w:t>
            </w:r>
          </w:p>
        </w:tc>
      </w:tr>
      <w:tr>
        <w:tc>
          <w:tcPr>
            <w:tcW w:type="dxa" w:w="2232"/>
          </w:tcPr>
          <w:p>
            <w:r>
              <w:rPr>
                <w:b/>
                <w:color w:val="4C655A"/>
                <w:sz w:val="19"/>
              </w:rPr>
              <w:t>Key fields</w:t>
            </w:r>
          </w:p>
        </w:tc>
        <w:tc>
          <w:tcPr>
            <w:tcW w:type="dxa" w:w="7344"/>
          </w:tcPr>
          <w:p>
            <w:r>
              <w:rPr>
                <w:sz w:val="20"/>
              </w:rPr>
              <w:t>Filing entity (registry), SECP form type (admin-configurable master list), category Periodic/Event-Based, statutory due date, actual filing date, linked resolution, authorized person to file, CTC applied, SRN</w:t>
            </w:r>
          </w:p>
        </w:tc>
      </w:tr>
    </w:tbl>
    <w:p>
      <w:pPr>
        <w:spacing w:after="40"/>
      </w:pPr>
    </w:p>
    <w:p>
      <w:pPr>
        <w:spacing w:after="60"/>
      </w:pPr>
      <w:r>
        <w:rPr>
          <w:b/>
        </w:rPr>
        <w:t xml:space="preserve">What it can do that a tracker can't: </w:t>
      </w:r>
    </w:p>
    <w:p>
      <w:pPr>
        <w:pStyle w:val="ListBullet"/>
        <w:spacing w:after="60"/>
      </w:pPr>
      <w:r>
        <w:t>Filing status is derived, never typed: Not Due / Due Soon / Filed / Overdue, computed against the statutory calendar.</w:t>
      </w:r>
    </w:p>
    <w:p>
      <w:pPr>
        <w:pStyle w:val="ListBullet"/>
        <w:spacing w:after="60"/>
      </w:pPr>
      <w:r>
        <w:t>Periodic filings are system-generated 30 days before due, from a per-entity filing calendar Compliance maintains on the register; the calendar rolls forward a year once a cycle is filed.</w:t>
      </w:r>
    </w:p>
    <w:p>
      <w:pPr>
        <w:pStyle w:val="ListBullet"/>
        <w:spacing w:after="60"/>
      </w:pPr>
      <w:r>
        <w:t>The 'Filings by entity' board shows every form due / overdue / filed per entity in one place — including ghost entries for filings that have not generated yet — so nothing is missed across the group.</w:t>
      </w:r>
    </w:p>
    <w:p>
      <w:pPr>
        <w:pStyle w:val="ListBullet"/>
        <w:spacing w:after="60"/>
      </w:pPr>
      <w:r>
        <w:t>Filings link to the resolution that triggered them, and resolutions show their filings back.</w:t>
      </w:r>
    </w:p>
    <w:p>
      <w:pPr>
        <w:pStyle w:val="ListBullet"/>
        <w:spacing w:after="60"/>
      </w:pPr>
      <w:r>
        <w:t>One-click 'Mark filed with SECP' (stamps date + SRN, moves the stage), then 'Mark CTC applied'.</w:t>
      </w:r>
    </w:p>
    <w:p>
      <w:pPr>
        <w:pStyle w:val="Heading2"/>
      </w:pPr>
      <w:r>
        <w:t>Litigation &amp; Dispute Management</w:t>
      </w:r>
    </w:p>
    <w:p>
      <w:pPr>
        <w:pStyle w:val="Heading3"/>
      </w:pPr>
      <w:r>
        <w:t>Case Handling</w:t>
      </w:r>
    </w:p>
    <w:p>
      <w:pPr>
        <w:spacing w:after="100"/>
      </w:pPr>
      <w:r>
        <w:rPr>
          <w:b w:val="0"/>
          <w:i w:val="0"/>
        </w:rPr>
        <w:t>Court and forum matters — recovery suits, civil suits, writ petitions, labour cases, consumer complaints, arbitration, criminal complaints, appeals.</w:t>
      </w:r>
    </w:p>
    <w:tbl>
      <w:tblPr>
        <w:tblStyle w:val="TableGrid"/>
        <w:tblW w:type="auto" w:w="0"/>
        <w:jc w:val="left"/>
        <w:tblLayout w:type="autofit"/>
        <w:tblLook w:firstColumn="1" w:firstRow="1" w:lastColumn="0" w:lastRow="0" w:noHBand="0" w:noVBand="1" w:val="04A0"/>
      </w:tblPr>
      <w:tblGrid>
        <w:gridCol w:w="4320"/>
        <w:gridCol w:w="4320"/>
      </w:tblGrid>
      <w:tr>
        <w:tc>
          <w:tcPr>
            <w:tcW w:type="dxa" w:w="2232"/>
          </w:tcPr>
          <w:p>
            <w:r>
              <w:rPr>
                <w:b/>
                <w:color w:val="4C655A"/>
                <w:sz w:val="19"/>
              </w:rPr>
              <w:t>Workflow</w:t>
            </w:r>
          </w:p>
        </w:tc>
        <w:tc>
          <w:tcPr>
            <w:tcW w:type="dxa" w:w="7344"/>
          </w:tcPr>
          <w:p>
            <w:r>
              <w:rPr>
                <w:sz w:val="20"/>
              </w:rPr>
              <w:t>Task Raised → Assigned → Drafting → Internal Review → Submitted to Court → Closed</w:t>
            </w:r>
          </w:p>
        </w:tc>
      </w:tr>
      <w:tr>
        <w:tc>
          <w:tcPr>
            <w:tcW w:type="dxa" w:w="2232"/>
          </w:tcPr>
          <w:p>
            <w:r>
              <w:rPr>
                <w:b/>
                <w:color w:val="4C655A"/>
                <w:sz w:val="19"/>
              </w:rPr>
              <w:t>Staged SLAs</w:t>
            </w:r>
          </w:p>
        </w:tc>
        <w:tc>
          <w:tcPr>
            <w:tcW w:type="dxa" w:w="7344"/>
          </w:tcPr>
          <w:p>
            <w:r>
              <w:rPr>
                <w:sz w:val="20"/>
              </w:rPr>
              <w:t>Drafting 4d; Internal Review 2d</w:t>
            </w:r>
          </w:p>
        </w:tc>
      </w:tr>
      <w:tr>
        <w:tc>
          <w:tcPr>
            <w:tcW w:type="dxa" w:w="2232"/>
          </w:tcPr>
          <w:p>
            <w:r>
              <w:rPr>
                <w:b/>
                <w:color w:val="4C655A"/>
                <w:sz w:val="19"/>
              </w:rPr>
              <w:t>Key fields</w:t>
            </w:r>
          </w:p>
        </w:tc>
        <w:tc>
          <w:tcPr>
            <w:tcW w:type="dxa" w:w="7344"/>
          </w:tcPr>
          <w:p>
            <w:r>
              <w:rPr>
                <w:sz w:val="20"/>
              </w:rPr>
              <w:t>Case number, court/forum, company position, counsel (internal/external + name), filing date, recoverable &amp; exposure (PKR), risk rating, outcome</w:t>
            </w:r>
          </w:p>
        </w:tc>
      </w:tr>
    </w:tbl>
    <w:p>
      <w:pPr>
        <w:spacing w:after="40"/>
      </w:pPr>
    </w:p>
    <w:p>
      <w:pPr>
        <w:spacing w:after="60"/>
      </w:pPr>
      <w:r>
        <w:rPr>
          <w:b/>
        </w:rPr>
        <w:t xml:space="preserve">What it can do that a tracker can't: </w:t>
      </w:r>
    </w:p>
    <w:p>
      <w:pPr>
        <w:pStyle w:val="ListBullet"/>
        <w:spacing w:after="60"/>
      </w:pPr>
      <w:r>
        <w:t>A hearing log: one matter, many hearings — date, type, attended by, outcome/order, next date. The register shows 'next action due' per case.</w:t>
      </w:r>
    </w:p>
    <w:p>
      <w:pPr>
        <w:pStyle w:val="ListBullet"/>
        <w:spacing w:after="60"/>
      </w:pPr>
      <w:r>
        <w:t>The TAT clock measures internal legal tasks only and freezes at 'Submitted to Court' — court time never counts against Legal.</w:t>
      </w:r>
    </w:p>
    <w:p>
      <w:pPr>
        <w:pStyle w:val="Heading3"/>
      </w:pPr>
      <w:r>
        <w:t>Asset Recovery</w:t>
      </w:r>
    </w:p>
    <w:p>
      <w:pPr>
        <w:spacing w:after="100"/>
      </w:pPr>
      <w:r>
        <w:rPr>
          <w:b w:val="0"/>
          <w:i w:val="0"/>
        </w:rPr>
        <w:t>Recovering company assets and dues from ex-employees, region by region.</w:t>
      </w:r>
    </w:p>
    <w:tbl>
      <w:tblPr>
        <w:tblStyle w:val="TableGrid"/>
        <w:tblW w:type="auto" w:w="0"/>
        <w:jc w:val="left"/>
        <w:tblLayout w:type="autofit"/>
        <w:tblLook w:firstColumn="1" w:firstRow="1" w:lastColumn="0" w:lastRow="0" w:noHBand="0" w:noVBand="1" w:val="04A0"/>
      </w:tblPr>
      <w:tblGrid>
        <w:gridCol w:w="4320"/>
        <w:gridCol w:w="4320"/>
      </w:tblGrid>
      <w:tr>
        <w:tc>
          <w:tcPr>
            <w:tcW w:type="dxa" w:w="2232"/>
          </w:tcPr>
          <w:p>
            <w:r>
              <w:rPr>
                <w:b/>
                <w:color w:val="4C655A"/>
                <w:sz w:val="19"/>
              </w:rPr>
              <w:t>Workflow</w:t>
            </w:r>
          </w:p>
        </w:tc>
        <w:tc>
          <w:tcPr>
            <w:tcW w:type="dxa" w:w="7344"/>
          </w:tcPr>
          <w:p>
            <w:r>
              <w:rPr>
                <w:sz w:val="20"/>
              </w:rPr>
              <w:t>Case Opened → Assigned → Demand Notice → Negotiation / Recovery → Settlement → Closed</w:t>
            </w:r>
          </w:p>
        </w:tc>
      </w:tr>
      <w:tr>
        <w:tc>
          <w:tcPr>
            <w:tcW w:type="dxa" w:w="2232"/>
          </w:tcPr>
          <w:p>
            <w:r>
              <w:rPr>
                <w:b/>
                <w:color w:val="4C655A"/>
                <w:sz w:val="19"/>
              </w:rPr>
              <w:t>Staged SLAs</w:t>
            </w:r>
          </w:p>
        </w:tc>
        <w:tc>
          <w:tcPr>
            <w:tcW w:type="dxa" w:w="7344"/>
          </w:tcPr>
          <w:p>
            <w:r>
              <w:rPr>
                <w:sz w:val="20"/>
              </w:rPr>
              <w:t>Demand Notice 3d</w:t>
            </w:r>
          </w:p>
        </w:tc>
      </w:tr>
      <w:tr>
        <w:tc>
          <w:tcPr>
            <w:tcW w:type="dxa" w:w="2232"/>
          </w:tcPr>
          <w:p>
            <w:r>
              <w:rPr>
                <w:b/>
                <w:color w:val="4C655A"/>
                <w:sz w:val="19"/>
              </w:rPr>
              <w:t>Key fields</w:t>
            </w:r>
          </w:p>
        </w:tc>
        <w:tc>
          <w:tcPr>
            <w:tcW w:type="dxa" w:w="7344"/>
          </w:tcPr>
          <w:p>
            <w:r>
              <w:rPr>
                <w:sz w:val="20"/>
              </w:rPr>
              <w:t>Three source-tagged groups: HR Input (employee, dates, leaves, salary, PF, total payable…), Admin Input (laptop/vehicle/mobile balances…), Legal Input (action taken, recovery status, notes)</w:t>
            </w:r>
          </w:p>
        </w:tc>
      </w:tr>
    </w:tbl>
    <w:p>
      <w:pPr>
        <w:spacing w:after="40"/>
      </w:pPr>
    </w:p>
    <w:p>
      <w:pPr>
        <w:spacing w:after="60"/>
      </w:pPr>
      <w:r>
        <w:rPr>
          <w:b/>
        </w:rPr>
        <w:t xml:space="preserve">What it can do that a tracker can't: </w:t>
      </w:r>
    </w:p>
    <w:p>
      <w:pPr>
        <w:pStyle w:val="ListBullet"/>
        <w:spacing w:after="60"/>
      </w:pPr>
      <w:r>
        <w:t>Field-level ownership is a write right: HR maintains the HR group and Admin theirs, directly in the OS, even from a status-only view. Legal's group stays legal-only.</w:t>
      </w:r>
    </w:p>
    <w:p>
      <w:pPr>
        <w:pStyle w:val="ListBullet"/>
        <w:spacing w:after="60"/>
      </w:pPr>
      <w:r>
        <w:t>Tracks total value recovered vs outstanding.</w:t>
      </w:r>
    </w:p>
    <w:p>
      <w:pPr>
        <w:pStyle w:val="Heading3"/>
      </w:pPr>
      <w:r>
        <w:t>IP Portfolio</w:t>
      </w:r>
    </w:p>
    <w:p>
      <w:pPr>
        <w:spacing w:after="100"/>
      </w:pPr>
      <w:r>
        <w:rPr>
          <w:b w:val="0"/>
          <w:i w:val="0"/>
        </w:rPr>
        <w:t>The trademark and IP register plus the work on it — new filings, renewals, infringement actions.</w:t>
      </w:r>
    </w:p>
    <w:tbl>
      <w:tblPr>
        <w:tblStyle w:val="TableGrid"/>
        <w:tblW w:type="auto" w:w="0"/>
        <w:jc w:val="left"/>
        <w:tblLayout w:type="autofit"/>
        <w:tblLook w:firstColumn="1" w:firstRow="1" w:lastColumn="0" w:lastRow="0" w:noHBand="0" w:noVBand="1" w:val="04A0"/>
      </w:tblPr>
      <w:tblGrid>
        <w:gridCol w:w="4320"/>
        <w:gridCol w:w="4320"/>
      </w:tblGrid>
      <w:tr>
        <w:tc>
          <w:tcPr>
            <w:tcW w:type="dxa" w:w="2232"/>
          </w:tcPr>
          <w:p>
            <w:r>
              <w:rPr>
                <w:b/>
                <w:color w:val="4C655A"/>
                <w:sz w:val="19"/>
              </w:rPr>
              <w:t>Workflow</w:t>
            </w:r>
          </w:p>
        </w:tc>
        <w:tc>
          <w:tcPr>
            <w:tcW w:type="dxa" w:w="7344"/>
          </w:tcPr>
          <w:p>
            <w:r>
              <w:rPr>
                <w:sz w:val="20"/>
              </w:rPr>
              <w:t>Request Raised → Assigned → Drafting / Filing Preparation → Internal Review → Submission to IP Office → Registered / Renewed / Closed</w:t>
            </w:r>
          </w:p>
        </w:tc>
      </w:tr>
      <w:tr>
        <w:tc>
          <w:tcPr>
            <w:tcW w:type="dxa" w:w="2232"/>
          </w:tcPr>
          <w:p>
            <w:r>
              <w:rPr>
                <w:b/>
                <w:color w:val="4C655A"/>
                <w:sz w:val="19"/>
              </w:rPr>
              <w:t>Staged SLAs</w:t>
            </w:r>
          </w:p>
        </w:tc>
        <w:tc>
          <w:tcPr>
            <w:tcW w:type="dxa" w:w="7344"/>
          </w:tcPr>
          <w:p>
            <w:r>
              <w:rPr>
                <w:sz w:val="20"/>
              </w:rPr>
              <w:t>Drafting / Filing Preparation 5d; Internal Review 2d</w:t>
            </w:r>
          </w:p>
        </w:tc>
      </w:tr>
      <w:tr>
        <w:tc>
          <w:tcPr>
            <w:tcW w:type="dxa" w:w="2232"/>
          </w:tcPr>
          <w:p>
            <w:r>
              <w:rPr>
                <w:b/>
                <w:color w:val="4C655A"/>
                <w:sz w:val="19"/>
              </w:rPr>
              <w:t>Key fields</w:t>
            </w:r>
          </w:p>
        </w:tc>
        <w:tc>
          <w:tcPr>
            <w:tcW w:type="dxa" w:w="7344"/>
          </w:tcPr>
          <w:p>
            <w:r>
              <w:rPr>
                <w:sz w:val="20"/>
              </w:rPr>
              <w:t>Mark, classes, registration number, key dates, renewal due, status + sub-status, registered owner, local counsel</w:t>
            </w:r>
          </w:p>
        </w:tc>
      </w:tr>
    </w:tbl>
    <w:p>
      <w:pPr>
        <w:spacing w:after="40"/>
      </w:pPr>
    </w:p>
    <w:p>
      <w:pPr>
        <w:spacing w:after="60"/>
      </w:pPr>
      <w:r>
        <w:rPr>
          <w:b/>
        </w:rPr>
        <w:t xml:space="preserve">What it can do that a tracker can't: </w:t>
      </w:r>
    </w:p>
    <w:p>
      <w:pPr>
        <w:pStyle w:val="ListBullet"/>
        <w:spacing w:after="60"/>
      </w:pPr>
      <w:r>
        <w:t>The register is the portfolio: registered marks, pending prosecution and open actions in one view.</w:t>
      </w:r>
    </w:p>
    <w:p>
      <w:pPr>
        <w:pStyle w:val="ListBullet"/>
        <w:spacing w:after="60"/>
      </w:pPr>
      <w:r>
        <w:t>Renewal reminders ride the same 30/15/7 sweep as agreements and licenses.</w:t>
      </w:r>
    </w:p>
    <w:p>
      <w:pPr>
        <w:pStyle w:val="Heading3"/>
      </w:pPr>
      <w:r>
        <w:t>Developer Disputes</w:t>
      </w:r>
    </w:p>
    <w:p>
      <w:pPr>
        <w:spacing w:after="100"/>
      </w:pPr>
      <w:r>
        <w:rPr>
          <w:b w:val="0"/>
          <w:i w:val="0"/>
        </w:rPr>
        <w:t>CPML/developer project matters: disputes with developers on the group's project mandates.</w:t>
      </w:r>
    </w:p>
    <w:tbl>
      <w:tblPr>
        <w:tblStyle w:val="TableGrid"/>
        <w:tblW w:type="auto" w:w="0"/>
        <w:jc w:val="left"/>
        <w:tblLayout w:type="autofit"/>
        <w:tblLook w:firstColumn="1" w:firstRow="1" w:lastColumn="0" w:lastRow="0" w:noHBand="0" w:noVBand="1" w:val="04A0"/>
      </w:tblPr>
      <w:tblGrid>
        <w:gridCol w:w="4320"/>
        <w:gridCol w:w="4320"/>
      </w:tblGrid>
      <w:tr>
        <w:tc>
          <w:tcPr>
            <w:tcW w:type="dxa" w:w="2232"/>
          </w:tcPr>
          <w:p>
            <w:r>
              <w:rPr>
                <w:b/>
                <w:color w:val="4C655A"/>
                <w:sz w:val="19"/>
              </w:rPr>
              <w:t>Workflow</w:t>
            </w:r>
          </w:p>
        </w:tc>
        <w:tc>
          <w:tcPr>
            <w:tcW w:type="dxa" w:w="7344"/>
          </w:tcPr>
          <w:p>
            <w:r>
              <w:rPr>
                <w:sz w:val="20"/>
              </w:rPr>
              <w:t>Raised → Assigned → Assessment → Action in Progress → Resolved / Closed</w:t>
            </w:r>
          </w:p>
        </w:tc>
      </w:tr>
      <w:tr>
        <w:tc>
          <w:tcPr>
            <w:tcW w:type="dxa" w:w="2232"/>
          </w:tcPr>
          <w:p>
            <w:r>
              <w:rPr>
                <w:b/>
                <w:color w:val="4C655A"/>
                <w:sz w:val="19"/>
              </w:rPr>
              <w:t>Staged SLAs</w:t>
            </w:r>
          </w:p>
        </w:tc>
        <w:tc>
          <w:tcPr>
            <w:tcW w:type="dxa" w:w="7344"/>
          </w:tcPr>
          <w:p>
            <w:r>
              <w:rPr>
                <w:sz w:val="20"/>
              </w:rPr>
              <w:t>Assessment 3d</w:t>
            </w:r>
          </w:p>
        </w:tc>
      </w:tr>
      <w:tr>
        <w:tc>
          <w:tcPr>
            <w:tcW w:type="dxa" w:w="2232"/>
          </w:tcPr>
          <w:p>
            <w:r>
              <w:rPr>
                <w:b/>
                <w:color w:val="4C655A"/>
                <w:sz w:val="19"/>
              </w:rPr>
              <w:t>Key fields</w:t>
            </w:r>
          </w:p>
        </w:tc>
        <w:tc>
          <w:tcPr>
            <w:tcW w:type="dxa" w:w="7344"/>
          </w:tcPr>
          <w:p>
            <w:r>
              <w:rPr>
                <w:sz w:val="20"/>
              </w:rPr>
              <w:t>Nature of the matter, latest update, action required / action taken, region, authorized person</w:t>
            </w:r>
          </w:p>
        </w:tc>
      </w:tr>
    </w:tbl>
    <w:p>
      <w:pPr>
        <w:spacing w:after="40"/>
      </w:pPr>
    </w:p>
    <w:p>
      <w:pPr>
        <w:pStyle w:val="Heading3"/>
      </w:pPr>
      <w:r>
        <w:t>Police Complaints</w:t>
      </w:r>
    </w:p>
    <w:p>
      <w:pPr>
        <w:spacing w:after="100"/>
      </w:pPr>
      <w:r>
        <w:rPr>
          <w:b w:val="0"/>
          <w:i w:val="0"/>
        </w:rPr>
        <w:t>Complaints the company files — against project vendors, ex-employees, or buyers — from board authorization to FIR and investigation.</w:t>
      </w:r>
    </w:p>
    <w:tbl>
      <w:tblPr>
        <w:tblStyle w:val="TableGrid"/>
        <w:tblW w:type="auto" w:w="0"/>
        <w:jc w:val="left"/>
        <w:tblLayout w:type="autofit"/>
        <w:tblLook w:firstColumn="1" w:firstRow="1" w:lastColumn="0" w:lastRow="0" w:noHBand="0" w:noVBand="1" w:val="04A0"/>
      </w:tblPr>
      <w:tblGrid>
        <w:gridCol w:w="4320"/>
        <w:gridCol w:w="4320"/>
      </w:tblGrid>
      <w:tr>
        <w:tc>
          <w:tcPr>
            <w:tcW w:type="dxa" w:w="2232"/>
          </w:tcPr>
          <w:p>
            <w:r>
              <w:rPr>
                <w:b/>
                <w:color w:val="4C655A"/>
                <w:sz w:val="19"/>
              </w:rPr>
              <w:t>Workflow</w:t>
            </w:r>
          </w:p>
        </w:tc>
        <w:tc>
          <w:tcPr>
            <w:tcW w:type="dxa" w:w="7344"/>
          </w:tcPr>
          <w:p>
            <w:r>
              <w:rPr>
                <w:sz w:val="20"/>
              </w:rPr>
              <w:t>Complaint Raised → Authorization (Board Resolution) → Filed with Police Station → FIR Lodged → Under Investigation → Closed</w:t>
            </w:r>
          </w:p>
        </w:tc>
      </w:tr>
      <w:tr>
        <w:tc>
          <w:tcPr>
            <w:tcW w:type="dxa" w:w="2232"/>
          </w:tcPr>
          <w:p>
            <w:r>
              <w:rPr>
                <w:b/>
                <w:color w:val="4C655A"/>
                <w:sz w:val="19"/>
              </w:rPr>
              <w:t>Staged SLAs</w:t>
            </w:r>
          </w:p>
        </w:tc>
        <w:tc>
          <w:tcPr>
            <w:tcW w:type="dxa" w:w="7344"/>
          </w:tcPr>
          <w:p>
            <w:r>
              <w:rPr>
                <w:sz w:val="20"/>
              </w:rPr>
              <w:t>Authorization 2d</w:t>
            </w:r>
          </w:p>
        </w:tc>
      </w:tr>
      <w:tr>
        <w:tc>
          <w:tcPr>
            <w:tcW w:type="dxa" w:w="2232"/>
          </w:tcPr>
          <w:p>
            <w:r>
              <w:rPr>
                <w:b/>
                <w:color w:val="4C655A"/>
                <w:sz w:val="19"/>
              </w:rPr>
              <w:t>Key fields</w:t>
            </w:r>
          </w:p>
        </w:tc>
        <w:tc>
          <w:tcPr>
            <w:tcW w:type="dxa" w:w="7344"/>
          </w:tcPr>
          <w:p>
            <w:r>
              <w:rPr>
                <w:sz w:val="20"/>
              </w:rPr>
              <w:t>Complaint type, authorized person, board resolution provided, police station, FIR number &amp; dates</w:t>
            </w:r>
          </w:p>
        </w:tc>
      </w:tr>
    </w:tbl>
    <w:p>
      <w:pPr>
        <w:spacing w:after="40"/>
      </w:pPr>
    </w:p>
    <w:p>
      <w:pPr>
        <w:spacing w:after="60"/>
      </w:pPr>
      <w:r>
        <w:rPr>
          <w:b/>
        </w:rPr>
        <w:t xml:space="preserve">What it can do that a tracker can't: </w:t>
      </w:r>
    </w:p>
    <w:p>
      <w:pPr>
        <w:pStyle w:val="ListBullet"/>
        <w:spacing w:after="60"/>
      </w:pPr>
      <w:r>
        <w:t>Board-resolution authorization is an explicit stage — a complaint cannot quietly skip it.</w:t>
      </w:r>
    </w:p>
    <w:p>
      <w:pPr>
        <w:pStyle w:val="Heading3"/>
      </w:pPr>
      <w:r>
        <w:t>Notices</w:t>
      </w:r>
    </w:p>
    <w:p>
      <w:pPr>
        <w:spacing w:after="100"/>
      </w:pPr>
      <w:r>
        <w:rPr>
          <w:b w:val="0"/>
          <w:i w:val="0"/>
        </w:rPr>
        <w:t>Every legal notice received or issued: citizen portal notices, legal notices, hearing summons, defamation, IP infringement, government and private notices.</w:t>
      </w:r>
    </w:p>
    <w:tbl>
      <w:tblPr>
        <w:tblStyle w:val="TableGrid"/>
        <w:tblW w:type="auto" w:w="0"/>
        <w:jc w:val="left"/>
        <w:tblLayout w:type="autofit"/>
        <w:tblLook w:firstColumn="1" w:firstRow="1" w:lastColumn="0" w:lastRow="0" w:noHBand="0" w:noVBand="1" w:val="04A0"/>
      </w:tblPr>
      <w:tblGrid>
        <w:gridCol w:w="4320"/>
        <w:gridCol w:w="4320"/>
      </w:tblGrid>
      <w:tr>
        <w:tc>
          <w:tcPr>
            <w:tcW w:type="dxa" w:w="2232"/>
          </w:tcPr>
          <w:p>
            <w:r>
              <w:rPr>
                <w:b/>
                <w:color w:val="4C655A"/>
                <w:sz w:val="19"/>
              </w:rPr>
              <w:t>Workflow</w:t>
            </w:r>
          </w:p>
        </w:tc>
        <w:tc>
          <w:tcPr>
            <w:tcW w:type="dxa" w:w="7344"/>
          </w:tcPr>
          <w:p>
            <w:r>
              <w:rPr>
                <w:sz w:val="20"/>
              </w:rPr>
              <w:t>Notice Logged → Assigned → Response Drafting → Internal Review → Reply Submitted → Closed</w:t>
            </w:r>
          </w:p>
        </w:tc>
      </w:tr>
      <w:tr>
        <w:tc>
          <w:tcPr>
            <w:tcW w:type="dxa" w:w="2232"/>
          </w:tcPr>
          <w:p>
            <w:r>
              <w:rPr>
                <w:b/>
                <w:color w:val="4C655A"/>
                <w:sz w:val="19"/>
              </w:rPr>
              <w:t>Staged SLAs</w:t>
            </w:r>
          </w:p>
        </w:tc>
        <w:tc>
          <w:tcPr>
            <w:tcW w:type="dxa" w:w="7344"/>
          </w:tcPr>
          <w:p>
            <w:r>
              <w:rPr>
                <w:sz w:val="20"/>
              </w:rPr>
              <w:t>Response Drafting 3d; Internal Review 1d</w:t>
            </w:r>
          </w:p>
        </w:tc>
      </w:tr>
      <w:tr>
        <w:tc>
          <w:tcPr>
            <w:tcW w:type="dxa" w:w="2232"/>
          </w:tcPr>
          <w:p>
            <w:r>
              <w:rPr>
                <w:b/>
                <w:color w:val="4C655A"/>
                <w:sz w:val="19"/>
              </w:rPr>
              <w:t>Key fields</w:t>
            </w:r>
          </w:p>
        </w:tc>
        <w:tc>
          <w:tcPr>
            <w:tcW w:type="dxa" w:w="7344"/>
          </w:tcPr>
          <w:p>
            <w:r>
              <w:rPr>
                <w:sz w:val="20"/>
              </w:rPr>
              <w:t>Source, serial number, sender, category (master list), notice &amp; receipt dates, reply-required status</w:t>
            </w:r>
          </w:p>
        </w:tc>
      </w:tr>
    </w:tbl>
    <w:p>
      <w:pPr>
        <w:spacing w:after="40"/>
      </w:pPr>
    </w:p>
    <w:p>
      <w:pPr>
        <w:spacing w:after="60"/>
      </w:pPr>
      <w:r>
        <w:rPr>
          <w:b/>
        </w:rPr>
        <w:t xml:space="preserve">What it can do that a tracker can't: </w:t>
      </w:r>
    </w:p>
    <w:p>
      <w:pPr>
        <w:pStyle w:val="ListBullet"/>
        <w:spacing w:after="60"/>
      </w:pPr>
      <w:r>
        <w:t>Auto-response: the system detects the notice category and drafts the standard reply for review in one click. Citizen-portal, cease-and-desist, defamation and standard legal notices have stored templates; a category without one refuses honestly.</w:t>
      </w:r>
    </w:p>
    <w:p>
      <w:pPr>
        <w:pStyle w:val="ListBullet"/>
        <w:spacing w:after="60"/>
      </w:pPr>
      <w:r>
        <w:t>Legal staff can log a received notice directly with the full field set — no fake 'request' needed.</w:t>
      </w:r>
    </w:p>
    <w:p>
      <w:pPr>
        <w:pStyle w:val="Heading3"/>
      </w:pPr>
      <w:r>
        <w:t>Govt Inspections</w:t>
      </w:r>
    </w:p>
    <w:p>
      <w:pPr>
        <w:spacing w:after="100"/>
      </w:pPr>
      <w:r>
        <w:rPr>
          <w:b w:val="0"/>
          <w:i w:val="0"/>
        </w:rPr>
        <w:t>Labour Department (bi-annual) and Civil Defence (annual) inspections per office, with the cost story per site.</w:t>
      </w:r>
    </w:p>
    <w:tbl>
      <w:tblPr>
        <w:tblStyle w:val="TableGrid"/>
        <w:tblW w:type="auto" w:w="0"/>
        <w:jc w:val="left"/>
        <w:tblLayout w:type="autofit"/>
        <w:tblLook w:firstColumn="1" w:firstRow="1" w:lastColumn="0" w:lastRow="0" w:noHBand="0" w:noVBand="1" w:val="04A0"/>
      </w:tblPr>
      <w:tblGrid>
        <w:gridCol w:w="4320"/>
        <w:gridCol w:w="4320"/>
      </w:tblGrid>
      <w:tr>
        <w:tc>
          <w:tcPr>
            <w:tcW w:type="dxa" w:w="2232"/>
          </w:tcPr>
          <w:p>
            <w:r>
              <w:rPr>
                <w:b/>
                <w:color w:val="4C655A"/>
                <w:sz w:val="19"/>
              </w:rPr>
              <w:t>Workflow</w:t>
            </w:r>
          </w:p>
        </w:tc>
        <w:tc>
          <w:tcPr>
            <w:tcW w:type="dxa" w:w="7344"/>
          </w:tcPr>
          <w:p>
            <w:r>
              <w:rPr>
                <w:sz w:val="20"/>
              </w:rPr>
              <w:t>Inspection Scheduled → Conducted → Irregularities Remediation → Book Signed / Certificate Issued → Closed</w:t>
            </w:r>
          </w:p>
        </w:tc>
      </w:tr>
      <w:tr>
        <w:tc>
          <w:tcPr>
            <w:tcW w:type="dxa" w:w="2232"/>
          </w:tcPr>
          <w:p>
            <w:r>
              <w:rPr>
                <w:b/>
                <w:color w:val="4C655A"/>
                <w:sz w:val="19"/>
              </w:rPr>
              <w:t>Staged SLAs</w:t>
            </w:r>
          </w:p>
        </w:tc>
        <w:tc>
          <w:tcPr>
            <w:tcW w:type="dxa" w:w="7344"/>
          </w:tcPr>
          <w:p>
            <w:r>
              <w:rPr>
                <w:sz w:val="20"/>
              </w:rPr>
              <w:t>Irregularities Remediation 5d</w:t>
            </w:r>
          </w:p>
        </w:tc>
      </w:tr>
      <w:tr>
        <w:tc>
          <w:tcPr>
            <w:tcW w:type="dxa" w:w="2232"/>
          </w:tcPr>
          <w:p>
            <w:r>
              <w:rPr>
                <w:b/>
                <w:color w:val="4C655A"/>
                <w:sz w:val="19"/>
              </w:rPr>
              <w:t>Key fields</w:t>
            </w:r>
          </w:p>
        </w:tc>
        <w:tc>
          <w:tcPr>
            <w:tcW w:type="dxa" w:w="7344"/>
          </w:tcPr>
          <w:p>
            <w:r>
              <w:rPr>
                <w:sz w:val="20"/>
              </w:rPr>
              <w:t>Office/site (master list), inspection date, officer name &amp; designation, irregularities, book signed / certificate issued, consultancy fee, cost per office current vs forthcoming year, cost reduced Y/N</w:t>
            </w:r>
          </w:p>
        </w:tc>
      </w:tr>
    </w:tbl>
    <w:p>
      <w:pPr>
        <w:spacing w:after="40"/>
      </w:pPr>
    </w:p>
    <w:p>
      <w:pPr>
        <w:spacing w:after="60"/>
      </w:pPr>
      <w:r>
        <w:rPr>
          <w:b/>
        </w:rPr>
        <w:t xml:space="preserve">What it can do that a tracker can't: </w:t>
      </w:r>
    </w:p>
    <w:p>
      <w:pPr>
        <w:pStyle w:val="ListBullet"/>
        <w:spacing w:after="60"/>
      </w:pPr>
      <w:r>
        <w:t>'Schedule next' on a closed inspection creates the next cycle on the right cadence (6 or 12 months) with costs rolled forward.</w:t>
      </w:r>
    </w:p>
    <w:p>
      <w:pPr>
        <w:pStyle w:val="ListBullet"/>
        <w:spacing w:after="60"/>
      </w:pPr>
      <w:r>
        <w:t>The year-on-year cost comparison feeds the cost dashboard per office.</w:t>
      </w:r>
    </w:p>
    <w:p>
      <w:pPr>
        <w:pStyle w:val="Heading1"/>
      </w:pPr>
      <w:r>
        <w:t>6. The shared surfaces</w:t>
      </w:r>
    </w:p>
    <w:p>
      <w:pPr>
        <w:pStyle w:val="ListBullet"/>
        <w:spacing w:after="60"/>
      </w:pPr>
      <w:r>
        <w:rPr>
          <w:b/>
        </w:rPr>
        <w:t xml:space="preserve">My Tasks — </w:t>
      </w:r>
      <w:r>
        <w:t>every legal user's landing screen: everything assigned to them across all modules, most urgent first, with a 'Start here' line pointing at the most burning item. Leads see their team queue; the Head sees all teams. KPI cards filter the list.</w:t>
      </w:r>
    </w:p>
    <w:p>
      <w:pPr>
        <w:pStyle w:val="ListBullet"/>
        <w:spacing w:after="60"/>
      </w:pPr>
      <w:r>
        <w:rPr>
          <w:b/>
        </w:rPr>
        <w:t xml:space="preserve">Raise Request — </w:t>
      </w:r>
      <w:r>
        <w:t>the single front door: team → module → details, with SLA preview, required fields per module, attachments and estimated cost with attribution. 'My requests' below shows the status of everything you have raised.</w:t>
      </w:r>
    </w:p>
    <w:p>
      <w:pPr>
        <w:pStyle w:val="ListBullet"/>
        <w:spacing w:after="60"/>
      </w:pPr>
      <w:r>
        <w:rPr>
          <w:b/>
        </w:rPr>
        <w:t xml:space="preserve">Entity Registry &amp; 360° view — </w:t>
      </w:r>
      <w:r>
        <w:t>every counterparty, vendor and group entity, registered once and selected everywhere. An entity's page shows all work touching it, in any role, across all thirteen modules plus contracts, matters, licenses and litigation.</w:t>
      </w:r>
    </w:p>
    <w:p>
      <w:pPr>
        <w:pStyle w:val="ListBullet"/>
        <w:spacing w:after="60"/>
      </w:pPr>
      <w:r>
        <w:rPr>
          <w:b/>
        </w:rPr>
        <w:t xml:space="preserve">Cost Analysis — </w:t>
      </w:r>
      <w:r>
        <w:t>spend by team, module and requesting department; budget vs actual; estimated vs invoiced; CSV export for Finance.</w:t>
      </w:r>
    </w:p>
    <w:p>
      <w:pPr>
        <w:pStyle w:val="ListBullet"/>
        <w:spacing w:after="60"/>
      </w:pPr>
      <w:r>
        <w:rPr>
          <w:b/>
        </w:rPr>
        <w:t xml:space="preserve">Team Pipelines — </w:t>
      </w:r>
      <w:r>
        <w:t>each individual's kanban by stage, the load balance across the desk, and delayed items per person. Every owner name in the OS deep-links here.</w:t>
      </w:r>
    </w:p>
    <w:p>
      <w:pPr>
        <w:pStyle w:val="ListBullet"/>
        <w:spacing w:after="60"/>
      </w:pPr>
      <w:r>
        <w:rPr>
          <w:b/>
        </w:rPr>
        <w:t xml:space="preserve">Executive Overview, Flow Map &amp; Brief — </w:t>
      </w:r>
      <w:r>
        <w:t>the leadership layer: value under management, average turnaround, portal adoption, per-desk workload; a nine-stage 'how it works' map with live counts; a printable one-page executive brief; and a guided 5-minute tour.</w:t>
      </w:r>
    </w:p>
    <w:p>
      <w:pPr>
        <w:pStyle w:val="ListBullet"/>
        <w:spacing w:after="60"/>
      </w:pPr>
      <w:r>
        <w:rPr>
          <w:b/>
        </w:rPr>
        <w:t xml:space="preserve">Requester Portal — </w:t>
      </w:r>
      <w:r>
        <w:t>a separate, simpler app for the business: guided request wizard, live status, document uploads, two-way chat — synced with LegalOS in real time, no reload needed.</w:t>
      </w:r>
    </w:p>
    <w:p>
      <w:pPr>
        <w:pStyle w:val="ListBullet"/>
        <w:spacing w:after="60"/>
      </w:pPr>
      <w:r>
        <w:rPr>
          <w:b/>
        </w:rPr>
        <w:t xml:space="preserve">Legal Workspace, Contract Tracker, Intake &amp; Repository, Data Analyzer — </w:t>
      </w:r>
      <w:r>
        <w:t>the operational spine: unified work views with saved filters, the contract register grid, OCR-seam document intake with field extraction, and the self-serve analyzer.</w:t>
      </w:r>
    </w:p>
    <w:p>
      <w:pPr>
        <w:pStyle w:val="ListBullet"/>
        <w:spacing w:after="60"/>
      </w:pPr>
      <w:r>
        <w:rPr>
          <w:b/>
        </w:rPr>
        <w:t xml:space="preserve">Settings — </w:t>
      </w:r>
      <w:r>
        <w:t>master data admin, the access matrix, requester-form configuration end to end, and Presentation mode (reset the demo to pristine).</w:t>
      </w:r>
    </w:p>
    <w:p>
      <w:pPr>
        <w:pStyle w:val="Heading1"/>
      </w:pPr>
      <w:r>
        <w:t>7. Ten everyday moves</w:t>
      </w:r>
    </w:p>
    <w:p>
      <w:pPr>
        <w:pStyle w:val="ListNumber"/>
        <w:spacing w:after="60"/>
      </w:pPr>
      <w:r>
        <w:rPr>
          <w:b/>
        </w:rPr>
        <w:t xml:space="preserve">Raise anything to Legal — </w:t>
      </w:r>
      <w:r>
        <w:t>Raise Request (or the green + New button, top bar) → pick team → pick module → submit. You get a reference and can watch it move.</w:t>
      </w:r>
    </w:p>
    <w:p>
      <w:pPr>
        <w:pStyle w:val="ListNumber"/>
        <w:spacing w:after="60"/>
      </w:pPr>
      <w:r>
        <w:rPr>
          <w:b/>
        </w:rPr>
        <w:t xml:space="preserve">Answer 'where is my request?' — </w:t>
      </w:r>
      <w:r>
        <w:t>My requests on the Raise screen, or open the record: stage, owner, TAT and the conversation are all there.</w:t>
      </w:r>
    </w:p>
    <w:p>
      <w:pPr>
        <w:pStyle w:val="ListNumber"/>
        <w:spacing w:after="60"/>
      </w:pPr>
      <w:r>
        <w:rPr>
          <w:b/>
        </w:rPr>
        <w:t xml:space="preserve">Send legal a document they asked for — </w:t>
      </w:r>
      <w:r>
        <w:t>Open your request → Documents → Attach. The owner is notified instantly.</w:t>
      </w:r>
    </w:p>
    <w:p>
      <w:pPr>
        <w:pStyle w:val="ListNumber"/>
        <w:spacing w:after="60"/>
      </w:pPr>
      <w:r>
        <w:rPr>
          <w:b/>
        </w:rPr>
        <w:t xml:space="preserve">Ask or answer on the record — </w:t>
      </w:r>
      <w:r>
        <w:t>The Conversation panel. Legal can tick 'internal note' for team-only remarks.</w:t>
      </w:r>
    </w:p>
    <w:p>
      <w:pPr>
        <w:pStyle w:val="ListNumber"/>
        <w:spacing w:after="60"/>
      </w:pPr>
      <w:r>
        <w:rPr>
          <w:b/>
        </w:rPr>
        <w:t xml:space="preserve">Pause the clock while another dept holds the file — </w:t>
      </w:r>
      <w:r>
        <w:t>Share with a department + a structured reason. Receive back when it returns.</w:t>
      </w:r>
    </w:p>
    <w:p>
      <w:pPr>
        <w:pStyle w:val="ListNumber"/>
        <w:spacing w:after="60"/>
      </w:pPr>
      <w:r>
        <w:rPr>
          <w:b/>
        </w:rPr>
        <w:t xml:space="preserve">Rebalance the desk — </w:t>
      </w:r>
      <w:r>
        <w:t>Leads/Head: change the owner in People &amp; routing — the new owner is notified, the trail records it.</w:t>
      </w:r>
    </w:p>
    <w:p>
      <w:pPr>
        <w:pStyle w:val="ListNumber"/>
        <w:spacing w:after="60"/>
      </w:pPr>
      <w:r>
        <w:rPr>
          <w:b/>
        </w:rPr>
        <w:t xml:space="preserve">See everything about one company — </w:t>
      </w:r>
      <w:r>
        <w:t>Click its name anywhere → the 360° view.</w:t>
      </w:r>
    </w:p>
    <w:p>
      <w:pPr>
        <w:pStyle w:val="ListNumber"/>
        <w:spacing w:after="60"/>
      </w:pPr>
      <w:r>
        <w:rPr>
          <w:b/>
        </w:rPr>
        <w:t xml:space="preserve">See exactly what is late — </w:t>
      </w:r>
      <w:r>
        <w:t>Any register → click the red Overdue card. My Tasks → same.</w:t>
      </w:r>
    </w:p>
    <w:p>
      <w:pPr>
        <w:pStyle w:val="ListNumber"/>
        <w:spacing w:after="60"/>
      </w:pPr>
      <w:r>
        <w:rPr>
          <w:b/>
        </w:rPr>
        <w:t xml:space="preserve">Add a new dropdown value (e.g. a new SECP form) — </w:t>
      </w:r>
      <w:r>
        <w:t>Settings → Master Data → pick the list → Add. Forms update immediately.</w:t>
      </w:r>
    </w:p>
    <w:p>
      <w:pPr>
        <w:pStyle w:val="ListNumber"/>
        <w:spacing w:after="60"/>
      </w:pPr>
      <w:r>
        <w:rPr>
          <w:b/>
        </w:rPr>
        <w:t xml:space="preserve">Show it to someone — </w:t>
      </w:r>
      <w:r>
        <w:t>Executive Overview → 'Take the 5 minute tour', or print the Executive Brief.</w:t>
      </w:r>
    </w:p>
    <w:p>
      <w:pPr>
        <w:pStyle w:val="Heading1"/>
      </w:pPr>
      <w:r>
        <w:t>8. Honest edges (what is demo vs. what is a seam)</w:t>
      </w:r>
    </w:p>
    <w:p>
      <w:pPr>
        <w:pStyle w:val="ListBullet"/>
        <w:spacing w:after="60"/>
      </w:pPr>
      <w:r>
        <w:t>All records, people and numbers are fictional seed data, shaped by our own examples. Structure, workflows, permissions and arithmetic are real and testable.</w:t>
      </w:r>
    </w:p>
    <w:p>
      <w:pPr>
        <w:pStyle w:val="ListBullet"/>
        <w:spacing w:after="60"/>
      </w:pPr>
      <w:r>
        <w:t>Google Drive integration is Phase 1: a link per record (no file sync yet). Document OCR/extraction is a working simulation behind a marked seam.</w:t>
      </w:r>
    </w:p>
    <w:p>
      <w:pPr>
        <w:pStyle w:val="ListBullet"/>
        <w:spacing w:after="60"/>
      </w:pPr>
      <w:r>
        <w:t>Sign-in is a role switcher ('View As') rather than real SSO — the access model it demonstrates is fully enforced in the UI.</w:t>
      </w:r>
    </w:p>
    <w:p>
      <w:pPr>
        <w:pStyle w:val="ListBullet"/>
        <w:spacing w:after="60"/>
      </w:pPr>
      <w:r>
        <w:t>Data lives in the browser (each reviewer gets an isolated sandbox). Settings → Presentation mode resets it.</w:t>
      </w:r>
    </w:p>
    <w:p>
      <w:pPr>
        <w:pStyle w:val="ListBullet"/>
        <w:spacing w:after="60"/>
      </w:pPr>
      <w:r>
        <w:t>The data-collection pack (docs folder) lists exactly what we need from the department to replace the demo data with the real registers.</w:t>
      </w:r>
    </w:p>
    <w:p>
      <w:pPr>
        <w:spacing w:after="40"/>
      </w:pPr>
      <w:r>
        <w:rPr>
          <w:b w:val="0"/>
          <w:i w:val="0"/>
        </w:rPr>
      </w:r>
    </w:p>
    <w:p>
      <w:pPr>
        <w:spacing w:after="120"/>
      </w:pPr>
      <w:r>
        <w:rPr>
          <w:b w:val="0"/>
          <w:i/>
          <w:color w:val="4C655A"/>
          <w:sz w:val="18"/>
        </w:rPr>
        <w:t>LegalOS — prepared for the Legal department review · generated from the running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426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D7A3F"/>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4261C"/>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D7A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