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A5075" w14:textId="77777777" w:rsidR="005D7FAD" w:rsidRPr="005D7FAD" w:rsidRDefault="005D7FAD" w:rsidP="005D7FAD">
      <w:pPr>
        <w:spacing w:after="120" w:line="276" w:lineRule="auto"/>
        <w:rPr>
          <w:b/>
          <w:bCs/>
        </w:rPr>
      </w:pPr>
      <w:r w:rsidRPr="005D7FAD">
        <w:rPr>
          <w:b/>
          <w:bCs/>
        </w:rPr>
        <w:t>8. Module: SECP Filings (Compliance)</w:t>
      </w:r>
    </w:p>
    <w:p w14:paraId="798D733D" w14:textId="77777777" w:rsidR="005D7FAD" w:rsidRPr="005D7FAD" w:rsidRDefault="005D7FAD" w:rsidP="005D7FAD">
      <w:pPr>
        <w:spacing w:after="120" w:line="276" w:lineRule="auto"/>
      </w:pPr>
      <w:r w:rsidRPr="005D7FAD">
        <w:t>8.1 Fields</w:t>
      </w:r>
    </w:p>
    <w:p w14:paraId="428AEA17" w14:textId="77777777" w:rsidR="005D7FAD" w:rsidRPr="005D7FAD" w:rsidRDefault="005D7FAD" w:rsidP="005D7FAD">
      <w:pPr>
        <w:spacing w:after="120" w:line="276" w:lineRule="auto"/>
      </w:pPr>
      <w:r w:rsidRPr="005D7FAD">
        <w:t>• Filing Entity — selected from the Entities master list (Section 2)</w:t>
      </w:r>
    </w:p>
    <w:p w14:paraId="664342CE" w14:textId="77777777" w:rsidR="005D7FAD" w:rsidRPr="005D7FAD" w:rsidRDefault="005D7FAD" w:rsidP="005D7FAD">
      <w:pPr>
        <w:spacing w:after="120" w:line="276" w:lineRule="auto"/>
      </w:pPr>
      <w:r w:rsidRPr="005D7FAD">
        <w:t xml:space="preserve">• SECP Form Type — dropdown from the master list (Form A, Form 9, Form 19, Form </w:t>
      </w:r>
      <w:proofErr w:type="gramStart"/>
      <w:r w:rsidRPr="005D7FAD">
        <w:t>3 ,</w:t>
      </w:r>
      <w:proofErr w:type="gramEnd"/>
      <w:r w:rsidRPr="005D7FAD">
        <w:t xml:space="preserve"> Form 7, Form 29,</w:t>
      </w:r>
    </w:p>
    <w:p w14:paraId="3D66B97E" w14:textId="77777777" w:rsidR="005D7FAD" w:rsidRPr="005D7FAD" w:rsidRDefault="005D7FAD" w:rsidP="005D7FAD">
      <w:pPr>
        <w:spacing w:after="120" w:line="276" w:lineRule="auto"/>
      </w:pPr>
      <w:r w:rsidRPr="005D7FAD">
        <w:t>Other — configurable so new SECP forms can be added without a dev cycle)</w:t>
      </w:r>
    </w:p>
    <w:p w14:paraId="28E6FCC1" w14:textId="77777777" w:rsidR="005D7FAD" w:rsidRPr="005D7FAD" w:rsidRDefault="005D7FAD" w:rsidP="005D7FAD">
      <w:pPr>
        <w:spacing w:after="120" w:line="276" w:lineRule="auto"/>
      </w:pPr>
      <w:r w:rsidRPr="005D7FAD">
        <w:t>• Filing Category — Periodic (Annual) / Event-Based</w:t>
      </w:r>
    </w:p>
    <w:p w14:paraId="407B33C2" w14:textId="77777777" w:rsidR="005D7FAD" w:rsidRPr="005D7FAD" w:rsidRDefault="005D7FAD" w:rsidP="005D7FAD">
      <w:pPr>
        <w:spacing w:after="120" w:line="276" w:lineRule="auto"/>
      </w:pPr>
      <w:r w:rsidRPr="005D7FAD">
        <w:t>• Filing Date (actual date filed)</w:t>
      </w:r>
    </w:p>
    <w:p w14:paraId="517D636E" w14:textId="77777777" w:rsidR="005D7FAD" w:rsidRPr="005D7FAD" w:rsidRDefault="005D7FAD" w:rsidP="005D7FAD">
      <w:pPr>
        <w:spacing w:after="120" w:line="276" w:lineRule="auto"/>
      </w:pPr>
      <w:r w:rsidRPr="005D7FAD">
        <w:t>• Filing Status — Not Due / Due Soon / Filed / Overdue</w:t>
      </w:r>
    </w:p>
    <w:p w14:paraId="525C5784" w14:textId="77777777" w:rsidR="005D7FAD" w:rsidRPr="005D7FAD" w:rsidRDefault="005D7FAD" w:rsidP="005D7FAD">
      <w:pPr>
        <w:spacing w:after="120" w:line="276" w:lineRule="auto"/>
      </w:pPr>
      <w:r w:rsidRPr="005D7FAD">
        <w:t>• Linked Resolution — optional link to a Resolutions record, where the filing was triggered by a board resolution</w:t>
      </w:r>
    </w:p>
    <w:p w14:paraId="3B9633A7" w14:textId="77777777" w:rsidR="005D7FAD" w:rsidRPr="005D7FAD" w:rsidRDefault="005D7FAD" w:rsidP="005D7FAD">
      <w:pPr>
        <w:spacing w:after="120" w:line="276" w:lineRule="auto"/>
      </w:pPr>
      <w:r w:rsidRPr="005D7FAD">
        <w:t>• Authorized person to do filing</w:t>
      </w:r>
    </w:p>
    <w:p w14:paraId="0C485933" w14:textId="77777777" w:rsidR="005D7FAD" w:rsidRPr="005D7FAD" w:rsidRDefault="005D7FAD" w:rsidP="005D7FAD">
      <w:pPr>
        <w:spacing w:after="120" w:line="276" w:lineRule="auto"/>
      </w:pPr>
      <w:r w:rsidRPr="005D7FAD">
        <w:t>• CTC Applied yes /no</w:t>
      </w:r>
    </w:p>
    <w:p w14:paraId="4E92B099" w14:textId="77777777" w:rsidR="005D7FAD" w:rsidRPr="005D7FAD" w:rsidRDefault="005D7FAD" w:rsidP="005D7FAD">
      <w:pPr>
        <w:spacing w:after="120" w:line="276" w:lineRule="auto"/>
      </w:pPr>
      <w:r w:rsidRPr="005D7FAD">
        <w:t>8.2 Workflow</w:t>
      </w:r>
    </w:p>
    <w:p w14:paraId="6C8DCAD3" w14:textId="77777777" w:rsidR="005D7FAD" w:rsidRPr="005D7FAD" w:rsidRDefault="005D7FAD" w:rsidP="005D7FAD">
      <w:pPr>
        <w:spacing w:after="120" w:line="276" w:lineRule="auto"/>
      </w:pPr>
      <w:r w:rsidRPr="005D7FAD">
        <w:t>Periodic filings (e.g., Form A – Annual Return): Filing Trigger — system-generated automatically at 30 days before</w:t>
      </w:r>
    </w:p>
    <w:p w14:paraId="16AAFA6A" w14:textId="77777777" w:rsidR="005D7FAD" w:rsidRPr="005D7FAD" w:rsidRDefault="005D7FAD" w:rsidP="005D7FAD">
      <w:pPr>
        <w:spacing w:after="120" w:line="276" w:lineRule="auto"/>
      </w:pPr>
      <w:r w:rsidRPr="005D7FAD">
        <w:t>Event-based filings (e.g., Form 9, Form 19): Request Raised (often linked to an underlying corporate event/Resolution)</w:t>
      </w:r>
    </w:p>
    <w:p w14:paraId="38556E6E" w14:textId="77777777" w:rsidR="005D7FAD" w:rsidRPr="005D7FAD" w:rsidRDefault="005D7FAD" w:rsidP="005D7FAD">
      <w:pPr>
        <w:spacing w:after="120" w:line="276" w:lineRule="auto"/>
      </w:pPr>
      <w:r w:rsidRPr="005D7FAD">
        <w:t>8.3 Reporting: Filings by Entity</w:t>
      </w:r>
    </w:p>
    <w:p w14:paraId="407A3519" w14:textId="77777777" w:rsidR="005D7FAD" w:rsidRPr="005D7FAD" w:rsidRDefault="005D7FAD" w:rsidP="005D7FAD">
      <w:pPr>
        <w:spacing w:after="120" w:line="276" w:lineRule="auto"/>
      </w:pPr>
      <w:r w:rsidRPr="005D7FAD">
        <w:t>Since every group entity has its own set of statutory filings, the dashboard should show a per-entity filing status view —all forms due/overdue/filed for a given entity in one place — so nothing is missed across the group's multiple entities.</w:t>
      </w:r>
    </w:p>
    <w:p w14:paraId="2DF91CD5" w14:textId="77777777" w:rsidR="00A61B29" w:rsidRDefault="00A61B29"/>
    <w:sectPr w:rsidR="00A61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AD"/>
    <w:rsid w:val="005D7FAD"/>
    <w:rsid w:val="007946BB"/>
    <w:rsid w:val="00885206"/>
    <w:rsid w:val="00A02446"/>
    <w:rsid w:val="00A61B29"/>
    <w:rsid w:val="00ED40FF"/>
    <w:rsid w:val="00FD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CB9B2"/>
  <w15:chartTrackingRefBased/>
  <w15:docId w15:val="{F3B2269F-41DB-4C7A-A4FB-9418F290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FAD"/>
    <w:pPr>
      <w:spacing w:after="0" w:line="240" w:lineRule="auto"/>
    </w:pPr>
    <w:rPr>
      <w:rFonts w:ascii="Calibri" w:eastAsia="Calibri" w:hAnsi="Calibri" w:cs="Calibri"/>
      <w:color w:val="222222"/>
      <w:kern w:val="0"/>
      <w:sz w:val="22"/>
      <w:szCs w:val="22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7F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F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FA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K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FA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FA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FA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FA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FA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FA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FAD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PK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7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FA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K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7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FA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PK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7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FA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val="en-PK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7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Hurmat</dc:creator>
  <cp:keywords/>
  <dc:description/>
  <cp:lastModifiedBy>Sana Hurmat</cp:lastModifiedBy>
  <cp:revision>1</cp:revision>
  <dcterms:created xsi:type="dcterms:W3CDTF">2026-08-11T12:40:00Z</dcterms:created>
  <dcterms:modified xsi:type="dcterms:W3CDTF">2026-08-11T12:41:00Z</dcterms:modified>
</cp:coreProperties>
</file>