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13</w:t>
      </w:r>
    </w:p>
    <w:p>
      <w:pPr>
        <w:pStyle w:val="Subtitle"/>
      </w:pPr>
      <w:r>
        <w:t xml:space="preserve">Статическая маршрутизация в Интернете. Планирование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Выполнение организационно-подготовительных мероприятий по обеспечению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6" w:name="расстановка-оборуд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Расстановка оборудования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 соответствии с заданием раздела 13.4.1 схема проекта в логической рабочей области Cisco Packet Tracer была дополнена двумя новыми сегментами сети:</w:t>
      </w:r>
    </w:p>
    <w:p>
      <w:pPr>
        <w:pStyle w:val="Compact"/>
        <w:numPr>
          <w:ilvl w:val="1"/>
          <w:numId w:val="1003"/>
        </w:numPr>
      </w:pPr>
      <w:r>
        <w:t xml:space="preserve">подсетью основной территории организации 42-го квартала в Москве;</w:t>
      </w:r>
    </w:p>
    <w:p>
      <w:pPr>
        <w:pStyle w:val="Compact"/>
        <w:numPr>
          <w:ilvl w:val="1"/>
          <w:numId w:val="1003"/>
        </w:numPr>
      </w:pPr>
      <w:r>
        <w:t xml:space="preserve">подсетью филиала в г. Сочи.</w:t>
      </w:r>
    </w:p>
    <w:p>
      <w:pPr>
        <w:pStyle w:val="Compact"/>
        <w:numPr>
          <w:ilvl w:val="0"/>
          <w:numId w:val="1000"/>
        </w:numPr>
      </w:pPr>
      <w:r>
        <w:t xml:space="preserve">После добавления новых узлов была сформирована обновлённая логическая топология проекта, в которой новые площадки включены в существующую корпоративную сеть и связаны с провайдерской инфраструктурой.</w:t>
      </w:r>
    </w:p>
    <w:p>
      <w:pPr>
        <w:pStyle w:val="CaptionedFigure"/>
      </w:pPr>
      <w:r>
        <w:drawing>
          <wp:inline>
            <wp:extent cx="5334000" cy="3108141"/>
            <wp:effectExtent b="0" l="0" r="0" t="0"/>
            <wp:docPr descr="Обновлённая логическая схема проекта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Обновлённая логическая схема проекта</w:t>
      </w:r>
    </w:p>
    <w:p>
      <w:pPr>
        <w:pStyle w:val="Compact"/>
        <w:numPr>
          <w:ilvl w:val="0"/>
          <w:numId w:val="1004"/>
        </w:numPr>
      </w:pPr>
      <w:r>
        <w:t xml:space="preserve">На физической рабочей области была отображена территориальная связь между площадками. На схеме показано размещение объектов и канал связи между московской площадкой и филиалом в г. Сочи.</w:t>
      </w:r>
    </w:p>
    <w:p>
      <w:pPr>
        <w:pStyle w:val="CaptionedFigure"/>
      </w:pPr>
      <w:r>
        <w:drawing>
          <wp:inline>
            <wp:extent cx="5334000" cy="2721567"/>
            <wp:effectExtent b="0" l="0" r="0" t="0"/>
            <wp:docPr descr="Физическая схема связи между площадками" title="" id="25" name="Picture"/>
            <a:graphic>
              <a:graphicData uri="http://schemas.openxmlformats.org/drawingml/2006/picture">
                <pic:pic>
                  <pic:nvPicPr>
                    <pic:cNvPr descr="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Физическая схема связи между площадками</w:t>
      </w:r>
    </w:p>
    <w:p>
      <w:pPr>
        <w:pStyle w:val="Compact"/>
        <w:numPr>
          <w:ilvl w:val="0"/>
          <w:numId w:val="1005"/>
        </w:numPr>
      </w:pPr>
      <w:r>
        <w:t xml:space="preserve">Далее была детализирована физическая схема размещения площадок в Москве. На ней отображены существующие и добавленные сегменты сети, а также их соединения с провайдерской инфраструктурой.</w:t>
      </w:r>
    </w:p>
    <w:p>
      <w:pPr>
        <w:pStyle w:val="CaptionedFigure"/>
      </w:pPr>
      <w:r>
        <w:drawing>
          <wp:inline>
            <wp:extent cx="5334000" cy="2542664"/>
            <wp:effectExtent b="0" l="0" r="0" t="0"/>
            <wp:docPr descr="Физическая схема размещения площадок в Москве" title="" id="28" name="Picture"/>
            <a:graphic>
              <a:graphicData uri="http://schemas.openxmlformats.org/drawingml/2006/picture">
                <pic:pic>
                  <pic:nvPicPr>
                    <pic:cNvPr descr="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Физическая схема размещения площадок в Москве</w:t>
      </w:r>
    </w:p>
    <w:p>
      <w:pPr>
        <w:pStyle w:val="Compact"/>
        <w:numPr>
          <w:ilvl w:val="0"/>
          <w:numId w:val="1006"/>
        </w:numPr>
      </w:pPr>
      <w:r>
        <w:t xml:space="preserve">Для основной территории организации 42-го квартала в Москве была создана отдельная подсеть. В её состав включены:</w:t>
      </w:r>
    </w:p>
    <w:p>
      <w:pPr>
        <w:pStyle w:val="Compact"/>
        <w:numPr>
          <w:ilvl w:val="1"/>
          <w:numId w:val="1007"/>
        </w:numPr>
      </w:pPr>
      <w:r>
        <w:t xml:space="preserve">маршрутизатор</w:t>
      </w:r>
      <w:r>
        <w:t xml:space="preserve"> </w:t>
      </w:r>
      <w:r>
        <w:rPr>
          <w:b/>
          <w:bCs/>
        </w:rPr>
        <w:t xml:space="preserve">msk-q42-aabdullakhi-gw-1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коммутатор доступа</w:t>
      </w:r>
      <w:r>
        <w:t xml:space="preserve"> </w:t>
      </w:r>
      <w:r>
        <w:rPr>
          <w:b/>
          <w:bCs/>
        </w:rPr>
        <w:t xml:space="preserve">msk-q42-aabdullakhi-sw-1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рабочая станция</w:t>
      </w:r>
      <w:r>
        <w:t xml:space="preserve"> </w:t>
      </w:r>
      <w:r>
        <w:rPr>
          <w:b/>
          <w:bCs/>
        </w:rPr>
        <w:t xml:space="preserve">msk-q42-aabdullakhi-po-1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устройство подключения к магистральному сегменту сети.</w:t>
      </w:r>
    </w:p>
    <w:p>
      <w:pPr>
        <w:pStyle w:val="CaptionedFigure"/>
      </w:pPr>
      <w:r>
        <w:drawing>
          <wp:inline>
            <wp:extent cx="5163670" cy="2966036"/>
            <wp:effectExtent b="0" l="0" r="0" t="0"/>
            <wp:docPr descr="Подсеть основной территории организации 42-го квартала в Москве" title="" id="31" name="Picture"/>
            <a:graphic>
              <a:graphicData uri="http://schemas.openxmlformats.org/drawingml/2006/picture">
                <pic:pic>
                  <pic:nvPicPr>
                    <pic:cNvPr descr="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296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основной территории организации 42-го квартала в Москве</w:t>
      </w:r>
    </w:p>
    <w:p>
      <w:pPr>
        <w:pStyle w:val="Compact"/>
        <w:numPr>
          <w:ilvl w:val="0"/>
          <w:numId w:val="1008"/>
        </w:numPr>
      </w:pPr>
      <w:r>
        <w:t xml:space="preserve">Аналогично была добавлена подсеть филиала в г. Сочи:</w:t>
      </w:r>
    </w:p>
    <w:p>
      <w:pPr>
        <w:pStyle w:val="Compact"/>
        <w:numPr>
          <w:ilvl w:val="1"/>
          <w:numId w:val="1009"/>
        </w:numPr>
      </w:pPr>
      <w:r>
        <w:t xml:space="preserve">маршрутизатор</w:t>
      </w:r>
      <w:r>
        <w:t xml:space="preserve"> </w:t>
      </w:r>
      <w:r>
        <w:rPr>
          <w:b/>
          <w:bCs/>
        </w:rPr>
        <w:t xml:space="preserve">sch-sochi-aabdullakhi-gw-1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t xml:space="preserve">коммутатор</w:t>
      </w:r>
      <w:r>
        <w:t xml:space="preserve"> </w:t>
      </w:r>
      <w:r>
        <w:rPr>
          <w:b/>
          <w:bCs/>
        </w:rPr>
        <w:t xml:space="preserve">sch-sochi-aabdullakhi-sw-1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t xml:space="preserve">рабочая станция</w:t>
      </w:r>
      <w:r>
        <w:t xml:space="preserve"> </w:t>
      </w:r>
      <w:r>
        <w:rPr>
          <w:b/>
          <w:bCs/>
        </w:rPr>
        <w:t xml:space="preserve">sch-sochi-aabdullakhi-po-1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t xml:space="preserve">устройство подключения к внешнему каналу связи.</w:t>
      </w:r>
    </w:p>
    <w:p>
      <w:pPr>
        <w:pStyle w:val="CaptionedFigure"/>
      </w:pPr>
      <w:r>
        <w:drawing>
          <wp:inline>
            <wp:extent cx="5132934" cy="2750884"/>
            <wp:effectExtent b="0" l="0" r="0" t="0"/>
            <wp:docPr descr="Подсеть филиала в г. Сочи" title="" id="34" name="Picture"/>
            <a:graphic>
              <a:graphicData uri="http://schemas.openxmlformats.org/drawingml/2006/picture">
                <pic:pic>
                  <pic:nvPicPr>
                    <pic:cNvPr descr="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34" cy="275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Подсеть филиала в г. Сочи</w:t>
      </w:r>
    </w:p>
    <w:bookmarkEnd w:id="36"/>
    <w:bookmarkStart w:id="55" w:name="базовая-настройк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Базовая настройка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t xml:space="preserve">Для добавленного оборудования выполнена первоначальная настройка через CLI в Cisco Packet Tracer. На каждом устройстве заданы:</w:t>
      </w:r>
    </w:p>
    <w:p>
      <w:pPr>
        <w:pStyle w:val="Compact"/>
        <w:numPr>
          <w:ilvl w:val="1"/>
          <w:numId w:val="1012"/>
        </w:numPr>
      </w:pPr>
      <w:r>
        <w:t xml:space="preserve">имя устройства;</w:t>
      </w:r>
    </w:p>
    <w:p>
      <w:pPr>
        <w:pStyle w:val="Compact"/>
        <w:numPr>
          <w:ilvl w:val="1"/>
          <w:numId w:val="1012"/>
        </w:numPr>
      </w:pPr>
      <w:r>
        <w:t xml:space="preserve">пароль на линии VTY;</w:t>
      </w:r>
    </w:p>
    <w:p>
      <w:pPr>
        <w:pStyle w:val="Compact"/>
        <w:numPr>
          <w:ilvl w:val="1"/>
          <w:numId w:val="1012"/>
        </w:numPr>
      </w:pPr>
      <w:r>
        <w:t xml:space="preserve">пароль на консольный доступ;</w:t>
      </w:r>
    </w:p>
    <w:p>
      <w:pPr>
        <w:pStyle w:val="Compact"/>
        <w:numPr>
          <w:ilvl w:val="1"/>
          <w:numId w:val="1012"/>
        </w:numPr>
      </w:pPr>
      <w:r>
        <w:t xml:space="preserve">пароль привилегированного режима;</w:t>
      </w:r>
    </w:p>
    <w:p>
      <w:pPr>
        <w:pStyle w:val="Compact"/>
        <w:numPr>
          <w:ilvl w:val="1"/>
          <w:numId w:val="1012"/>
        </w:numPr>
      </w:pPr>
      <w:r>
        <w:t xml:space="preserve">шифрование паролей;</w:t>
      </w:r>
    </w:p>
    <w:p>
      <w:pPr>
        <w:pStyle w:val="Compact"/>
        <w:numPr>
          <w:ilvl w:val="1"/>
          <w:numId w:val="1012"/>
        </w:numPr>
      </w:pPr>
      <w:r>
        <w:t xml:space="preserve">локальный пользователь admin;</w:t>
      </w:r>
    </w:p>
    <w:p>
      <w:pPr>
        <w:pStyle w:val="Compact"/>
        <w:numPr>
          <w:ilvl w:val="1"/>
          <w:numId w:val="1012"/>
        </w:numPr>
      </w:pPr>
      <w:r>
        <w:t xml:space="preserve">доменное имя;</w:t>
      </w:r>
    </w:p>
    <w:p>
      <w:pPr>
        <w:pStyle w:val="Compact"/>
        <w:numPr>
          <w:ilvl w:val="1"/>
          <w:numId w:val="1012"/>
        </w:numPr>
      </w:pPr>
      <w:r>
        <w:t xml:space="preserve">RSA-ключи;</w:t>
      </w:r>
    </w:p>
    <w:p>
      <w:pPr>
        <w:pStyle w:val="Compact"/>
        <w:numPr>
          <w:ilvl w:val="1"/>
          <w:numId w:val="1012"/>
        </w:numPr>
      </w:pPr>
      <w:r>
        <w:t xml:space="preserve">разрешение удалённого доступа по SSH;</w:t>
      </w:r>
    </w:p>
    <w:p>
      <w:pPr>
        <w:pStyle w:val="Compact"/>
        <w:numPr>
          <w:ilvl w:val="1"/>
          <w:numId w:val="1012"/>
        </w:numPr>
      </w:pPr>
      <w:r>
        <w:t xml:space="preserve">сохранение конфигурации.</w:t>
      </w:r>
    </w:p>
    <w:p>
      <w:pPr>
        <w:pStyle w:val="CaptionedFigure"/>
      </w:pPr>
      <w:r>
        <w:drawing>
          <wp:inline>
            <wp:extent cx="5334000" cy="5354153"/>
            <wp:effectExtent b="0" l="0" r="0" t="0"/>
            <wp:docPr descr="Первоначальная настройка маршрутизатора msk-q42-aabdullakhi-gw-1" title="" id="38" name="Picture"/>
            <a:graphic>
              <a:graphicData uri="http://schemas.openxmlformats.org/drawingml/2006/picture">
                <pic:pic>
                  <pic:nvPicPr>
                    <pic:cNvPr descr="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msk-q42-aabdullakhi-gw-1</w:t>
      </w:r>
    </w:p>
    <w:p>
      <w:pPr>
        <w:pStyle w:val="CaptionedFigure"/>
      </w:pPr>
      <w:r>
        <w:drawing>
          <wp:inline>
            <wp:extent cx="5334000" cy="6109486"/>
            <wp:effectExtent b="0" l="0" r="0" t="0"/>
            <wp:docPr descr="Первоначальная настройка коммутатора msk-q42-aabdullakhi-sw-1" title="" id="41" name="Picture"/>
            <a:graphic>
              <a:graphicData uri="http://schemas.openxmlformats.org/drawingml/2006/picture">
                <pic:pic>
                  <pic:nvPicPr>
                    <pic:cNvPr descr="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msk-q42-aabdullakhi-sw-1</w:t>
      </w:r>
    </w:p>
    <w:p>
      <w:pPr>
        <w:pStyle w:val="CaptionedFigure"/>
      </w:pPr>
      <w:r>
        <w:drawing>
          <wp:inline>
            <wp:extent cx="5334000" cy="6418421"/>
            <wp:effectExtent b="0" l="0" r="0" t="0"/>
            <wp:docPr descr="Первоначальная настройка маршрутизатора msk-hostel-aabdullakhi-gw-1" title="" id="44" name="Picture"/>
            <a:graphic>
              <a:graphicData uri="http://schemas.openxmlformats.org/drawingml/2006/picture">
                <pic:pic>
                  <pic:nvPicPr>
                    <pic:cNvPr descr="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8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msk-hostel-aabdullakhi-gw-1</w:t>
      </w:r>
    </w:p>
    <w:p>
      <w:pPr>
        <w:pStyle w:val="CaptionedFigure"/>
      </w:pPr>
      <w:r>
        <w:drawing>
          <wp:inline>
            <wp:extent cx="5334000" cy="5751034"/>
            <wp:effectExtent b="0" l="0" r="0" t="0"/>
            <wp:docPr descr="Первоначальная настройка коммутатора msk-hostel-aabdullakhi-sw-1" title="" id="47" name="Picture"/>
            <a:graphic>
              <a:graphicData uri="http://schemas.openxmlformats.org/drawingml/2006/picture">
                <pic:pic>
                  <pic:nvPicPr>
                    <pic:cNvPr descr="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msk-hostel-aabdullakhi-sw-1</w:t>
      </w:r>
    </w:p>
    <w:p>
      <w:pPr>
        <w:pStyle w:val="CaptionedFigure"/>
      </w:pPr>
      <w:r>
        <w:drawing>
          <wp:inline>
            <wp:extent cx="5334000" cy="6155651"/>
            <wp:effectExtent b="0" l="0" r="0" t="0"/>
            <wp:docPr descr="Первоначальная настройка коммутатора sch-sochi-aabdullakhi-sw-1" title="" id="50" name="Picture"/>
            <a:graphic>
              <a:graphicData uri="http://schemas.openxmlformats.org/drawingml/2006/picture">
                <pic:pic>
                  <pic:nvPicPr>
                    <pic:cNvPr descr="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5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sch-sochi-aabdullakhi-sw-1</w:t>
      </w:r>
    </w:p>
    <w:p>
      <w:pPr>
        <w:pStyle w:val="CaptionedFigure"/>
      </w:pPr>
      <w:r>
        <w:drawing>
          <wp:inline>
            <wp:extent cx="5334000" cy="6337561"/>
            <wp:effectExtent b="0" l="0" r="0" t="0"/>
            <wp:docPr descr="Первоначальная настройка маршрутизатора sch-sochi-aabdullakhi-gw-1" title="" id="53" name="Picture"/>
            <a:graphic>
              <a:graphicData uri="http://schemas.openxmlformats.org/drawingml/2006/picture">
                <pic:pic>
                  <pic:nvPicPr>
                    <pic:cNvPr descr="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sch-sochi-aabdullakhi-gw-1</w:t>
      </w:r>
    </w:p>
    <w:bookmarkEnd w:id="55"/>
    <w:bookmarkStart w:id="56" w:name="схемы-сети-уровней-l1-l2-и-l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Схемы сети уровней L1, L2 и L3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Схема L1</w:t>
      </w:r>
      <w:r>
        <w:t xml:space="preserve"> </w:t>
      </w:r>
      <w:r>
        <w:t xml:space="preserve">— физическая структура сети с указанием устройств, соединений и интерфейсов. Отражены новые сегменты:</w:t>
      </w:r>
    </w:p>
    <w:p>
      <w:pPr>
        <w:pStyle w:val="Compact"/>
        <w:numPr>
          <w:ilvl w:val="1"/>
          <w:numId w:val="1014"/>
        </w:numPr>
      </w:pPr>
      <w:r>
        <w:t xml:space="preserve">подсеть 42-го квартала (msk-q42-aabdullakhi-gw-1, msk-q42-aabdullakhi-sw-1);</w:t>
      </w:r>
    </w:p>
    <w:p>
      <w:pPr>
        <w:pStyle w:val="Compact"/>
        <w:numPr>
          <w:ilvl w:val="1"/>
          <w:numId w:val="1014"/>
        </w:numPr>
      </w:pPr>
      <w:r>
        <w:t xml:space="preserve">подсеть филиала в Сочи (sch-sochi-aabdullakhi-gw-1, sch-sochi-aabdullakhi-sw-1).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Схема L2</w:t>
      </w:r>
      <w:r>
        <w:t xml:space="preserve"> </w:t>
      </w:r>
      <w:r>
        <w:t xml:space="preserve">— логическая структура на канальном уровне с VLAN:</w:t>
      </w:r>
    </w:p>
    <w:p>
      <w:pPr>
        <w:pStyle w:val="Compact"/>
        <w:numPr>
          <w:ilvl w:val="1"/>
          <w:numId w:val="1015"/>
        </w:numPr>
      </w:pPr>
      <w:r>
        <w:t xml:space="preserve">для 42-го квартала: VLAN 201, 202;</w:t>
      </w:r>
    </w:p>
    <w:p>
      <w:pPr>
        <w:pStyle w:val="Compact"/>
        <w:numPr>
          <w:ilvl w:val="1"/>
          <w:numId w:val="1015"/>
        </w:numPr>
      </w:pPr>
      <w:r>
        <w:t xml:space="preserve">для Сочи: VLAN 401, 402;</w:t>
      </w:r>
    </w:p>
    <w:p>
      <w:pPr>
        <w:pStyle w:val="Compact"/>
        <w:numPr>
          <w:ilvl w:val="1"/>
          <w:numId w:val="1015"/>
        </w:numPr>
      </w:pPr>
      <w:r>
        <w:t xml:space="preserve">для остальных участков: 101–104 (Донская), 301 (общежитие).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Схема L3</w:t>
      </w:r>
      <w:r>
        <w:t xml:space="preserve"> </w:t>
      </w:r>
      <w:r>
        <w:t xml:space="preserve">— адресная структура:</w:t>
      </w:r>
    </w:p>
    <w:p>
      <w:pPr>
        <w:pStyle w:val="Compact"/>
        <w:numPr>
          <w:ilvl w:val="1"/>
          <w:numId w:val="1016"/>
        </w:numPr>
      </w:pPr>
      <w:r>
        <w:t xml:space="preserve">42-й квартал: сеть пользователей 10.129.0.0/24, сеть управления 10.129.1.0/24, линк 10.128.255.0/30;</w:t>
      </w:r>
    </w:p>
    <w:p>
      <w:pPr>
        <w:pStyle w:val="Compact"/>
        <w:numPr>
          <w:ilvl w:val="1"/>
          <w:numId w:val="1016"/>
        </w:numPr>
      </w:pPr>
      <w:r>
        <w:t xml:space="preserve">Сочи: пользователи 10.130.0.0/24, управление 10.130.1.0/24, линк 10.128.255.4/30.</w:t>
      </w:r>
    </w:p>
    <w:bookmarkEnd w:id="56"/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схема проекта в Cisco Packet Tracer была дополнена: в корпоративную сеть добавлены подсеть основной территории организации 42-го квартала в Москве и подсеть филиала в г. Сочи. Для новых площадок размещены маршрутизаторы, коммутаторы и оконечные устройства, выполнено подключение к провайдерскому сегменту.</w:t>
      </w:r>
    </w:p>
    <w:p>
      <w:pPr>
        <w:pStyle w:val="BodyText"/>
      </w:pPr>
      <w:r>
        <w:t xml:space="preserve">Для добавленного оборудования выполнена первоначальная настройка: имена устройств, пароли, шифрование, локальные пользователи, доменные имена, RSA-ключи, SSH. Конфигурации сохранены.</w:t>
      </w:r>
    </w:p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17"/>
        </w:numPr>
      </w:pPr>
      <w:r>
        <w:t xml:space="preserve">В каких случаях следует использовать статическую маршрутизацию? Приведите примеры.</w:t>
      </w:r>
    </w:p>
    <w:p>
      <w:pPr>
        <w:pStyle w:val="FirstParagraph"/>
      </w:pPr>
      <w:r>
        <w:t xml:space="preserve">Статическую маршрутизацию используют при небольшой, стабильной и редко меняющейся структуре сети. Примеры:</w:t>
      </w:r>
      <w:r>
        <w:t xml:space="preserve"> </w:t>
      </w:r>
      <w:r>
        <w:t xml:space="preserve">- небольшие локальные сети;</w:t>
      </w:r>
      <w:r>
        <w:t xml:space="preserve"> </w:t>
      </w:r>
      <w:r>
        <w:t xml:space="preserve">- подключение удалённого филиала по одному каналу;</w:t>
      </w:r>
      <w:r>
        <w:t xml:space="preserve"> </w:t>
      </w:r>
      <w:r>
        <w:t xml:space="preserve">- маршрут по умолчанию к провайдеру (</w:t>
      </w:r>
      <w:r>
        <w:rPr>
          <w:rStyle w:val="VerbatimChar"/>
        </w:rPr>
        <w:t xml:space="preserve">ip route 0.0.0.0 0.0.0.0 198.51.100.1</w:t>
      </w:r>
      <w:r>
        <w:t xml:space="preserve">);</w:t>
      </w:r>
      <w:r>
        <w:t xml:space="preserve"> </w:t>
      </w:r>
      <w:r>
        <w:t xml:space="preserve">- маршрут к сети филиала (</w:t>
      </w:r>
      <w:r>
        <w:rPr>
          <w:rStyle w:val="VerbatimChar"/>
        </w:rPr>
        <w:t xml:space="preserve">ip route 10.130.0.0 255.255.255.0 10.128.255.6</w:t>
      </w:r>
      <w:r>
        <w:t xml:space="preserve">);</w:t>
      </w:r>
      <w:r>
        <w:t xml:space="preserve"> </w:t>
      </w:r>
      <w:r>
        <w:t xml:space="preserve">- сеть 42-го квартала к центральной сети (</w:t>
      </w:r>
      <w:r>
        <w:rPr>
          <w:rStyle w:val="VerbatimChar"/>
        </w:rPr>
        <w:t xml:space="preserve">ip route 10.128.0.0 255.255.0.0 10.128.255.1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2. Укажите основные принципы статической маршрутизации между VLANs.</w:t>
      </w:r>
    </w:p>
    <w:p>
      <w:pPr>
        <w:pStyle w:val="Compact"/>
        <w:numPr>
          <w:ilvl w:val="0"/>
          <w:numId w:val="1018"/>
        </w:numPr>
      </w:pPr>
      <w:r>
        <w:t xml:space="preserve">Для каждой VLAN — отдельная IP-подсеть.</w:t>
      </w:r>
    </w:p>
    <w:p>
      <w:pPr>
        <w:pStyle w:val="Compact"/>
        <w:numPr>
          <w:ilvl w:val="0"/>
          <w:numId w:val="1018"/>
        </w:numPr>
      </w:pPr>
      <w:r>
        <w:t xml:space="preserve">У каждой VLAN — свой шлюз по умолчанию (интерфейс маршрутизатора, подинтерфейс или SVI).</w:t>
      </w:r>
    </w:p>
    <w:p>
      <w:pPr>
        <w:pStyle w:val="Compact"/>
        <w:numPr>
          <w:ilvl w:val="0"/>
          <w:numId w:val="1018"/>
        </w:numPr>
      </w:pPr>
      <w:r>
        <w:t xml:space="preserve">Порты коммутатора назначаются в соответствующие VLAN.</w:t>
      </w:r>
    </w:p>
    <w:p>
      <w:pPr>
        <w:pStyle w:val="Compact"/>
        <w:numPr>
          <w:ilvl w:val="0"/>
          <w:numId w:val="1018"/>
        </w:numPr>
      </w:pPr>
      <w:r>
        <w:t xml:space="preserve">Канал между коммутатором и маршрутизатором передаёт трафик нужных VLAN.</w:t>
      </w:r>
    </w:p>
    <w:p>
      <w:pPr>
        <w:pStyle w:val="Compact"/>
        <w:numPr>
          <w:ilvl w:val="0"/>
          <w:numId w:val="1018"/>
        </w:numPr>
      </w:pPr>
      <w:r>
        <w:t xml:space="preserve">На маршрутизаторе настраиваются интерфейсы для каждой VLAN.</w:t>
      </w:r>
    </w:p>
    <w:p>
      <w:pPr>
        <w:pStyle w:val="Compact"/>
        <w:numPr>
          <w:ilvl w:val="0"/>
          <w:numId w:val="1018"/>
        </w:numPr>
      </w:pPr>
      <w:r>
        <w:t xml:space="preserve">Для трафика в удалённые сети прописываются статические маршруты.</w:t>
      </w:r>
    </w:p>
    <w:p>
      <w:pPr>
        <w:pStyle w:val="Compact"/>
        <w:numPr>
          <w:ilvl w:val="0"/>
          <w:numId w:val="1018"/>
        </w:numPr>
      </w:pPr>
      <w:r>
        <w:t xml:space="preserve">На конечных устройствах указан правильный шлюз по умолчанию.</w:t>
      </w:r>
    </w:p>
    <w:p>
      <w:pPr>
        <w:pStyle w:val="FirstParagraph"/>
      </w:pPr>
      <w:r>
        <w:t xml:space="preserve">Пример: VLAN 201 (10.129.0.0/24) и VLAN 202 (10.129.1.0/24). Маршрутизатор имеет интерфейсы в обеих сетях. Для связи с центральной сетью добавляется маршрут:</w:t>
      </w:r>
      <w:r>
        <w:br/>
      </w:r>
      <w:r>
        <w:rPr>
          <w:rStyle w:val="VerbatimChar"/>
        </w:rPr>
        <w:t xml:space="preserve">ip route 10.128.0.0 255.255.0.0 10.128.255.1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Абдуллахи Абдул Вахид</dc:creator>
  <dc:language>ru-RU</dc:language>
  <cp:keywords/>
  <dcterms:created xsi:type="dcterms:W3CDTF">2026-05-09T13:54:57Z</dcterms:created>
  <dcterms:modified xsi:type="dcterms:W3CDTF">2026-05-09T13:54:57Z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Статическая маршрутизация в Интернете. Планирование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