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83A50" w14:textId="77777777" w:rsidR="00A52258" w:rsidRDefault="0007513A">
      <w:pPr>
        <w:pStyle w:val="1"/>
        <w:jc w:val="center"/>
        <w:rPr>
          <w:rFonts w:ascii="黑体" w:eastAsia="黑体" w:hAnsi="黑体"/>
          <w:b w:val="0"/>
          <w:bCs w:val="0"/>
        </w:rPr>
      </w:pPr>
      <w:r>
        <w:rPr>
          <w:rFonts w:ascii="黑体" w:eastAsia="黑体" w:hAnsi="黑体" w:hint="eastAsia"/>
          <w:b w:val="0"/>
          <w:bCs w:val="0"/>
        </w:rPr>
        <w:t>3</w:t>
      </w:r>
      <w:r>
        <w:rPr>
          <w:rFonts w:ascii="黑体" w:eastAsia="黑体" w:hAnsi="黑体"/>
          <w:b w:val="0"/>
          <w:bCs w:val="0"/>
        </w:rPr>
        <w:t>00595</w:t>
      </w:r>
      <w:r>
        <w:rPr>
          <w:rFonts w:ascii="黑体" w:eastAsia="黑体" w:hAnsi="黑体" w:hint="eastAsia"/>
          <w:b w:val="0"/>
          <w:bCs w:val="0"/>
        </w:rPr>
        <w:t>—欧普康视投资价值分析报告</w:t>
      </w:r>
    </w:p>
    <w:p w14:paraId="7DE1F809" w14:textId="77777777" w:rsidR="00A52258" w:rsidRDefault="0007513A">
      <w:pPr>
        <w:jc w:val="center"/>
        <w:rPr>
          <w:rFonts w:ascii="仿宋" w:eastAsia="仿宋" w:hAnsi="仿宋"/>
          <w:sz w:val="28"/>
          <w:szCs w:val="28"/>
        </w:rPr>
      </w:pPr>
      <w:r>
        <w:rPr>
          <w:rFonts w:ascii="仿宋" w:eastAsia="仿宋" w:hAnsi="仿宋" w:hint="eastAsia"/>
          <w:sz w:val="28"/>
          <w:szCs w:val="28"/>
        </w:rPr>
        <w:t>王琛</w:t>
      </w:r>
    </w:p>
    <w:p w14:paraId="60F55D8A" w14:textId="77777777" w:rsidR="00A52258" w:rsidRDefault="0007513A">
      <w:pPr>
        <w:jc w:val="center"/>
        <w:rPr>
          <w:rFonts w:ascii="楷体" w:eastAsia="楷体" w:hAnsi="楷体"/>
        </w:rPr>
      </w:pPr>
      <w:r>
        <w:rPr>
          <w:rFonts w:ascii="楷体" w:eastAsia="楷体" w:hAnsi="楷体" w:hint="eastAsia"/>
        </w:rPr>
        <w:t>2</w:t>
      </w:r>
      <w:r>
        <w:rPr>
          <w:rFonts w:ascii="楷体" w:eastAsia="楷体" w:hAnsi="楷体"/>
        </w:rPr>
        <w:t>021</w:t>
      </w:r>
      <w:r>
        <w:rPr>
          <w:rFonts w:ascii="楷体" w:eastAsia="楷体" w:hAnsi="楷体" w:hint="eastAsia"/>
        </w:rPr>
        <w:t>年6月1</w:t>
      </w:r>
      <w:r>
        <w:rPr>
          <w:rFonts w:ascii="楷体" w:eastAsia="楷体" w:hAnsi="楷体"/>
        </w:rPr>
        <w:t>8</w:t>
      </w:r>
      <w:r>
        <w:rPr>
          <w:rFonts w:ascii="楷体" w:eastAsia="楷体" w:hAnsi="楷体" w:hint="eastAsia"/>
        </w:rPr>
        <w:t>日</w:t>
      </w:r>
    </w:p>
    <w:p w14:paraId="4012631B" w14:textId="77777777" w:rsidR="00A52258" w:rsidRDefault="00A52258">
      <w:pPr>
        <w:jc w:val="center"/>
        <w:rPr>
          <w:rFonts w:ascii="楷体" w:eastAsia="楷体" w:hAnsi="楷体"/>
        </w:rPr>
      </w:pPr>
    </w:p>
    <w:p w14:paraId="1C70D2D6" w14:textId="77777777" w:rsidR="00A52258" w:rsidRDefault="0007513A">
      <w:pPr>
        <w:pStyle w:val="2"/>
        <w:numPr>
          <w:ilvl w:val="0"/>
          <w:numId w:val="1"/>
        </w:numPr>
        <w:rPr>
          <w:rFonts w:ascii="黑体" w:eastAsia="黑体" w:hAnsi="黑体"/>
          <w:b w:val="0"/>
          <w:bCs w:val="0"/>
        </w:rPr>
      </w:pPr>
      <w:r>
        <w:rPr>
          <w:rFonts w:ascii="黑体" w:eastAsia="黑体" w:hAnsi="黑体" w:hint="eastAsia"/>
          <w:b w:val="0"/>
          <w:bCs w:val="0"/>
        </w:rPr>
        <w:t>行业分析</w:t>
      </w:r>
    </w:p>
    <w:p w14:paraId="2F550EEB"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行业概况及发展趋势</w:t>
      </w:r>
    </w:p>
    <w:p w14:paraId="6D2A2988" w14:textId="77777777"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角膜接触镜行业概况</w:t>
      </w:r>
    </w:p>
    <w:p w14:paraId="05883049"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欧普康视是一家专业于眼健康和近视防控技术与服务的高新技术企业，专注眼视光产品及相关配套产品的研发、生产、销售，以及眼视光服务。业务包括眼科及视光医疗器械与医疗服务二大板块，</w:t>
      </w:r>
      <w:r>
        <w:rPr>
          <w:rFonts w:ascii="仿宋" w:eastAsia="仿宋" w:hAnsi="仿宋" w:hint="eastAsia"/>
          <w:b/>
          <w:bCs/>
          <w:sz w:val="28"/>
          <w:szCs w:val="28"/>
        </w:rPr>
        <w:t>目前主要业务为非手术视力矫正即“</w:t>
      </w:r>
      <w:r>
        <w:rPr>
          <w:rFonts w:ascii="仿宋" w:eastAsia="仿宋" w:hAnsi="仿宋"/>
          <w:b/>
          <w:bCs/>
          <w:sz w:val="28"/>
          <w:szCs w:val="28"/>
        </w:rPr>
        <w:t>角膜接触镜</w:t>
      </w:r>
      <w:r>
        <w:rPr>
          <w:rFonts w:ascii="仿宋" w:eastAsia="仿宋" w:hAnsi="仿宋" w:hint="eastAsia"/>
          <w:b/>
          <w:bCs/>
          <w:sz w:val="28"/>
          <w:szCs w:val="28"/>
        </w:rPr>
        <w:t>”，逐步向“全面的眼视光产品研发制造及专业的眼视光医疗服务企业”发展。</w:t>
      </w:r>
    </w:p>
    <w:p w14:paraId="54B106F5"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角膜接触镜是一种戴在眼球角膜上，用于矫正视力或保护眼球的特殊镜片。目前， 角膜接触镜主要有两类，一类是软性角膜接触镜，一类是透气性的硬性角膜接触镜。“隐形眼镜”主要为软性角膜接触镜，硬性角膜接触镜的一种特殊设计类型便是角膜塑形镜。硬性角膜接触镜相比软镜而言具备高透氧性、高耐用性、视觉效果更好以及可矫正散光等优势。</w:t>
      </w:r>
    </w:p>
    <w:p w14:paraId="2664C5D0" w14:textId="0CDAF723" w:rsidR="00A52258" w:rsidRDefault="0007513A">
      <w:pPr>
        <w:pStyle w:val="a3"/>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w:t>
      </w:r>
      <w:r>
        <w:fldChar w:fldCharType="end"/>
      </w:r>
      <w:r>
        <w:rPr>
          <w:rFonts w:hint="eastAsia"/>
        </w:rPr>
        <w:t>角膜塑形镜是特殊的硬性角膜接触镜</w:t>
      </w:r>
    </w:p>
    <w:p w14:paraId="03058A1E"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64A86AEE" wp14:editId="2C1B2BB1">
            <wp:extent cx="5274310" cy="2745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2745105"/>
                    </a:xfrm>
                    <a:prstGeom prst="rect">
                      <a:avLst/>
                    </a:prstGeom>
                  </pic:spPr>
                </pic:pic>
              </a:graphicData>
            </a:graphic>
          </wp:inline>
        </w:drawing>
      </w:r>
    </w:p>
    <w:p w14:paraId="0690544E"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塑形镜是根据用户角膜几何形状和屈光度个性设计制作，通过暂时性的改变角膜形态达到暂时性的降低近视度数的效果。用户通常睡觉的时候佩戴，起床后摘下，可以拥有一个完整的白天的清晰裸眼视力，最终达到延缓近视加重的效果。角膜塑形镜在国内外经过了大量的临床认证，在我国也有 20 多年的发展历史。</w:t>
      </w:r>
    </w:p>
    <w:p w14:paraId="69FED8AD" w14:textId="77777777" w:rsidR="00A52258" w:rsidRDefault="0007513A">
      <w:pPr>
        <w:ind w:firstLineChars="200" w:firstLine="560"/>
        <w:rPr>
          <w:rFonts w:ascii="仿宋" w:eastAsia="仿宋" w:hAnsi="仿宋"/>
          <w:b/>
          <w:bCs/>
          <w:sz w:val="28"/>
          <w:szCs w:val="28"/>
        </w:rPr>
      </w:pPr>
      <w:r>
        <w:rPr>
          <w:rFonts w:ascii="仿宋" w:eastAsia="仿宋" w:hAnsi="仿宋"/>
          <w:sz w:val="28"/>
          <w:szCs w:val="28"/>
        </w:rPr>
        <w:t>2018 年 6 月国家卫健委发布了 2018 版《近视防治指南》，其中列举了单纯性近视的矫正手段，包括：框架眼镜，含多焦点和渐进镜；角膜接触镜，含软镜、日戴硬镜和角膜塑形镜；以及手术矫正，包括激光角膜屈光手术和人工晶体植入术，</w:t>
      </w:r>
      <w:r>
        <w:rPr>
          <w:rFonts w:ascii="仿宋" w:eastAsia="仿宋" w:hAnsi="仿宋"/>
          <w:b/>
          <w:bCs/>
          <w:sz w:val="28"/>
          <w:szCs w:val="28"/>
        </w:rPr>
        <w:t>其中对于青少年儿童，仅多焦点框架镜、角膜塑形镜和低浓度阿托品可以延缓近视加深</w:t>
      </w:r>
      <w:r>
        <w:rPr>
          <w:rFonts w:ascii="仿宋" w:eastAsia="仿宋" w:hAnsi="仿宋"/>
          <w:sz w:val="28"/>
          <w:szCs w:val="28"/>
        </w:rPr>
        <w:t>，而低浓度阿托品目前暂无获批适应症的产品上市，存在使用风险，而多焦点框架镜对使用人群的佩戴条件、依从性均要求较高，</w:t>
      </w:r>
      <w:r>
        <w:rPr>
          <w:rFonts w:ascii="仿宋" w:eastAsia="仿宋" w:hAnsi="仿宋"/>
          <w:b/>
          <w:bCs/>
          <w:sz w:val="28"/>
          <w:szCs w:val="28"/>
        </w:rPr>
        <w:t>因此角膜塑形镜是当前青少年儿童延缓近视加深的最优选择</w:t>
      </w:r>
      <w:r>
        <w:rPr>
          <w:rFonts w:ascii="仿宋" w:eastAsia="仿宋" w:hAnsi="仿宋" w:hint="eastAsia"/>
          <w:b/>
          <w:bCs/>
          <w:sz w:val="28"/>
          <w:szCs w:val="28"/>
        </w:rPr>
        <w:t>。</w:t>
      </w:r>
    </w:p>
    <w:p w14:paraId="70CB5959" w14:textId="317B0457" w:rsidR="00A52258" w:rsidRDefault="0007513A">
      <w:pPr>
        <w:pStyle w:val="a3"/>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2</w:t>
      </w:r>
      <w:r>
        <w:fldChar w:fldCharType="end"/>
      </w:r>
      <w:r>
        <w:t xml:space="preserve"> </w:t>
      </w:r>
      <w:r>
        <w:rPr>
          <w:rFonts w:hint="eastAsia"/>
        </w:rPr>
        <w:t>角膜塑形镜是推荐的主要近视治疗方法</w:t>
      </w:r>
    </w:p>
    <w:p w14:paraId="442FAD8F" w14:textId="77777777" w:rsidR="00A52258" w:rsidRDefault="0007513A">
      <w:pPr>
        <w:rPr>
          <w:rFonts w:ascii="仿宋" w:eastAsia="仿宋" w:hAnsi="仿宋"/>
          <w:sz w:val="28"/>
          <w:szCs w:val="28"/>
        </w:rPr>
      </w:pPr>
      <w:r>
        <w:rPr>
          <w:noProof/>
        </w:rPr>
        <w:drawing>
          <wp:inline distT="0" distB="0" distL="0" distR="0" wp14:anchorId="2967E91D" wp14:editId="1266BFC6">
            <wp:extent cx="5274310" cy="22269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2226945"/>
                    </a:xfrm>
                    <a:prstGeom prst="rect">
                      <a:avLst/>
                    </a:prstGeom>
                  </pic:spPr>
                </pic:pic>
              </a:graphicData>
            </a:graphic>
          </wp:inline>
        </w:drawing>
      </w:r>
    </w:p>
    <w:p w14:paraId="74221519" w14:textId="77777777"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行业市场空间及发展趋势</w:t>
      </w:r>
    </w:p>
    <w:p w14:paraId="5A904B3A" w14:textId="77777777" w:rsidR="00A52258" w:rsidRDefault="0007513A">
      <w:pPr>
        <w:ind w:firstLineChars="200" w:firstLine="562"/>
        <w:rPr>
          <w:rFonts w:ascii="仿宋" w:eastAsia="仿宋" w:hAnsi="仿宋"/>
          <w:sz w:val="28"/>
          <w:szCs w:val="28"/>
        </w:rPr>
      </w:pPr>
      <w:r>
        <w:rPr>
          <w:rFonts w:ascii="仿宋" w:eastAsia="仿宋" w:hAnsi="仿宋" w:hint="eastAsia"/>
          <w:b/>
          <w:bCs/>
          <w:sz w:val="28"/>
          <w:szCs w:val="28"/>
        </w:rPr>
        <w:t>我国近视人口已非常庞大，儿童青少年近视问题严峻，低龄化趋势明显。</w:t>
      </w:r>
      <w:r>
        <w:rPr>
          <w:rFonts w:ascii="仿宋" w:eastAsia="仿宋" w:hAnsi="仿宋" w:hint="eastAsia"/>
          <w:sz w:val="28"/>
          <w:szCs w:val="28"/>
        </w:rPr>
        <w:t>随着科技水平的发展及电子产品的普及，屈光不正在人群中，尤其是青少年中的发病率逐渐升高。</w:t>
      </w:r>
      <w:r>
        <w:rPr>
          <w:rFonts w:ascii="仿宋" w:eastAsia="仿宋" w:hAnsi="仿宋"/>
          <w:sz w:val="28"/>
          <w:szCs w:val="28"/>
        </w:rPr>
        <w:t>2012年我国 5 岁以上近视人口已达 4.5 亿人，预计 2020 年将达 7 亿，</w:t>
      </w:r>
      <w:r>
        <w:rPr>
          <w:rFonts w:ascii="仿宋" w:eastAsia="仿宋" w:hAnsi="仿宋" w:hint="eastAsia"/>
          <w:sz w:val="28"/>
          <w:szCs w:val="28"/>
        </w:rPr>
        <w:t>占总人口的一半，居世界首位。</w:t>
      </w:r>
      <w:r>
        <w:rPr>
          <w:rFonts w:ascii="仿宋" w:eastAsia="仿宋" w:hAnsi="仿宋"/>
          <w:sz w:val="28"/>
          <w:szCs w:val="28"/>
        </w:rPr>
        <w:t>2018年，全国青少年儿童总体近视率为 53.6%，</w:t>
      </w:r>
      <w:r>
        <w:rPr>
          <w:rFonts w:ascii="仿宋" w:eastAsia="仿宋" w:hAnsi="仿宋" w:hint="eastAsia"/>
          <w:sz w:val="28"/>
          <w:szCs w:val="28"/>
        </w:rPr>
        <w:t>其中六岁儿童为</w:t>
      </w:r>
      <w:r>
        <w:rPr>
          <w:rFonts w:ascii="仿宋" w:eastAsia="仿宋" w:hAnsi="仿宋"/>
          <w:sz w:val="28"/>
          <w:szCs w:val="28"/>
        </w:rPr>
        <w:t xml:space="preserve"> 14.5%，小学生为 36%，初中生为 71.6% 高中生为 81%，近视防</w:t>
      </w:r>
      <w:r>
        <w:rPr>
          <w:rFonts w:ascii="仿宋" w:eastAsia="仿宋" w:hAnsi="仿宋" w:hint="eastAsia"/>
          <w:sz w:val="28"/>
          <w:szCs w:val="28"/>
        </w:rPr>
        <w:t>控任务非常艰巨。</w:t>
      </w:r>
    </w:p>
    <w:p w14:paraId="6CA2E6AE" w14:textId="77777777" w:rsidR="00A52258" w:rsidRDefault="0007513A">
      <w:pPr>
        <w:ind w:firstLineChars="200" w:firstLine="562"/>
        <w:rPr>
          <w:rFonts w:ascii="仿宋" w:eastAsia="仿宋" w:hAnsi="仿宋"/>
          <w:sz w:val="28"/>
          <w:szCs w:val="28"/>
        </w:rPr>
      </w:pPr>
      <w:r>
        <w:rPr>
          <w:rFonts w:ascii="仿宋" w:eastAsia="仿宋" w:hAnsi="仿宋" w:hint="eastAsia"/>
          <w:b/>
          <w:bCs/>
          <w:sz w:val="28"/>
          <w:szCs w:val="28"/>
        </w:rPr>
        <w:t>根据中泰证券计算，当前</w:t>
      </w:r>
      <w:r>
        <w:rPr>
          <w:rFonts w:ascii="仿宋" w:eastAsia="仿宋" w:hAnsi="仿宋"/>
          <w:b/>
          <w:bCs/>
          <w:sz w:val="28"/>
          <w:szCs w:val="28"/>
        </w:rPr>
        <w:t>角膜塑形镜行业渗透率仅约 1%，随着市场认可度日益提高，</w:t>
      </w:r>
      <w:r>
        <w:rPr>
          <w:rFonts w:ascii="仿宋" w:eastAsia="仿宋" w:hAnsi="仿宋" w:hint="eastAsia"/>
          <w:b/>
          <w:bCs/>
          <w:sz w:val="28"/>
          <w:szCs w:val="28"/>
        </w:rPr>
        <w:t>短期空间</w:t>
      </w:r>
      <w:r>
        <w:rPr>
          <w:rFonts w:ascii="仿宋" w:eastAsia="仿宋" w:hAnsi="仿宋"/>
          <w:b/>
          <w:bCs/>
          <w:sz w:val="28"/>
          <w:szCs w:val="28"/>
        </w:rPr>
        <w:t>有望超过 200 亿市场规模。</w:t>
      </w:r>
      <w:r>
        <w:rPr>
          <w:rFonts w:ascii="仿宋" w:eastAsia="仿宋" w:hAnsi="仿宋"/>
          <w:sz w:val="28"/>
          <w:szCs w:val="28"/>
        </w:rPr>
        <w:t>根据中国医疗器械行业协会眼科及视光学分会数据显示 2015 年中国进口角膜塑形镜 54.31 万副，而欧普康视作为当时唯一国产厂家，角膜塑形镜销量为 10 万副，合计市场使用量为 64 万副 （即公司市占率超过 15%），在青少年儿童近视人群比例不到 0.8%，参考美国和日本等发达国家渗透率，其中日本渗透率在 8-10%，美国为 5%， 国</w:t>
      </w:r>
      <w:r>
        <w:rPr>
          <w:rFonts w:ascii="仿宋" w:eastAsia="仿宋" w:hAnsi="仿宋"/>
          <w:sz w:val="28"/>
          <w:szCs w:val="28"/>
        </w:rPr>
        <w:lastRenderedPageBreak/>
        <w:t>内仍有较大的发展空间。根据教育部等八部门联合出台的《综合防控儿童青少年近视实施方案》，提出到 2023 年，力争实现全国儿童青少年 总体近视率在 2018 年的基础上每年降低 0.5 个百分点以上；近视高发省份每年降低 1 个百分点以上，</w:t>
      </w:r>
      <w:r>
        <w:rPr>
          <w:rFonts w:ascii="仿宋" w:eastAsia="仿宋" w:hAnsi="仿宋" w:hint="eastAsia"/>
          <w:sz w:val="28"/>
          <w:szCs w:val="28"/>
        </w:rPr>
        <w:t>中泰证券</w:t>
      </w:r>
      <w:r>
        <w:rPr>
          <w:rFonts w:ascii="仿宋" w:eastAsia="仿宋" w:hAnsi="仿宋"/>
          <w:sz w:val="28"/>
          <w:szCs w:val="28"/>
        </w:rPr>
        <w:t>测算了未来 5 年角膜塑形镜市场空间，由于除少数高度近视患者或角膜、眼底检查不过关者无法佩戴角膜 塑形镜外，大多数青少年均符合佩戴条件，我们假设适配率为 85%，渗透率在 2015 年 0.8%的基础上每年增加，2023 年假设达到 3%，价格按照 8000 元/副计算，则到 2023 年角膜塑形镜市场空间有望达到 210 亿元。</w:t>
      </w:r>
    </w:p>
    <w:p w14:paraId="40788FA8" w14:textId="006573F7"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3</w:t>
      </w:r>
      <w:r>
        <w:fldChar w:fldCharType="end"/>
      </w:r>
      <w:r>
        <w:rPr>
          <w:rFonts w:hint="eastAsia"/>
        </w:rPr>
        <w:t>角膜塑形镜市场规模测算</w:t>
      </w:r>
    </w:p>
    <w:p w14:paraId="6C2BEFFA"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0AD7D84A" wp14:editId="15913BB1">
            <wp:extent cx="5274310" cy="1927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927225"/>
                    </a:xfrm>
                    <a:prstGeom prst="rect">
                      <a:avLst/>
                    </a:prstGeom>
                  </pic:spPr>
                </pic:pic>
              </a:graphicData>
            </a:graphic>
          </wp:inline>
        </w:drawing>
      </w:r>
    </w:p>
    <w:p w14:paraId="6CA242C1" w14:textId="77777777" w:rsidR="00A52258" w:rsidRDefault="0007513A">
      <w:pPr>
        <w:ind w:firstLineChars="200" w:firstLine="562"/>
        <w:rPr>
          <w:rFonts w:ascii="仿宋" w:eastAsia="仿宋" w:hAnsi="仿宋"/>
          <w:sz w:val="28"/>
          <w:szCs w:val="28"/>
        </w:rPr>
      </w:pPr>
      <w:r>
        <w:rPr>
          <w:rFonts w:ascii="仿宋" w:eastAsia="仿宋" w:hAnsi="仿宋" w:hint="eastAsia"/>
          <w:b/>
          <w:bCs/>
          <w:sz w:val="28"/>
          <w:szCs w:val="28"/>
        </w:rPr>
        <w:t>根据兴业证券数据，长期时候空间有望达到6</w:t>
      </w:r>
      <w:r>
        <w:rPr>
          <w:rFonts w:ascii="仿宋" w:eastAsia="仿宋" w:hAnsi="仿宋"/>
          <w:b/>
          <w:bCs/>
          <w:sz w:val="28"/>
          <w:szCs w:val="28"/>
        </w:rPr>
        <w:t>00-800</w:t>
      </w:r>
      <w:r>
        <w:rPr>
          <w:rFonts w:ascii="仿宋" w:eastAsia="仿宋" w:hAnsi="仿宋" w:hint="eastAsia"/>
          <w:b/>
          <w:bCs/>
          <w:sz w:val="28"/>
          <w:szCs w:val="28"/>
        </w:rPr>
        <w:t>亿。</w:t>
      </w:r>
      <w:r>
        <w:rPr>
          <w:rFonts w:ascii="仿宋" w:eastAsia="仿宋" w:hAnsi="仿宋"/>
          <w:sz w:val="28"/>
          <w:szCs w:val="28"/>
        </w:rPr>
        <w:t>2004-2017 年，中国香港和中国台湾角膜塑形镜占角膜接触镜用户比例分别为 5.91%、3.57%，而中国大陆仅 1.1%，由于角膜塑形镜渗透率整体处于上升趋势，故而累计数据略有低估。角膜接触镜渗透率来看，东亚地区渗透率高达 25%-35%，目前中国大陆仅 8%的近视人口佩戴角膜接触镜。</w:t>
      </w:r>
      <w:r>
        <w:rPr>
          <w:rFonts w:ascii="仿宋" w:eastAsia="仿宋" w:hAnsi="仿宋" w:hint="eastAsia"/>
          <w:sz w:val="28"/>
          <w:szCs w:val="28"/>
        </w:rPr>
        <w:t>对标中国台湾，我国角膜塑形镜每年出厂规模有望达到百亿元，而目前市场规模仅</w:t>
      </w:r>
      <w:r>
        <w:rPr>
          <w:rFonts w:ascii="仿宋" w:eastAsia="仿宋" w:hAnsi="仿宋"/>
          <w:sz w:val="28"/>
          <w:szCs w:val="28"/>
        </w:rPr>
        <w:t xml:space="preserve"> 20-30 亿元，考虑到配套产品的情况下出厂规模有望达 132 亿元，零售规模有</w:t>
      </w:r>
      <w:r>
        <w:rPr>
          <w:rFonts w:ascii="仿宋" w:eastAsia="仿宋" w:hAnsi="仿宋" w:hint="eastAsia"/>
          <w:sz w:val="28"/>
          <w:szCs w:val="28"/>
        </w:rPr>
        <w:t>望达到</w:t>
      </w:r>
      <w:r>
        <w:rPr>
          <w:rFonts w:ascii="仿宋" w:eastAsia="仿宋" w:hAnsi="仿宋"/>
          <w:sz w:val="28"/>
          <w:szCs w:val="28"/>
        </w:rPr>
        <w:t xml:space="preserve"> 617 亿元。由于香港</w:t>
      </w:r>
      <w:r>
        <w:rPr>
          <w:rFonts w:ascii="仿宋" w:eastAsia="仿宋" w:hAnsi="仿宋"/>
          <w:sz w:val="28"/>
          <w:szCs w:val="28"/>
        </w:rPr>
        <w:lastRenderedPageBreak/>
        <w:t>人均收入更高，</w:t>
      </w:r>
      <w:r>
        <w:rPr>
          <w:rFonts w:ascii="仿宋" w:eastAsia="仿宋" w:hAnsi="仿宋" w:hint="eastAsia"/>
          <w:sz w:val="28"/>
          <w:szCs w:val="28"/>
        </w:rPr>
        <w:t>即8</w:t>
      </w:r>
      <w:r>
        <w:rPr>
          <w:rFonts w:ascii="仿宋" w:eastAsia="仿宋" w:hAnsi="仿宋"/>
          <w:sz w:val="28"/>
          <w:szCs w:val="28"/>
        </w:rPr>
        <w:t>63</w:t>
      </w:r>
      <w:r>
        <w:rPr>
          <w:rFonts w:ascii="仿宋" w:eastAsia="仿宋" w:hAnsi="仿宋" w:hint="eastAsia"/>
          <w:sz w:val="28"/>
          <w:szCs w:val="28"/>
        </w:rPr>
        <w:t>亿元</w:t>
      </w:r>
      <w:r>
        <w:rPr>
          <w:rFonts w:ascii="仿宋" w:eastAsia="仿宋" w:hAnsi="仿宋"/>
          <w:sz w:val="28"/>
          <w:szCs w:val="28"/>
        </w:rPr>
        <w:t>可作为长期市场空间的参考。</w:t>
      </w:r>
    </w:p>
    <w:p w14:paraId="27E7C68C" w14:textId="77777777" w:rsidR="00A52258" w:rsidRDefault="0007513A">
      <w:pPr>
        <w:ind w:firstLineChars="200" w:firstLine="562"/>
        <w:rPr>
          <w:rFonts w:ascii="仿宋" w:eastAsia="仿宋" w:hAnsi="仿宋"/>
          <w:b/>
          <w:bCs/>
          <w:sz w:val="28"/>
          <w:szCs w:val="28"/>
        </w:rPr>
      </w:pPr>
      <w:r>
        <w:rPr>
          <w:rFonts w:ascii="仿宋" w:eastAsia="仿宋" w:hAnsi="仿宋" w:hint="eastAsia"/>
          <w:b/>
          <w:bCs/>
          <w:sz w:val="28"/>
          <w:szCs w:val="28"/>
        </w:rPr>
        <w:t>综合以上，从长期来看，未来的市场空间有</w:t>
      </w:r>
      <w:r>
        <w:rPr>
          <w:rFonts w:ascii="仿宋" w:eastAsia="仿宋" w:hAnsi="仿宋"/>
          <w:b/>
          <w:bCs/>
          <w:sz w:val="28"/>
          <w:szCs w:val="28"/>
        </w:rPr>
        <w:t>5</w:t>
      </w:r>
      <w:r>
        <w:rPr>
          <w:rFonts w:ascii="仿宋" w:eastAsia="仿宋" w:hAnsi="仿宋" w:hint="eastAsia"/>
          <w:b/>
          <w:bCs/>
          <w:sz w:val="28"/>
          <w:szCs w:val="28"/>
        </w:rPr>
        <w:t>倍左右的增幅，成长空间巨大。</w:t>
      </w:r>
    </w:p>
    <w:p w14:paraId="01B8BA03" w14:textId="25A1589D"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4</w:t>
      </w:r>
      <w:r>
        <w:fldChar w:fldCharType="end"/>
      </w:r>
      <w:r>
        <w:rPr>
          <w:rFonts w:hint="eastAsia"/>
        </w:rPr>
        <w:t>长期行业市场空间测算</w:t>
      </w:r>
    </w:p>
    <w:p w14:paraId="26C4ADB4"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7FABC09A" wp14:editId="7B08C2D6">
            <wp:extent cx="5274310" cy="40487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4048760"/>
                    </a:xfrm>
                    <a:prstGeom prst="rect">
                      <a:avLst/>
                    </a:prstGeom>
                  </pic:spPr>
                </pic:pic>
              </a:graphicData>
            </a:graphic>
          </wp:inline>
        </w:drawing>
      </w:r>
    </w:p>
    <w:p w14:paraId="6248971A" w14:textId="77777777" w:rsidR="00A52258" w:rsidRDefault="0007513A">
      <w:pPr>
        <w:ind w:firstLineChars="200" w:firstLine="562"/>
        <w:rPr>
          <w:rFonts w:ascii="仿宋" w:eastAsia="仿宋" w:hAnsi="仿宋"/>
          <w:sz w:val="28"/>
          <w:szCs w:val="28"/>
        </w:rPr>
      </w:pPr>
      <w:r>
        <w:rPr>
          <w:rFonts w:ascii="仿宋" w:eastAsia="仿宋" w:hAnsi="仿宋" w:hint="eastAsia"/>
          <w:b/>
          <w:bCs/>
          <w:sz w:val="28"/>
          <w:szCs w:val="28"/>
        </w:rPr>
        <w:t>四大因素将推动角膜塑形镜渗透率持续高增长</w:t>
      </w:r>
      <w:r>
        <w:rPr>
          <w:rFonts w:ascii="仿宋" w:eastAsia="仿宋" w:hAnsi="仿宋" w:hint="eastAsia"/>
          <w:sz w:val="28"/>
          <w:szCs w:val="28"/>
        </w:rPr>
        <w:t>：</w:t>
      </w:r>
      <w:r>
        <w:rPr>
          <w:rFonts w:ascii="仿宋" w:eastAsia="仿宋" w:hAnsi="仿宋"/>
          <w:sz w:val="28"/>
          <w:szCs w:val="28"/>
        </w:rPr>
        <w:t>1</w:t>
      </w:r>
      <w:r>
        <w:rPr>
          <w:rFonts w:ascii="仿宋" w:eastAsia="仿宋" w:hAnsi="仿宋" w:hint="eastAsia"/>
          <w:sz w:val="28"/>
          <w:szCs w:val="28"/>
        </w:rPr>
        <w:t>、</w:t>
      </w:r>
      <w:r>
        <w:rPr>
          <w:rFonts w:ascii="仿宋" w:eastAsia="仿宋" w:hAnsi="仿宋"/>
          <w:sz w:val="28"/>
          <w:szCs w:val="28"/>
        </w:rPr>
        <w:t>民营眼科医院和中小型视光终</w:t>
      </w:r>
      <w:r>
        <w:rPr>
          <w:rFonts w:ascii="仿宋" w:eastAsia="仿宋" w:hAnsi="仿宋" w:hint="eastAsia"/>
          <w:sz w:val="28"/>
          <w:szCs w:val="28"/>
        </w:rPr>
        <w:t>端迅速崛起</w:t>
      </w:r>
      <w:r>
        <w:rPr>
          <w:rStyle w:val="ab"/>
          <w:rFonts w:ascii="仿宋" w:eastAsia="仿宋" w:hAnsi="仿宋"/>
          <w:sz w:val="28"/>
          <w:szCs w:val="28"/>
        </w:rPr>
        <w:footnoteReference w:id="1"/>
      </w:r>
      <w:r>
        <w:rPr>
          <w:rFonts w:ascii="仿宋" w:eastAsia="仿宋" w:hAnsi="仿宋" w:hint="eastAsia"/>
          <w:sz w:val="28"/>
          <w:szCs w:val="28"/>
        </w:rPr>
        <w:t>，渠道门槛降低数量增加的同时推广与服务意识更强，有望拓展用户对角膜塑形镜的认可度提升配镜意愿；</w:t>
      </w:r>
      <w:r>
        <w:rPr>
          <w:rFonts w:ascii="仿宋" w:eastAsia="仿宋" w:hAnsi="仿宋"/>
          <w:sz w:val="28"/>
          <w:szCs w:val="28"/>
        </w:rPr>
        <w:t>2</w:t>
      </w:r>
      <w:r>
        <w:rPr>
          <w:rFonts w:ascii="仿宋" w:eastAsia="仿宋" w:hAnsi="仿宋" w:hint="eastAsia"/>
          <w:sz w:val="28"/>
          <w:szCs w:val="28"/>
        </w:rPr>
        <w:t>、</w:t>
      </w:r>
      <w:r>
        <w:rPr>
          <w:rFonts w:ascii="仿宋" w:eastAsia="仿宋" w:hAnsi="仿宋"/>
          <w:sz w:val="28"/>
          <w:szCs w:val="28"/>
        </w:rPr>
        <w:t>教育部着力设立、发展眼视光相关专业，</w:t>
      </w:r>
      <w:r>
        <w:rPr>
          <w:rFonts w:ascii="仿宋" w:eastAsia="仿宋" w:hAnsi="仿宋" w:hint="eastAsia"/>
          <w:sz w:val="28"/>
          <w:szCs w:val="28"/>
        </w:rPr>
        <w:t>缓解行业人次供不应求现状；</w:t>
      </w:r>
      <w:r>
        <w:rPr>
          <w:rFonts w:ascii="仿宋" w:eastAsia="仿宋" w:hAnsi="仿宋"/>
          <w:sz w:val="28"/>
          <w:szCs w:val="28"/>
        </w:rPr>
        <w:t>3</w:t>
      </w:r>
      <w:r>
        <w:rPr>
          <w:rFonts w:ascii="仿宋" w:eastAsia="仿宋" w:hAnsi="仿宋" w:hint="eastAsia"/>
          <w:sz w:val="28"/>
          <w:szCs w:val="28"/>
        </w:rPr>
        <w:t>、</w:t>
      </w:r>
      <w:r>
        <w:rPr>
          <w:rFonts w:ascii="仿宋" w:eastAsia="仿宋" w:hAnsi="仿宋"/>
          <w:sz w:val="28"/>
          <w:szCs w:val="28"/>
        </w:rPr>
        <w:t>具备消费能力和消费意愿的潜在用户比例增加；4</w:t>
      </w:r>
      <w:r>
        <w:rPr>
          <w:rFonts w:ascii="仿宋" w:eastAsia="仿宋" w:hAnsi="仿宋" w:hint="eastAsia"/>
          <w:sz w:val="28"/>
          <w:szCs w:val="28"/>
        </w:rPr>
        <w:t>、</w:t>
      </w:r>
      <w:r>
        <w:rPr>
          <w:rFonts w:ascii="仿宋" w:eastAsia="仿宋" w:hAnsi="仿宋"/>
          <w:sz w:val="28"/>
          <w:szCs w:val="28"/>
        </w:rPr>
        <w:t>政策明确</w:t>
      </w:r>
      <w:r>
        <w:rPr>
          <w:rFonts w:ascii="仿宋" w:eastAsia="仿宋" w:hAnsi="仿宋" w:hint="eastAsia"/>
          <w:sz w:val="28"/>
          <w:szCs w:val="28"/>
        </w:rPr>
        <w:t>降</w:t>
      </w:r>
      <w:r>
        <w:rPr>
          <w:rFonts w:ascii="仿宋" w:eastAsia="仿宋" w:hAnsi="仿宋"/>
          <w:sz w:val="28"/>
          <w:szCs w:val="28"/>
        </w:rPr>
        <w:t>低近视率，政府和学校重视近视防控。</w:t>
      </w:r>
    </w:p>
    <w:p w14:paraId="15D9A095" w14:textId="77777777" w:rsidR="00A52258" w:rsidRDefault="0007513A">
      <w:pPr>
        <w:rPr>
          <w:rFonts w:ascii="仿宋" w:eastAsia="仿宋" w:hAnsi="仿宋"/>
          <w:sz w:val="28"/>
          <w:szCs w:val="28"/>
        </w:rPr>
      </w:pPr>
      <w:r>
        <w:rPr>
          <w:rFonts w:ascii="仿宋" w:eastAsia="仿宋" w:hAnsi="仿宋"/>
          <w:noProof/>
          <w:sz w:val="28"/>
          <w:szCs w:val="28"/>
        </w:rPr>
        <w:lastRenderedPageBreak/>
        <w:drawing>
          <wp:inline distT="0" distB="0" distL="0" distR="0" wp14:anchorId="1A27855A" wp14:editId="7933A00A">
            <wp:extent cx="5274310" cy="215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155190"/>
                    </a:xfrm>
                    <a:prstGeom prst="rect">
                      <a:avLst/>
                    </a:prstGeom>
                  </pic:spPr>
                </pic:pic>
              </a:graphicData>
            </a:graphic>
          </wp:inline>
        </w:drawing>
      </w:r>
    </w:p>
    <w:p w14:paraId="58F22954"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行业商业模式特点</w:t>
      </w:r>
    </w:p>
    <w:p w14:paraId="5D285401" w14:textId="77777777" w:rsidR="00A52258" w:rsidRDefault="00A52258">
      <w:pPr>
        <w:pStyle w:val="ac"/>
        <w:keepNext/>
        <w:keepLines/>
        <w:numPr>
          <w:ilvl w:val="1"/>
          <w:numId w:val="3"/>
        </w:numPr>
        <w:spacing w:before="280" w:after="290" w:line="376" w:lineRule="auto"/>
        <w:ind w:firstLineChars="0"/>
        <w:outlineLvl w:val="3"/>
        <w:rPr>
          <w:rFonts w:ascii="黑体" w:eastAsia="黑体" w:hAnsi="黑体" w:cstheme="majorBidi"/>
          <w:vanish/>
          <w:sz w:val="28"/>
          <w:szCs w:val="28"/>
        </w:rPr>
      </w:pPr>
    </w:p>
    <w:p w14:paraId="6F2B980E" w14:textId="77777777"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属于非标定制化产品，具备高毛利率和净利率</w:t>
      </w:r>
    </w:p>
    <w:p w14:paraId="76754E4A"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角膜塑形镜是一种非标品，需要根据使用者的情况进行定制</w:t>
      </w:r>
      <w:r>
        <w:rPr>
          <w:rFonts w:ascii="仿宋" w:eastAsia="仿宋" w:hAnsi="仿宋" w:hint="eastAsia"/>
          <w:sz w:val="28"/>
          <w:szCs w:val="28"/>
        </w:rPr>
        <w:t>。公司以销定产，将产品直接销售给医疗机构或自有经销售（直销）或通过非自有经销商销售给终端。因此具备较高的毛利率约9</w:t>
      </w:r>
      <w:r>
        <w:rPr>
          <w:rFonts w:ascii="仿宋" w:eastAsia="仿宋" w:hAnsi="仿宋"/>
          <w:sz w:val="28"/>
          <w:szCs w:val="28"/>
        </w:rPr>
        <w:t>0%</w:t>
      </w:r>
      <w:r>
        <w:rPr>
          <w:rFonts w:ascii="仿宋" w:eastAsia="仿宋" w:hAnsi="仿宋" w:hint="eastAsia"/>
          <w:sz w:val="28"/>
          <w:szCs w:val="28"/>
        </w:rPr>
        <w:t>和净利率约5</w:t>
      </w:r>
      <w:r>
        <w:rPr>
          <w:rFonts w:ascii="仿宋" w:eastAsia="仿宋" w:hAnsi="仿宋"/>
          <w:sz w:val="28"/>
          <w:szCs w:val="28"/>
        </w:rPr>
        <w:t>0%</w:t>
      </w:r>
      <w:r>
        <w:rPr>
          <w:rFonts w:ascii="仿宋" w:eastAsia="仿宋" w:hAnsi="仿宋" w:hint="eastAsia"/>
          <w:sz w:val="28"/>
          <w:szCs w:val="28"/>
        </w:rPr>
        <w:t>。</w:t>
      </w:r>
    </w:p>
    <w:p w14:paraId="0D495ACE" w14:textId="2161F713"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5</w:t>
      </w:r>
      <w:r>
        <w:fldChar w:fldCharType="end"/>
      </w:r>
      <w:r>
        <w:rPr>
          <w:rFonts w:hint="eastAsia"/>
        </w:rPr>
        <w:t>角膜塑形镜各阶段利润分配</w:t>
      </w:r>
    </w:p>
    <w:p w14:paraId="522D564B"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4C8F9160" wp14:editId="3AC8DF86">
            <wp:extent cx="5274310" cy="19862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1986280"/>
                    </a:xfrm>
                    <a:prstGeom prst="rect">
                      <a:avLst/>
                    </a:prstGeom>
                  </pic:spPr>
                </pic:pic>
              </a:graphicData>
            </a:graphic>
          </wp:inline>
        </w:drawing>
      </w:r>
    </w:p>
    <w:p w14:paraId="305463B3" w14:textId="77777777" w:rsidR="00A52258" w:rsidRDefault="0007513A">
      <w:pPr>
        <w:pStyle w:val="4"/>
        <w:numPr>
          <w:ilvl w:val="2"/>
          <w:numId w:val="3"/>
        </w:numPr>
        <w:rPr>
          <w:rFonts w:ascii="黑体" w:eastAsia="黑体" w:hAnsi="黑体"/>
          <w:b w:val="0"/>
          <w:bCs w:val="0"/>
        </w:rPr>
      </w:pPr>
      <w:r>
        <w:rPr>
          <w:rFonts w:ascii="黑体" w:eastAsia="黑体" w:hAnsi="黑体"/>
          <w:b w:val="0"/>
          <w:bCs w:val="0"/>
        </w:rPr>
        <w:t>高价单品叠加必备配件，奠定优良赛道基础</w:t>
      </w:r>
    </w:p>
    <w:p w14:paraId="30818572"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无论是国产还是进口，角膜塑形镜单价均达</w:t>
      </w:r>
      <w:r>
        <w:rPr>
          <w:rFonts w:ascii="仿宋" w:eastAsia="仿宋" w:hAnsi="仿宋"/>
          <w:sz w:val="28"/>
          <w:szCs w:val="28"/>
        </w:rPr>
        <w:t>1万元左右，显著高</w:t>
      </w:r>
      <w:r>
        <w:rPr>
          <w:rFonts w:ascii="仿宋" w:eastAsia="仿宋" w:hAnsi="仿宋"/>
          <w:sz w:val="28"/>
          <w:szCs w:val="28"/>
        </w:rPr>
        <w:lastRenderedPageBreak/>
        <w:t>于近视矫正常用</w:t>
      </w:r>
      <w:r>
        <w:rPr>
          <w:rFonts w:ascii="仿宋" w:eastAsia="仿宋" w:hAnsi="仿宋" w:hint="eastAsia"/>
          <w:sz w:val="28"/>
          <w:szCs w:val="28"/>
        </w:rPr>
        <w:t>的框架镜、软性隐形眼镜等产品。除了镜片本身，在日常使用过程中还需要护理液、冲洗液、润滑液、深度清洁液、吸棒、双联盒等必备护理产品，售价不菲。</w:t>
      </w:r>
    </w:p>
    <w:p w14:paraId="73E941D3" w14:textId="1F8C57BA"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6</w:t>
      </w:r>
      <w:r>
        <w:fldChar w:fldCharType="end"/>
      </w:r>
      <w:r>
        <w:rPr>
          <w:rFonts w:hint="eastAsia"/>
        </w:rPr>
        <w:t>不同近视矫正手段单价对比（万元</w:t>
      </w:r>
      <w:r>
        <w:t>/</w:t>
      </w:r>
      <w:r>
        <w:t>副（双））</w:t>
      </w:r>
    </w:p>
    <w:p w14:paraId="568F2C91"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4733F4BE" wp14:editId="2F40E76E">
            <wp:extent cx="5274310" cy="31724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3172460"/>
                    </a:xfrm>
                    <a:prstGeom prst="rect">
                      <a:avLst/>
                    </a:prstGeom>
                  </pic:spPr>
                </pic:pic>
              </a:graphicData>
            </a:graphic>
          </wp:inline>
        </w:drawing>
      </w:r>
    </w:p>
    <w:p w14:paraId="4DADACB0" w14:textId="77777777" w:rsidR="00A52258" w:rsidRDefault="0007513A">
      <w:pPr>
        <w:pStyle w:val="4"/>
        <w:numPr>
          <w:ilvl w:val="2"/>
          <w:numId w:val="3"/>
        </w:numPr>
        <w:rPr>
          <w:rFonts w:ascii="黑体" w:eastAsia="黑体" w:hAnsi="黑体"/>
          <w:b w:val="0"/>
          <w:bCs w:val="0"/>
        </w:rPr>
      </w:pPr>
      <w:r>
        <w:rPr>
          <w:rFonts w:ascii="黑体" w:eastAsia="黑体" w:hAnsi="黑体"/>
          <w:b w:val="0"/>
          <w:bCs w:val="0"/>
        </w:rPr>
        <w:t>产品消费频次稳定，需定期更换</w:t>
      </w:r>
    </w:p>
    <w:p w14:paraId="1AC6B900"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塑形镜平均使用1-2年即需更换。角膜塑形镜采用高透氧硬性接触镜材料，使用一年以后会出现镜片变形、表面划痕较多、过量沉淀物等问题，因此需要定期更换。美国角膜塑形及近视控制学会(AAOMC)和欧洲角膜塑形学会(EUROK)建议根据患者复查的情况，考虑每年更换;国内一般1.52年左右在专业眼科医师指导下更换角膜塑形镜。此外，必备护理液产品开瓶后保质期较短，使用频率很高，单个用户年度开支或超 2000 元</w:t>
      </w:r>
      <w:r>
        <w:rPr>
          <w:rFonts w:ascii="仿宋" w:eastAsia="仿宋" w:hAnsi="仿宋" w:hint="eastAsia"/>
          <w:sz w:val="28"/>
          <w:szCs w:val="28"/>
        </w:rPr>
        <w:t>。</w:t>
      </w:r>
    </w:p>
    <w:p w14:paraId="54B3FF67" w14:textId="77777777" w:rsidR="00A52258" w:rsidRDefault="0007513A">
      <w:pPr>
        <w:pStyle w:val="4"/>
        <w:numPr>
          <w:ilvl w:val="2"/>
          <w:numId w:val="3"/>
        </w:numPr>
        <w:rPr>
          <w:rFonts w:ascii="黑体" w:eastAsia="黑体" w:hAnsi="黑体"/>
          <w:b w:val="0"/>
          <w:bCs w:val="0"/>
        </w:rPr>
      </w:pPr>
      <w:r>
        <w:rPr>
          <w:rFonts w:ascii="黑体" w:eastAsia="黑体" w:hAnsi="黑体"/>
          <w:b w:val="0"/>
          <w:bCs w:val="0"/>
        </w:rPr>
        <w:lastRenderedPageBreak/>
        <w:t xml:space="preserve">续戴率高，用户粘性强 </w:t>
      </w:r>
    </w:p>
    <w:p w14:paraId="1859FA6C"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角膜塑形镜用户续戴率高，且不随意更换品牌。以相关调查研究为例，角膜塑形镜调研用户中，3-4 年、5-6 年、7-8 年续戴率分别达 98%、73%、44%。由于各个产品的参数、验配方式等细节差异较大，用户和验配师不会随意更改用户的塑形镜品牌，因此用户粘性很强。</w:t>
      </w:r>
    </w:p>
    <w:p w14:paraId="4EE8B935" w14:textId="1CD38BA5"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7</w:t>
      </w:r>
      <w:r>
        <w:fldChar w:fldCharType="end"/>
      </w:r>
      <w:r>
        <w:rPr>
          <w:rFonts w:hint="eastAsia"/>
        </w:rPr>
        <w:t>角膜塑形镜续戴率高</w:t>
      </w:r>
    </w:p>
    <w:p w14:paraId="5115F407"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67FB2899" wp14:editId="295153EB">
            <wp:extent cx="5274310" cy="25946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2594610"/>
                    </a:xfrm>
                    <a:prstGeom prst="rect">
                      <a:avLst/>
                    </a:prstGeom>
                  </pic:spPr>
                </pic:pic>
              </a:graphicData>
            </a:graphic>
          </wp:inline>
        </w:drawing>
      </w:r>
    </w:p>
    <w:p w14:paraId="523F9F36" w14:textId="77777777"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上下游议价能力</w:t>
      </w:r>
    </w:p>
    <w:p w14:paraId="6DCBBF51" w14:textId="77777777" w:rsidR="00A52258" w:rsidRDefault="0007513A">
      <w:pPr>
        <w:ind w:firstLineChars="200" w:firstLine="560"/>
        <w:rPr>
          <w:rFonts w:ascii="仿宋" w:eastAsia="仿宋" w:hAnsi="仿宋"/>
          <w:sz w:val="28"/>
          <w:szCs w:val="28"/>
        </w:rPr>
      </w:pPr>
      <w:r>
        <w:rPr>
          <w:rFonts w:ascii="仿宋" w:eastAsia="仿宋" w:hAnsi="仿宋"/>
          <w:sz w:val="28"/>
          <w:szCs w:val="28"/>
        </w:rPr>
        <w:t>欧普康视的主要供应商为博士伦，采购的商品主要为角膜塑形镜的镜片材料和护理液，2013-2016 年的采购金额占整体采购金额的占比均值为 87.77%。由于博士伦是镜片原材料全球最主要的供应商，所以公司对于上游供应商的议价能力比较弱，尤其是毛利率相对较低的护理产品，上游涨价以后直接导致公司 2016 年该业务的毛利率下降了约10%。但是从公司的业务结构占比来看，护理产品只占营业收入的 18%左右，且毛利率较低，实际对净利润贡献的影响较小，未来</w:t>
      </w:r>
      <w:r>
        <w:rPr>
          <w:rFonts w:ascii="仿宋" w:eastAsia="仿宋" w:hAnsi="仿宋"/>
          <w:sz w:val="28"/>
          <w:szCs w:val="28"/>
        </w:rPr>
        <w:lastRenderedPageBreak/>
        <w:t>镜片护理液 80 万套及冲洗液 200 万瓶产能达产后，将降低对于护理产品的外购依赖，削弱供应商的议价能力。而镜片原材料虽然供应商单一，但是由于产品毛利率极高且镜片原材料采购金额占总体成本的比例也较低，约为 20-27%，所以镜片原材料在售价中的占比只有约为 2-3%，对于净利润的影响同样非常小</w:t>
      </w:r>
      <w:r>
        <w:rPr>
          <w:rFonts w:ascii="仿宋" w:eastAsia="仿宋" w:hAnsi="仿宋" w:hint="eastAsia"/>
          <w:sz w:val="28"/>
          <w:szCs w:val="28"/>
        </w:rPr>
        <w:t>。公司为避免主要原材料供应商较为集中的风险，已和生产同种原材料的其它厂商达成合作协议，作为备用供货商并将开始少量使用。</w:t>
      </w:r>
      <w:r>
        <w:rPr>
          <w:rFonts w:ascii="仿宋" w:eastAsia="仿宋" w:hAnsi="仿宋"/>
          <w:b/>
          <w:bCs/>
          <w:sz w:val="28"/>
          <w:szCs w:val="28"/>
        </w:rPr>
        <w:t>所以整体而言上游供应商有较强的议价能力，但对公司净利润的实际经营影响较小。</w:t>
      </w:r>
      <w:r>
        <w:rPr>
          <w:rFonts w:ascii="仿宋" w:eastAsia="仿宋" w:hAnsi="仿宋"/>
          <w:sz w:val="28"/>
          <w:szCs w:val="28"/>
        </w:rPr>
        <w:t>下游的直接客户主要是经销商和终端医疗机构，由于行业集中度较高，而下游客户数量众多且比较分散，议价能力较弱。</w:t>
      </w:r>
    </w:p>
    <w:p w14:paraId="3C778B6D"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行业竞争格局及壁垒</w:t>
      </w:r>
    </w:p>
    <w:p w14:paraId="512C97F5" w14:textId="77777777" w:rsidR="00A52258" w:rsidRDefault="00A52258">
      <w:pPr>
        <w:pStyle w:val="ac"/>
        <w:keepNext/>
        <w:keepLines/>
        <w:numPr>
          <w:ilvl w:val="1"/>
          <w:numId w:val="3"/>
        </w:numPr>
        <w:spacing w:before="280" w:after="290" w:line="376" w:lineRule="auto"/>
        <w:ind w:firstLineChars="0"/>
        <w:outlineLvl w:val="3"/>
        <w:rPr>
          <w:rFonts w:ascii="黑体" w:eastAsia="黑体" w:hAnsi="黑体" w:cstheme="majorBidi"/>
          <w:vanish/>
          <w:sz w:val="28"/>
          <w:szCs w:val="28"/>
        </w:rPr>
      </w:pPr>
    </w:p>
    <w:p w14:paraId="36CE7728" w14:textId="77777777"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行业竞争格局良好—欧普康视占据龙头</w:t>
      </w:r>
    </w:p>
    <w:p w14:paraId="29BE1B9D" w14:textId="77777777" w:rsidR="00A52258" w:rsidRDefault="0007513A">
      <w:pPr>
        <w:ind w:firstLineChars="200" w:firstLine="560"/>
        <w:rPr>
          <w:rFonts w:ascii="仿宋" w:eastAsia="仿宋" w:hAnsi="仿宋"/>
          <w:sz w:val="28"/>
          <w:szCs w:val="28"/>
        </w:rPr>
      </w:pPr>
      <w:r>
        <w:rPr>
          <w:rFonts w:ascii="仿宋" w:eastAsia="仿宋" w:hAnsi="仿宋"/>
          <w:sz w:val="28"/>
          <w:szCs w:val="28"/>
        </w:rPr>
        <w:t>国内竞争格局方面，在 2019 年爱博医疗</w:t>
      </w:r>
      <w:r>
        <w:rPr>
          <w:rFonts w:ascii="仿宋" w:eastAsia="仿宋" w:hAnsi="仿宋" w:hint="eastAsia"/>
          <w:sz w:val="28"/>
          <w:szCs w:val="28"/>
        </w:rPr>
        <w:t>“</w:t>
      </w:r>
      <w:r>
        <w:rPr>
          <w:rFonts w:ascii="仿宋" w:eastAsia="仿宋" w:hAnsi="仿宋"/>
          <w:sz w:val="28"/>
          <w:szCs w:val="28"/>
        </w:rPr>
        <w:t>普诺瞳</w:t>
      </w:r>
      <w:r>
        <w:rPr>
          <w:rFonts w:ascii="仿宋" w:eastAsia="仿宋" w:hAnsi="仿宋" w:hint="eastAsia"/>
          <w:sz w:val="28"/>
          <w:szCs w:val="28"/>
        </w:rPr>
        <w:t>”</w:t>
      </w:r>
      <w:r>
        <w:rPr>
          <w:rFonts w:ascii="仿宋" w:eastAsia="仿宋" w:hAnsi="仿宋"/>
          <w:sz w:val="28"/>
          <w:szCs w:val="28"/>
        </w:rPr>
        <w:t>上市后，国内目前具备生产批文的角膜塑形镜品牌达到 9 家，形成 2 家内地+7 家进口的竞争格局。市场格局来看，较早进入市场的欧普康视、欧几里得、露晰德、亨泰、ALPHA 等品牌市占率较高，分别占比 31%、19%、13.5%、12.5%、9.6%。预期未来几年内仅有个别企业可能通过审批进入市场，且至少还需 2-3 年。</w:t>
      </w:r>
    </w:p>
    <w:p w14:paraId="7D3626F4" w14:textId="459F4824" w:rsidR="00A52258" w:rsidRDefault="0007513A">
      <w:pPr>
        <w:pStyle w:val="a3"/>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8</w:t>
      </w:r>
      <w:r>
        <w:fldChar w:fldCharType="end"/>
      </w:r>
      <w:r>
        <w:t xml:space="preserve"> </w:t>
      </w:r>
      <w:r>
        <w:rPr>
          <w:rFonts w:hint="eastAsia"/>
        </w:rPr>
        <w:t>欧普康视市场占有率</w:t>
      </w:r>
    </w:p>
    <w:p w14:paraId="21816570" w14:textId="77777777" w:rsidR="00A52258" w:rsidRDefault="0007513A">
      <w:pPr>
        <w:ind w:firstLineChars="200" w:firstLine="560"/>
        <w:rPr>
          <w:rFonts w:ascii="仿宋" w:eastAsia="仿宋" w:hAnsi="仿宋"/>
          <w:sz w:val="28"/>
          <w:szCs w:val="28"/>
        </w:rPr>
      </w:pPr>
      <w:r>
        <w:rPr>
          <w:rFonts w:ascii="仿宋" w:eastAsia="仿宋" w:hAnsi="仿宋"/>
          <w:noProof/>
          <w:sz w:val="28"/>
          <w:szCs w:val="28"/>
        </w:rPr>
        <w:drawing>
          <wp:inline distT="0" distB="0" distL="0" distR="0" wp14:anchorId="300D2C26" wp14:editId="0463761D">
            <wp:extent cx="5274310" cy="31775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3177540"/>
                    </a:xfrm>
                    <a:prstGeom prst="rect">
                      <a:avLst/>
                    </a:prstGeom>
                  </pic:spPr>
                </pic:pic>
              </a:graphicData>
            </a:graphic>
          </wp:inline>
        </w:drawing>
      </w:r>
    </w:p>
    <w:p w14:paraId="7C1D4AD5"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76B6F4DF" wp14:editId="63DD1402">
            <wp:extent cx="5274310" cy="47148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4714875"/>
                    </a:xfrm>
                    <a:prstGeom prst="rect">
                      <a:avLst/>
                    </a:prstGeom>
                  </pic:spPr>
                </pic:pic>
              </a:graphicData>
            </a:graphic>
          </wp:inline>
        </w:drawing>
      </w:r>
    </w:p>
    <w:p w14:paraId="0ACCC2B8" w14:textId="77777777" w:rsidR="00A52258" w:rsidRDefault="0007513A">
      <w:pPr>
        <w:pStyle w:val="4"/>
        <w:numPr>
          <w:ilvl w:val="2"/>
          <w:numId w:val="3"/>
        </w:numPr>
        <w:rPr>
          <w:rFonts w:ascii="黑体" w:eastAsia="黑体" w:hAnsi="黑体"/>
          <w:b w:val="0"/>
          <w:bCs w:val="0"/>
        </w:rPr>
      </w:pPr>
      <w:r>
        <w:rPr>
          <w:rFonts w:ascii="黑体" w:eastAsia="黑体" w:hAnsi="黑体" w:hint="eastAsia"/>
          <w:b w:val="0"/>
          <w:bCs w:val="0"/>
        </w:rPr>
        <w:lastRenderedPageBreak/>
        <w:t>行业壁垒较高</w:t>
      </w:r>
    </w:p>
    <w:p w14:paraId="6C56D1B3" w14:textId="77777777" w:rsidR="00A52258" w:rsidRDefault="0007513A">
      <w:pPr>
        <w:pStyle w:val="ac"/>
        <w:numPr>
          <w:ilvl w:val="0"/>
          <w:numId w:val="4"/>
        </w:numPr>
        <w:ind w:firstLineChars="0"/>
        <w:rPr>
          <w:rFonts w:ascii="仿宋" w:eastAsia="仿宋" w:hAnsi="仿宋"/>
          <w:b/>
          <w:bCs/>
          <w:sz w:val="28"/>
          <w:szCs w:val="28"/>
        </w:rPr>
      </w:pPr>
      <w:r>
        <w:rPr>
          <w:rFonts w:ascii="仿宋" w:eastAsia="仿宋" w:hAnsi="仿宋" w:hint="eastAsia"/>
          <w:b/>
          <w:bCs/>
          <w:sz w:val="28"/>
          <w:szCs w:val="28"/>
        </w:rPr>
        <w:t>准入壁垒高</w:t>
      </w:r>
    </w:p>
    <w:p w14:paraId="59B7BD75" w14:textId="77777777" w:rsidR="00A52258" w:rsidRDefault="0007513A">
      <w:pPr>
        <w:ind w:firstLineChars="200" w:firstLine="560"/>
        <w:rPr>
          <w:rFonts w:ascii="仿宋" w:eastAsia="仿宋" w:hAnsi="仿宋"/>
          <w:sz w:val="28"/>
          <w:szCs w:val="28"/>
        </w:rPr>
      </w:pPr>
      <w:r>
        <w:rPr>
          <w:rFonts w:ascii="仿宋" w:eastAsia="仿宋" w:hAnsi="仿宋"/>
          <w:sz w:val="28"/>
          <w:szCs w:val="28"/>
        </w:rPr>
        <w:t>根据国家医疗器械分类目录的分类标准，</w:t>
      </w:r>
      <w:r>
        <w:rPr>
          <w:rFonts w:ascii="仿宋" w:eastAsia="仿宋" w:hAnsi="仿宋" w:hint="eastAsia"/>
          <w:sz w:val="28"/>
          <w:szCs w:val="28"/>
        </w:rPr>
        <w:t>角膜塑形镜</w:t>
      </w:r>
      <w:r>
        <w:rPr>
          <w:rFonts w:ascii="仿宋" w:eastAsia="仿宋" w:hAnsi="仿宋"/>
          <w:sz w:val="28"/>
          <w:szCs w:val="28"/>
        </w:rPr>
        <w:t>所处细分行业的产品类型均为国家三类医疗器械，需由国务院药品监督管理部门审查批准，且该类医疗器械的临床使用或临床验证应通过国务院药品监督管理部门审查通过，并获得该部门颁发的《产品注册证》方能进行生产和销售，</w:t>
      </w:r>
      <w:r>
        <w:rPr>
          <w:rFonts w:ascii="仿宋" w:eastAsia="仿宋" w:hAnsi="仿宋"/>
          <w:b/>
          <w:bCs/>
          <w:sz w:val="28"/>
          <w:szCs w:val="28"/>
        </w:rPr>
        <w:t>完成一个三类医疗器械产品注册通常需要较长的时间周期</w:t>
      </w:r>
      <w:r>
        <w:rPr>
          <w:rFonts w:ascii="仿宋" w:eastAsia="仿宋" w:hAnsi="仿宋"/>
          <w:sz w:val="28"/>
          <w:szCs w:val="28"/>
        </w:rPr>
        <w:t>。</w:t>
      </w:r>
    </w:p>
    <w:p w14:paraId="78EC0E0A"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角膜塑形镜历史审批严格，新进入者寥寥无几，不予通过屡见不鲜。欧普康视是我国第一家取得角膜塑形镜注册证的企业，此后除了在 2011 年密集通过了五家进口企业的产品注册证之外，平均每三年才有一家企业获得该产品的注册证，行业壁垒较高。以爱博诺德为例，公司 2012 年起开始研发角膜塑形镜，2019 年方获产品注册证。此外，历年多家国内外厂家一次或多次申请后未予通过。</w:t>
      </w:r>
    </w:p>
    <w:p w14:paraId="12E37BFD" w14:textId="77777777" w:rsidR="00A52258" w:rsidRDefault="0007513A">
      <w:pPr>
        <w:pStyle w:val="ac"/>
        <w:numPr>
          <w:ilvl w:val="0"/>
          <w:numId w:val="4"/>
        </w:numPr>
        <w:ind w:firstLineChars="0"/>
        <w:rPr>
          <w:rFonts w:ascii="仿宋" w:eastAsia="仿宋" w:hAnsi="仿宋"/>
          <w:b/>
          <w:bCs/>
          <w:sz w:val="28"/>
          <w:szCs w:val="28"/>
        </w:rPr>
      </w:pPr>
      <w:r>
        <w:rPr>
          <w:rFonts w:ascii="仿宋" w:eastAsia="仿宋" w:hAnsi="仿宋" w:hint="eastAsia"/>
          <w:b/>
          <w:bCs/>
          <w:sz w:val="28"/>
          <w:szCs w:val="28"/>
        </w:rPr>
        <w:t>技术研发和生产工艺壁垒</w:t>
      </w:r>
    </w:p>
    <w:p w14:paraId="3C18512F"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角膜接触镜类企业设计、研发、生产和销售的产品均为个性化定制产品，产品参数需要根据不同屈光不正患者的视力矫正需求，针对其眼部视光特点进行相关特殊检查，进行规范的验配流程后方能确认，属于非标类产品，这对企业技术研发和生产工艺提出了很高的要求。</w:t>
      </w:r>
    </w:p>
    <w:p w14:paraId="0BEF3B5D" w14:textId="77777777" w:rsidR="00A52258" w:rsidRDefault="0007513A">
      <w:pPr>
        <w:pStyle w:val="ac"/>
        <w:numPr>
          <w:ilvl w:val="0"/>
          <w:numId w:val="4"/>
        </w:numPr>
        <w:ind w:firstLineChars="0"/>
        <w:rPr>
          <w:rFonts w:ascii="仿宋" w:eastAsia="仿宋" w:hAnsi="仿宋"/>
          <w:b/>
          <w:bCs/>
          <w:sz w:val="28"/>
          <w:szCs w:val="28"/>
        </w:rPr>
      </w:pPr>
      <w:r>
        <w:rPr>
          <w:rFonts w:ascii="仿宋" w:eastAsia="仿宋" w:hAnsi="仿宋" w:hint="eastAsia"/>
          <w:b/>
          <w:bCs/>
          <w:sz w:val="28"/>
          <w:szCs w:val="28"/>
        </w:rPr>
        <w:t>营销网络壁垒</w:t>
      </w:r>
    </w:p>
    <w:p w14:paraId="73C5169B"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由于行业具备较强的专业性，对于验配和售后服务、技术培训等有着较高的要求，公司与客户除了产品销售业务往来之外，还需要长</w:t>
      </w:r>
      <w:r>
        <w:rPr>
          <w:rFonts w:ascii="仿宋" w:eastAsia="仿宋" w:hAnsi="仿宋" w:hint="eastAsia"/>
          <w:sz w:val="28"/>
          <w:szCs w:val="28"/>
        </w:rPr>
        <w:lastRenderedPageBreak/>
        <w:t>期开展对客户的培训与沟通，给予其售后服务和技术培训等指导，从而与客户形成了较强的互动与黏性销售网络，并且具有较强的排他性。成熟、稳定、共赢的销售网络的构建和培养，需要较长时间的付出和维护，这对市场新进入者形成了较高的市场营销网络壁垒。</w:t>
      </w:r>
    </w:p>
    <w:p w14:paraId="6B011E82" w14:textId="77777777" w:rsidR="00A52258" w:rsidRDefault="0007513A">
      <w:pPr>
        <w:pStyle w:val="ac"/>
        <w:numPr>
          <w:ilvl w:val="0"/>
          <w:numId w:val="4"/>
        </w:numPr>
        <w:ind w:firstLineChars="0"/>
        <w:rPr>
          <w:rFonts w:ascii="仿宋" w:eastAsia="仿宋" w:hAnsi="仿宋"/>
          <w:b/>
          <w:bCs/>
          <w:sz w:val="28"/>
          <w:szCs w:val="28"/>
        </w:rPr>
      </w:pPr>
      <w:r>
        <w:rPr>
          <w:rFonts w:ascii="仿宋" w:eastAsia="仿宋" w:hAnsi="仿宋" w:hint="eastAsia"/>
          <w:b/>
          <w:bCs/>
          <w:sz w:val="28"/>
          <w:szCs w:val="28"/>
        </w:rPr>
        <w:t>品牌壁垒</w:t>
      </w:r>
    </w:p>
    <w:p w14:paraId="24FC5824"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角膜接触镜产品的安全性、有效性、舒适性等关键指标直接决定其视力矫正效果及消费者的接受程度。因此，消费者在选择产品时十分慎重，要求产品具有良好的口碑和较高的品牌知名度。目前，国内销售的角膜接触镜类产品主要分为国内生产和进口代理两类，且都需要经过国家监管部门的审批许可后方能进入市场销售。长时间的市场经营、众多的成功案例和持续的品牌推广带来的品牌知名度的快速提升和良好的消费者口碑，为行业后来进入者带来了较高的品牌壁垒。</w:t>
      </w:r>
    </w:p>
    <w:p w14:paraId="7FCE1ABE" w14:textId="77777777" w:rsidR="00A52258" w:rsidRDefault="0007513A">
      <w:pPr>
        <w:pStyle w:val="2"/>
        <w:numPr>
          <w:ilvl w:val="0"/>
          <w:numId w:val="1"/>
        </w:numPr>
        <w:rPr>
          <w:rFonts w:ascii="黑体" w:eastAsia="黑体" w:hAnsi="黑体"/>
          <w:b w:val="0"/>
          <w:bCs w:val="0"/>
        </w:rPr>
      </w:pPr>
      <w:r>
        <w:rPr>
          <w:rFonts w:ascii="黑体" w:eastAsia="黑体" w:hAnsi="黑体" w:hint="eastAsia"/>
          <w:b w:val="0"/>
          <w:bCs w:val="0"/>
        </w:rPr>
        <w:t>公司分析</w:t>
      </w:r>
    </w:p>
    <w:p w14:paraId="20E4D7AC" w14:textId="77777777" w:rsidR="00A52258" w:rsidRDefault="00A52258">
      <w:pPr>
        <w:pStyle w:val="ac"/>
        <w:keepNext/>
        <w:keepLines/>
        <w:numPr>
          <w:ilvl w:val="0"/>
          <w:numId w:val="3"/>
        </w:numPr>
        <w:spacing w:before="280" w:after="290" w:line="376" w:lineRule="auto"/>
        <w:ind w:firstLineChars="0"/>
        <w:outlineLvl w:val="3"/>
        <w:rPr>
          <w:rFonts w:ascii="黑体" w:eastAsia="黑体" w:hAnsi="黑体" w:cstheme="majorBidi"/>
          <w:vanish/>
          <w:sz w:val="28"/>
          <w:szCs w:val="28"/>
        </w:rPr>
      </w:pPr>
    </w:p>
    <w:p w14:paraId="0632A3A6" w14:textId="77777777" w:rsidR="00A52258" w:rsidRDefault="00A52258">
      <w:pPr>
        <w:pStyle w:val="ac"/>
        <w:keepNext/>
        <w:keepLines/>
        <w:numPr>
          <w:ilvl w:val="0"/>
          <w:numId w:val="2"/>
        </w:numPr>
        <w:spacing w:before="260" w:after="260" w:line="416" w:lineRule="auto"/>
        <w:ind w:firstLineChars="0"/>
        <w:outlineLvl w:val="2"/>
        <w:rPr>
          <w:rFonts w:ascii="黑体" w:eastAsia="黑体" w:hAnsi="黑体"/>
          <w:vanish/>
          <w:sz w:val="32"/>
          <w:szCs w:val="32"/>
        </w:rPr>
      </w:pPr>
    </w:p>
    <w:p w14:paraId="5FBCD9B1"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公司基本情况介绍</w:t>
      </w:r>
    </w:p>
    <w:p w14:paraId="6AF83297" w14:textId="77777777" w:rsidR="00A52258" w:rsidRDefault="0007513A">
      <w:pPr>
        <w:ind w:firstLineChars="200" w:firstLine="560"/>
        <w:rPr>
          <w:rFonts w:ascii="仿宋" w:eastAsia="仿宋" w:hAnsi="仿宋"/>
          <w:sz w:val="28"/>
          <w:szCs w:val="28"/>
        </w:rPr>
      </w:pPr>
      <w:r>
        <w:rPr>
          <w:rFonts w:ascii="仿宋" w:eastAsia="仿宋" w:hAnsi="仿宋"/>
          <w:sz w:val="28"/>
          <w:szCs w:val="28"/>
        </w:rPr>
        <w:t>欧普康视 2000 年 10 月于合肥成立，2017 年 1 月上市。欧普康视是定位于眼视光领域的行业领先企业，目前主要从事角膜塑形镜研发、生产，同时开发全系列眼视光产品。陶悦群为公司创始人及实际控制人，持股 35.14%，技术背景深厚，是美国加州大学洛杉矶分校（UCLA）工程博士，曾任美国加州大学研发顾问和加州州立大学授课教授，参与编写《现代角膜塑形学》专著，是海归技术创业的代表；南京欧陶为公司董事黄彤舸控股公司，欧普民生是员工持股平台，</w:t>
      </w:r>
      <w:r>
        <w:rPr>
          <w:rFonts w:ascii="仿宋" w:eastAsia="仿宋" w:hAnsi="仿宋"/>
          <w:sz w:val="28"/>
          <w:szCs w:val="28"/>
        </w:rPr>
        <w:lastRenderedPageBreak/>
        <w:t>分别持有上市公司 13.58%和 5.00%的股权，公司股权相对较集中。</w:t>
      </w:r>
    </w:p>
    <w:p w14:paraId="4EB9BC25" w14:textId="5240C462"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9</w:t>
      </w:r>
      <w:r>
        <w:fldChar w:fldCharType="end"/>
      </w:r>
      <w:r>
        <w:rPr>
          <w:rFonts w:hint="eastAsia"/>
        </w:rPr>
        <w:t>欧普康视股权结构示意图</w:t>
      </w:r>
    </w:p>
    <w:p w14:paraId="4673C9DB"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33557A74" wp14:editId="714772EE">
            <wp:extent cx="5274310" cy="17684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1768475"/>
                    </a:xfrm>
                    <a:prstGeom prst="rect">
                      <a:avLst/>
                    </a:prstGeom>
                  </pic:spPr>
                </pic:pic>
              </a:graphicData>
            </a:graphic>
          </wp:inline>
        </w:drawing>
      </w:r>
    </w:p>
    <w:p w14:paraId="6313BE68" w14:textId="77777777" w:rsidR="00A52258" w:rsidRDefault="0007513A">
      <w:pPr>
        <w:ind w:firstLineChars="200" w:firstLine="562"/>
        <w:rPr>
          <w:rFonts w:ascii="仿宋" w:eastAsia="仿宋" w:hAnsi="仿宋"/>
          <w:sz w:val="28"/>
          <w:szCs w:val="28"/>
        </w:rPr>
      </w:pPr>
      <w:r>
        <w:rPr>
          <w:rFonts w:ascii="仿宋" w:eastAsia="仿宋" w:hAnsi="仿宋"/>
          <w:b/>
          <w:bCs/>
          <w:sz w:val="28"/>
          <w:szCs w:val="28"/>
        </w:rPr>
        <w:t>公司是目前国内及全球领先的角膜塑性镜研发与生产企业。</w:t>
      </w:r>
      <w:r>
        <w:rPr>
          <w:rFonts w:ascii="仿宋" w:eastAsia="仿宋" w:hAnsi="仿宋"/>
          <w:sz w:val="28"/>
          <w:szCs w:val="28"/>
        </w:rPr>
        <w:t>拥有“梦戴维”和“DreamVision”二个塑形镜品牌。其中，梦戴维品牌角膜塑形镜已应用</w:t>
      </w:r>
      <w:r>
        <w:rPr>
          <w:rFonts w:ascii="仿宋" w:eastAsia="仿宋" w:hAnsi="仿宋" w:hint="eastAsia"/>
          <w:sz w:val="28"/>
          <w:szCs w:val="28"/>
        </w:rPr>
        <w:t>1</w:t>
      </w:r>
      <w:r>
        <w:rPr>
          <w:rFonts w:ascii="仿宋" w:eastAsia="仿宋" w:hAnsi="仿宋"/>
          <w:sz w:val="28"/>
          <w:szCs w:val="28"/>
        </w:rPr>
        <w:t>5年，用户超过</w:t>
      </w:r>
      <w:r>
        <w:rPr>
          <w:rFonts w:ascii="仿宋" w:eastAsia="仿宋" w:hAnsi="仿宋" w:hint="eastAsia"/>
          <w:sz w:val="28"/>
          <w:szCs w:val="28"/>
        </w:rPr>
        <w:t>1</w:t>
      </w:r>
      <w:r>
        <w:rPr>
          <w:rFonts w:ascii="仿宋" w:eastAsia="仿宋" w:hAnsi="仿宋"/>
          <w:sz w:val="28"/>
          <w:szCs w:val="28"/>
        </w:rPr>
        <w:t>00万，在这类产品中具有较高的知名度， DreamVision产品则具有智能化、个性化等特点，技术上独具一格。</w:t>
      </w:r>
    </w:p>
    <w:p w14:paraId="077C928C" w14:textId="088F6C4E"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10</w:t>
      </w:r>
      <w:r>
        <w:fldChar w:fldCharType="end"/>
      </w:r>
      <w:r>
        <w:rPr>
          <w:rFonts w:hint="eastAsia"/>
        </w:rPr>
        <w:t>公司核心产品</w:t>
      </w:r>
    </w:p>
    <w:p w14:paraId="510EB483"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5D10F68A" wp14:editId="6ECF037E">
            <wp:extent cx="5274310" cy="19196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4310" cy="1919605"/>
                    </a:xfrm>
                    <a:prstGeom prst="rect">
                      <a:avLst/>
                    </a:prstGeom>
                  </pic:spPr>
                </pic:pic>
              </a:graphicData>
            </a:graphic>
          </wp:inline>
        </w:drawing>
      </w:r>
    </w:p>
    <w:p w14:paraId="3C2FF383"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公司的商业模式</w:t>
      </w:r>
    </w:p>
    <w:p w14:paraId="169DADFA"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公司的商业模式主要是通过自建团队和经销商团队开发搭建以医院、眼视光中心为销售终端的营销网络，患者需求的引导和销售达成主要由专业的眼科医生完成，随后患者在眼视光中心进行验配光，公司根据所得的参数，为患者个性化定制角膜塑形镜，生产的周期一</w:t>
      </w:r>
      <w:r>
        <w:rPr>
          <w:rFonts w:ascii="仿宋" w:eastAsia="仿宋" w:hAnsi="仿宋" w:hint="eastAsia"/>
          <w:sz w:val="28"/>
          <w:szCs w:val="28"/>
        </w:rPr>
        <w:lastRenderedPageBreak/>
        <w:t>般为</w:t>
      </w:r>
      <w:r>
        <w:rPr>
          <w:rFonts w:ascii="仿宋" w:eastAsia="仿宋" w:hAnsi="仿宋"/>
          <w:sz w:val="28"/>
          <w:szCs w:val="28"/>
        </w:rPr>
        <w:t xml:space="preserve"> 5-7 天，最后患者在医院拿到镜片，完成一次完整的销售，同时再根据患</w:t>
      </w:r>
      <w:r>
        <w:rPr>
          <w:rFonts w:ascii="仿宋" w:eastAsia="仿宋" w:hAnsi="仿宋" w:hint="eastAsia"/>
          <w:sz w:val="28"/>
          <w:szCs w:val="28"/>
        </w:rPr>
        <w:t xml:space="preserve">者需求配售一些护理产品提高客单价。 </w:t>
      </w:r>
    </w:p>
    <w:p w14:paraId="3A280AF0" w14:textId="7CB53BFC"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11</w:t>
      </w:r>
      <w:r>
        <w:fldChar w:fldCharType="end"/>
      </w:r>
      <w:r>
        <w:t xml:space="preserve"> </w:t>
      </w:r>
      <w:r>
        <w:rPr>
          <w:rFonts w:hint="eastAsia"/>
        </w:rPr>
        <w:t>欧普康视销售模式示意图</w:t>
      </w:r>
    </w:p>
    <w:p w14:paraId="2D387F17"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16C5E02D" wp14:editId="4035EB4D">
            <wp:extent cx="5274310" cy="26612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2661285"/>
                    </a:xfrm>
                    <a:prstGeom prst="rect">
                      <a:avLst/>
                    </a:prstGeom>
                  </pic:spPr>
                </pic:pic>
              </a:graphicData>
            </a:graphic>
          </wp:inline>
        </w:drawing>
      </w:r>
    </w:p>
    <w:p w14:paraId="6B707064" w14:textId="77777777" w:rsidR="00A52258" w:rsidRDefault="0007513A">
      <w:pPr>
        <w:ind w:firstLineChars="200" w:firstLine="560"/>
        <w:rPr>
          <w:rFonts w:ascii="仿宋" w:eastAsia="仿宋" w:hAnsi="仿宋"/>
          <w:sz w:val="28"/>
          <w:szCs w:val="28"/>
        </w:rPr>
      </w:pPr>
      <w:r>
        <w:rPr>
          <w:rFonts w:ascii="仿宋" w:eastAsia="仿宋" w:hAnsi="仿宋"/>
          <w:sz w:val="28"/>
          <w:szCs w:val="28"/>
        </w:rPr>
        <w:t>在这个商业模式中，</w:t>
      </w:r>
      <w:r>
        <w:rPr>
          <w:rFonts w:ascii="仿宋" w:eastAsia="仿宋" w:hAnsi="仿宋"/>
          <w:b/>
          <w:bCs/>
          <w:sz w:val="28"/>
          <w:szCs w:val="28"/>
        </w:rPr>
        <w:t>主要的赢利点在于高毛利的角膜塑形镜低频消费和低毛利的护理产品高频消费</w:t>
      </w:r>
      <w:r>
        <w:rPr>
          <w:rFonts w:ascii="仿宋" w:eastAsia="仿宋" w:hAnsi="仿宋"/>
          <w:sz w:val="28"/>
          <w:szCs w:val="28"/>
        </w:rPr>
        <w:t>，两个产品线在功能上协同性极强，销售发生的场景一致，关联程度高。虽然公司的直接客户都是医院和经销商，属于B2B的模式，但在实际运营中，公司同样需要高度关注C端客户的患者教育和服务。因为</w:t>
      </w:r>
      <w:r>
        <w:rPr>
          <w:rFonts w:ascii="仿宋" w:eastAsia="仿宋" w:hAnsi="仿宋" w:hint="eastAsia"/>
          <w:sz w:val="28"/>
          <w:szCs w:val="28"/>
        </w:rPr>
        <w:t>：</w:t>
      </w:r>
      <w:r>
        <w:rPr>
          <w:rFonts w:ascii="仿宋" w:eastAsia="仿宋" w:hAnsi="仿宋"/>
          <w:sz w:val="28"/>
          <w:szCs w:val="28"/>
        </w:rPr>
        <w:t xml:space="preserve">角膜塑形镜更换的周期约 1.5-3 年，定期复查的周期为 1-3 月，两大产品线在客户的使用生命周期里都存在重复购买的需求，需要通过专业的售后服务和稳定的产品品质提高客户黏性。 </w:t>
      </w:r>
    </w:p>
    <w:p w14:paraId="5394A0C4" w14:textId="60F79087" w:rsidR="00A52258" w:rsidRDefault="0007513A">
      <w:pPr>
        <w:ind w:firstLineChars="200" w:firstLine="560"/>
        <w:rPr>
          <w:rFonts w:ascii="仿宋" w:eastAsia="仿宋" w:hAnsi="仿宋"/>
          <w:sz w:val="28"/>
          <w:szCs w:val="28"/>
        </w:rPr>
      </w:pPr>
      <w:r>
        <w:rPr>
          <w:rFonts w:ascii="仿宋" w:eastAsia="仿宋" w:hAnsi="仿宋"/>
          <w:sz w:val="28"/>
          <w:szCs w:val="28"/>
        </w:rPr>
        <w:t>营销上采用直销和经销并行的模式，其中直销的比例约为30%，经销的比例约为70%，面对巨大的国内市场和较大的地区差异，经销和直销兼顾的方式对于快速拓展市场是高效的选择，随着上市之后，资金实力的增强，预计跨区域扩张会进一步加速，经销收入占比可能会进一步扩大。从销售区域上看，华东区是公司的核心销售区域，销</w:t>
      </w:r>
      <w:r>
        <w:rPr>
          <w:rFonts w:ascii="仿宋" w:eastAsia="仿宋" w:hAnsi="仿宋"/>
          <w:sz w:val="28"/>
          <w:szCs w:val="28"/>
        </w:rPr>
        <w:lastRenderedPageBreak/>
        <w:t>售收入占比约为64%，由于华东区的消费能力较强，公司资源在该区域又相对集中，预计未来该区域的营销模式更偏重提升终端的覆盖率与渗透率。2020年，</w:t>
      </w:r>
      <w:r>
        <w:rPr>
          <w:rFonts w:ascii="仿宋" w:eastAsia="仿宋" w:hAnsi="仿宋" w:hint="eastAsia"/>
          <w:sz w:val="28"/>
          <w:szCs w:val="28"/>
        </w:rPr>
        <w:t>公司新增的合作终端近</w:t>
      </w:r>
      <w:r>
        <w:rPr>
          <w:rFonts w:ascii="仿宋" w:eastAsia="仿宋" w:hAnsi="仿宋"/>
          <w:sz w:val="28"/>
          <w:szCs w:val="28"/>
        </w:rPr>
        <w:t>200多家，目前已建立合作关系的终端总数超过1100家。</w:t>
      </w:r>
    </w:p>
    <w:p w14:paraId="07E86389" w14:textId="6CAE3E8C" w:rsidR="00A52258" w:rsidRDefault="0007513A">
      <w:pPr>
        <w:pStyle w:val="a3"/>
        <w:keepNex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12</w:t>
      </w:r>
      <w:r>
        <w:fldChar w:fldCharType="end"/>
      </w:r>
      <w:r>
        <w:rPr>
          <w:rFonts w:hint="eastAsia"/>
        </w:rPr>
        <w:t>公司各区域销售额占比</w:t>
      </w:r>
    </w:p>
    <w:p w14:paraId="793F3A8F"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6F90B15A" wp14:editId="1CF0B55F">
            <wp:extent cx="5274310" cy="3512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3512820"/>
                    </a:xfrm>
                    <a:prstGeom prst="rect">
                      <a:avLst/>
                    </a:prstGeom>
                  </pic:spPr>
                </pic:pic>
              </a:graphicData>
            </a:graphic>
          </wp:inline>
        </w:drawing>
      </w:r>
    </w:p>
    <w:p w14:paraId="09B67E35"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公司近五年财务数据</w:t>
      </w:r>
    </w:p>
    <w:p w14:paraId="39146D47" w14:textId="77777777" w:rsidR="00A52258" w:rsidRDefault="00A52258">
      <w:pPr>
        <w:pStyle w:val="ac"/>
        <w:keepNext/>
        <w:keepLines/>
        <w:numPr>
          <w:ilvl w:val="1"/>
          <w:numId w:val="3"/>
        </w:numPr>
        <w:spacing w:before="280" w:after="290" w:line="376" w:lineRule="auto"/>
        <w:ind w:firstLineChars="0"/>
        <w:outlineLvl w:val="3"/>
        <w:rPr>
          <w:rFonts w:ascii="黑体" w:eastAsia="黑体" w:hAnsi="黑体" w:cstheme="majorBidi"/>
          <w:vanish/>
          <w:sz w:val="28"/>
          <w:szCs w:val="28"/>
        </w:rPr>
      </w:pPr>
    </w:p>
    <w:p w14:paraId="5FB11535" w14:textId="77777777" w:rsidR="00A52258" w:rsidRDefault="00A52258">
      <w:pPr>
        <w:pStyle w:val="ac"/>
        <w:keepNext/>
        <w:keepLines/>
        <w:numPr>
          <w:ilvl w:val="1"/>
          <w:numId w:val="3"/>
        </w:numPr>
        <w:spacing w:before="280" w:after="290" w:line="376" w:lineRule="auto"/>
        <w:ind w:firstLineChars="0"/>
        <w:outlineLvl w:val="3"/>
        <w:rPr>
          <w:rFonts w:ascii="黑体" w:eastAsia="黑体" w:hAnsi="黑体" w:cstheme="majorBidi"/>
          <w:vanish/>
          <w:sz w:val="28"/>
          <w:szCs w:val="28"/>
        </w:rPr>
      </w:pPr>
    </w:p>
    <w:p w14:paraId="278778FB" w14:textId="77777777" w:rsidR="00A52258" w:rsidRDefault="00A52258">
      <w:pPr>
        <w:pStyle w:val="ac"/>
        <w:keepNext/>
        <w:keepLines/>
        <w:numPr>
          <w:ilvl w:val="1"/>
          <w:numId w:val="5"/>
        </w:numPr>
        <w:spacing w:before="280" w:after="290" w:line="376" w:lineRule="auto"/>
        <w:ind w:firstLineChars="0"/>
        <w:outlineLvl w:val="3"/>
        <w:rPr>
          <w:rFonts w:ascii="黑体" w:eastAsia="黑体" w:hAnsi="黑体" w:cstheme="majorBidi"/>
          <w:vanish/>
          <w:sz w:val="28"/>
          <w:szCs w:val="28"/>
        </w:rPr>
      </w:pPr>
    </w:p>
    <w:p w14:paraId="13391026" w14:textId="77D8F44D" w:rsidR="00A52258" w:rsidRDefault="0007513A">
      <w:pPr>
        <w:pStyle w:val="4"/>
        <w:numPr>
          <w:ilvl w:val="2"/>
          <w:numId w:val="5"/>
        </w:numPr>
        <w:rPr>
          <w:rFonts w:ascii="黑体" w:eastAsia="黑体" w:hAnsi="黑体"/>
          <w:b w:val="0"/>
          <w:bCs w:val="0"/>
        </w:rPr>
      </w:pPr>
      <w:r>
        <w:rPr>
          <w:rFonts w:ascii="黑体" w:eastAsia="黑体" w:hAnsi="黑体" w:hint="eastAsia"/>
          <w:b w:val="0"/>
          <w:bCs w:val="0"/>
        </w:rPr>
        <w:t>营收和净利润分析</w:t>
      </w:r>
    </w:p>
    <w:p w14:paraId="59212E79" w14:textId="2A80EEC2" w:rsidR="003F7B46" w:rsidRDefault="00AB08D8" w:rsidP="003F7B46">
      <w:pPr>
        <w:ind w:firstLineChars="200" w:firstLine="562"/>
        <w:rPr>
          <w:rFonts w:ascii="仿宋" w:eastAsia="仿宋" w:hAnsi="仿宋"/>
          <w:sz w:val="28"/>
          <w:szCs w:val="28"/>
        </w:rPr>
      </w:pPr>
      <w:r w:rsidRPr="00EE4AB8">
        <w:rPr>
          <w:rFonts w:ascii="仿宋" w:eastAsia="仿宋" w:hAnsi="仿宋" w:hint="eastAsia"/>
          <w:b/>
          <w:bCs/>
          <w:sz w:val="28"/>
          <w:szCs w:val="28"/>
        </w:rPr>
        <w:t>营收方面</w:t>
      </w:r>
      <w:r w:rsidRPr="003F7B46">
        <w:rPr>
          <w:rFonts w:ascii="仿宋" w:eastAsia="仿宋" w:hAnsi="仿宋" w:hint="eastAsia"/>
          <w:sz w:val="28"/>
          <w:szCs w:val="28"/>
        </w:rPr>
        <w:t>从</w:t>
      </w:r>
      <w:r w:rsidR="003F7B46" w:rsidRPr="003F7B46">
        <w:rPr>
          <w:rFonts w:ascii="仿宋" w:eastAsia="仿宋" w:hAnsi="仿宋" w:hint="eastAsia"/>
          <w:sz w:val="28"/>
          <w:szCs w:val="28"/>
        </w:rPr>
        <w:t>2</w:t>
      </w:r>
      <w:r w:rsidR="003F7B46" w:rsidRPr="003F7B46">
        <w:rPr>
          <w:rFonts w:ascii="仿宋" w:eastAsia="仿宋" w:hAnsi="仿宋"/>
          <w:sz w:val="28"/>
          <w:szCs w:val="28"/>
        </w:rPr>
        <w:t>015</w:t>
      </w:r>
      <w:r w:rsidR="003F7B46" w:rsidRPr="003F7B46">
        <w:rPr>
          <w:rFonts w:ascii="仿宋" w:eastAsia="仿宋" w:hAnsi="仿宋" w:hint="eastAsia"/>
          <w:sz w:val="28"/>
          <w:szCs w:val="28"/>
        </w:rPr>
        <w:t>—2</w:t>
      </w:r>
      <w:r w:rsidR="003F7B46" w:rsidRPr="003F7B46">
        <w:rPr>
          <w:rFonts w:ascii="仿宋" w:eastAsia="仿宋" w:hAnsi="仿宋"/>
          <w:sz w:val="28"/>
          <w:szCs w:val="28"/>
        </w:rPr>
        <w:t>020</w:t>
      </w:r>
      <w:r w:rsidR="003F7B46" w:rsidRPr="003F7B46">
        <w:rPr>
          <w:rFonts w:ascii="仿宋" w:eastAsia="仿宋" w:hAnsi="仿宋" w:hint="eastAsia"/>
          <w:sz w:val="28"/>
          <w:szCs w:val="28"/>
        </w:rPr>
        <w:t>年1</w:t>
      </w:r>
      <w:r w:rsidR="003F7B46" w:rsidRPr="003F7B46">
        <w:rPr>
          <w:rFonts w:ascii="仿宋" w:eastAsia="仿宋" w:hAnsi="仿宋"/>
          <w:sz w:val="28"/>
          <w:szCs w:val="28"/>
        </w:rPr>
        <w:t>.76</w:t>
      </w:r>
      <w:r w:rsidR="003F7B46" w:rsidRPr="003F7B46">
        <w:rPr>
          <w:rFonts w:ascii="仿宋" w:eastAsia="仿宋" w:hAnsi="仿宋" w:hint="eastAsia"/>
          <w:sz w:val="28"/>
          <w:szCs w:val="28"/>
        </w:rPr>
        <w:t>亿元增长到8</w:t>
      </w:r>
      <w:r w:rsidR="003F7B46" w:rsidRPr="003F7B46">
        <w:rPr>
          <w:rFonts w:ascii="仿宋" w:eastAsia="仿宋" w:hAnsi="仿宋"/>
          <w:sz w:val="28"/>
          <w:szCs w:val="28"/>
        </w:rPr>
        <w:t>.71</w:t>
      </w:r>
      <w:r w:rsidR="003F7B46" w:rsidRPr="003F7B46">
        <w:rPr>
          <w:rFonts w:ascii="仿宋" w:eastAsia="仿宋" w:hAnsi="仿宋" w:hint="eastAsia"/>
          <w:sz w:val="28"/>
          <w:szCs w:val="28"/>
        </w:rPr>
        <w:t>亿元，年复合增长率为3</w:t>
      </w:r>
      <w:r w:rsidR="003F7B46" w:rsidRPr="003F7B46">
        <w:rPr>
          <w:rFonts w:ascii="仿宋" w:eastAsia="仿宋" w:hAnsi="仿宋"/>
          <w:sz w:val="28"/>
          <w:szCs w:val="28"/>
        </w:rPr>
        <w:t>8%</w:t>
      </w:r>
      <w:r w:rsidR="003F7B46" w:rsidRPr="003F7B46">
        <w:rPr>
          <w:rFonts w:ascii="仿宋" w:eastAsia="仿宋" w:hAnsi="仿宋" w:hint="eastAsia"/>
          <w:sz w:val="28"/>
          <w:szCs w:val="28"/>
        </w:rPr>
        <w:t>。</w:t>
      </w:r>
      <w:r w:rsidR="003F7B46">
        <w:rPr>
          <w:rFonts w:ascii="仿宋" w:eastAsia="仿宋" w:hAnsi="仿宋" w:hint="eastAsia"/>
          <w:sz w:val="28"/>
          <w:szCs w:val="28"/>
        </w:rPr>
        <w:t>角膜塑形镜是公司营业收入的主力，</w:t>
      </w:r>
      <w:r w:rsidR="00FC59DB">
        <w:rPr>
          <w:rFonts w:ascii="仿宋" w:eastAsia="仿宋" w:hAnsi="仿宋" w:hint="eastAsia"/>
          <w:sz w:val="28"/>
          <w:szCs w:val="28"/>
        </w:rPr>
        <w:t>贡献了公司一半以上的营业收入，但其占比从7</w:t>
      </w:r>
      <w:r w:rsidR="00FC59DB">
        <w:rPr>
          <w:rFonts w:ascii="仿宋" w:eastAsia="仿宋" w:hAnsi="仿宋"/>
          <w:sz w:val="28"/>
          <w:szCs w:val="28"/>
        </w:rPr>
        <w:t>4.97%</w:t>
      </w:r>
      <w:r w:rsidR="00FC59DB">
        <w:rPr>
          <w:rFonts w:ascii="仿宋" w:eastAsia="仿宋" w:hAnsi="仿宋" w:hint="eastAsia"/>
          <w:sz w:val="28"/>
          <w:szCs w:val="28"/>
        </w:rPr>
        <w:t>下降至5</w:t>
      </w:r>
      <w:r w:rsidR="00FC59DB">
        <w:rPr>
          <w:rFonts w:ascii="仿宋" w:eastAsia="仿宋" w:hAnsi="仿宋"/>
          <w:sz w:val="28"/>
          <w:szCs w:val="28"/>
        </w:rPr>
        <w:t>9.90%</w:t>
      </w:r>
      <w:r w:rsidR="00FC59DB">
        <w:rPr>
          <w:rFonts w:ascii="仿宋" w:eastAsia="仿宋" w:hAnsi="仿宋" w:hint="eastAsia"/>
          <w:sz w:val="28"/>
          <w:szCs w:val="28"/>
        </w:rPr>
        <w:t>，同比增速自</w:t>
      </w:r>
      <w:r w:rsidR="00FC59DB">
        <w:rPr>
          <w:rFonts w:ascii="仿宋" w:eastAsia="仿宋" w:hAnsi="仿宋"/>
          <w:sz w:val="28"/>
          <w:szCs w:val="28"/>
        </w:rPr>
        <w:t>33.4%</w:t>
      </w:r>
      <w:r w:rsidR="00FC59DB">
        <w:rPr>
          <w:rFonts w:ascii="仿宋" w:eastAsia="仿宋" w:hAnsi="仿宋" w:hint="eastAsia"/>
          <w:sz w:val="28"/>
          <w:szCs w:val="28"/>
        </w:rPr>
        <w:t>放缓至1</w:t>
      </w:r>
      <w:r w:rsidR="00FC59DB">
        <w:rPr>
          <w:rFonts w:ascii="仿宋" w:eastAsia="仿宋" w:hAnsi="仿宋"/>
          <w:sz w:val="28"/>
          <w:szCs w:val="28"/>
        </w:rPr>
        <w:t>9.23%</w:t>
      </w:r>
      <w:r w:rsidR="00FC59DB">
        <w:rPr>
          <w:rFonts w:ascii="仿宋" w:eastAsia="仿宋" w:hAnsi="仿宋" w:hint="eastAsia"/>
          <w:sz w:val="28"/>
          <w:szCs w:val="28"/>
        </w:rPr>
        <w:t>，</w:t>
      </w:r>
      <w:r w:rsidR="00FC59DB" w:rsidRPr="00BC7E11">
        <w:rPr>
          <w:rFonts w:ascii="仿宋" w:eastAsia="仿宋" w:hAnsi="仿宋" w:hint="eastAsia"/>
          <w:sz w:val="28"/>
          <w:szCs w:val="28"/>
        </w:rPr>
        <w:t>低于</w:t>
      </w:r>
      <w:r w:rsidR="00FC59DB" w:rsidRPr="00BC7E11">
        <w:rPr>
          <w:rFonts w:ascii="仿宋" w:eastAsia="仿宋" w:hAnsi="仿宋"/>
          <w:sz w:val="28"/>
          <w:szCs w:val="28"/>
        </w:rPr>
        <w:t>2020年公司总体34.59%的收入增长率</w:t>
      </w:r>
      <w:r w:rsidR="00FC59DB">
        <w:rPr>
          <w:rFonts w:ascii="仿宋" w:eastAsia="仿宋" w:hAnsi="仿宋" w:hint="eastAsia"/>
          <w:sz w:val="28"/>
          <w:szCs w:val="28"/>
        </w:rPr>
        <w:t>。</w:t>
      </w:r>
    </w:p>
    <w:p w14:paraId="347A51BC" w14:textId="3DDEB1CC" w:rsidR="00FC59DB" w:rsidRDefault="00FC59DB" w:rsidP="00FC59DB">
      <w:pPr>
        <w:pStyle w:val="a3"/>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13</w:t>
      </w:r>
      <w:r>
        <w:fldChar w:fldCharType="end"/>
      </w:r>
      <w:r>
        <w:t xml:space="preserve"> </w:t>
      </w:r>
      <w:r w:rsidRPr="00014FA5">
        <w:t>2015-2020</w:t>
      </w:r>
      <w:r w:rsidRPr="00014FA5">
        <w:t>年营业收入和净利润表</w:t>
      </w:r>
    </w:p>
    <w:p w14:paraId="4D5EF448" w14:textId="1CDECF90" w:rsidR="0028592C" w:rsidRPr="006861DF" w:rsidRDefault="00FC59DB" w:rsidP="0028592C">
      <w:pPr>
        <w:rPr>
          <w:rFonts w:ascii="仿宋" w:eastAsia="仿宋" w:hAnsi="仿宋"/>
          <w:sz w:val="28"/>
          <w:szCs w:val="28"/>
        </w:rPr>
      </w:pPr>
      <w:r w:rsidRPr="00FC59DB">
        <w:rPr>
          <w:rFonts w:hint="eastAsia"/>
          <w:noProof/>
        </w:rPr>
        <w:drawing>
          <wp:inline distT="0" distB="0" distL="0" distR="0" wp14:anchorId="7CE42CA3" wp14:editId="3E031D27">
            <wp:extent cx="5274310" cy="19856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85645"/>
                    </a:xfrm>
                    <a:prstGeom prst="rect">
                      <a:avLst/>
                    </a:prstGeom>
                    <a:noFill/>
                    <a:ln>
                      <a:noFill/>
                    </a:ln>
                  </pic:spPr>
                </pic:pic>
              </a:graphicData>
            </a:graphic>
          </wp:inline>
        </w:drawing>
      </w:r>
    </w:p>
    <w:p w14:paraId="5C018C29" w14:textId="53CD5750" w:rsidR="009B7535" w:rsidRDefault="009B7535" w:rsidP="009B7535">
      <w:pPr>
        <w:pStyle w:val="a3"/>
        <w:keepNext/>
        <w:jc w:val="lef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14</w:t>
      </w:r>
      <w:r>
        <w:fldChar w:fldCharType="end"/>
      </w:r>
      <w:r>
        <w:t xml:space="preserve"> </w:t>
      </w:r>
      <w:r>
        <w:rPr>
          <w:rFonts w:hint="eastAsia"/>
        </w:rPr>
        <w:t>营业收入组成分析</w:t>
      </w:r>
    </w:p>
    <w:p w14:paraId="060B69C0" w14:textId="738D2054" w:rsidR="00436373" w:rsidRDefault="00436373" w:rsidP="00436373">
      <w:pPr>
        <w:jc w:val="center"/>
      </w:pPr>
      <w:r>
        <w:rPr>
          <w:noProof/>
        </w:rPr>
        <w:drawing>
          <wp:inline distT="0" distB="0" distL="0" distR="0" wp14:anchorId="4EB71912" wp14:editId="1EB6D50B">
            <wp:extent cx="4572000" cy="2743200"/>
            <wp:effectExtent l="0" t="0" r="0" b="0"/>
            <wp:docPr id="18" name="图表 18">
              <a:extLst xmlns:a="http://schemas.openxmlformats.org/drawingml/2006/main">
                <a:ext uri="{FF2B5EF4-FFF2-40B4-BE49-F238E27FC236}">
                  <a16:creationId xmlns:a16="http://schemas.microsoft.com/office/drawing/2014/main" id="{FB31E056-825E-44B2-B1A8-4613B2E124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81E335A" w14:textId="1D5DDD2F" w:rsidR="00AB08D8" w:rsidRDefault="002A0B76" w:rsidP="002A0B76">
      <w:pPr>
        <w:ind w:firstLineChars="200" w:firstLine="562"/>
        <w:rPr>
          <w:rFonts w:ascii="仿宋" w:eastAsia="仿宋" w:hAnsi="仿宋"/>
          <w:sz w:val="28"/>
          <w:szCs w:val="28"/>
        </w:rPr>
      </w:pPr>
      <w:r w:rsidRPr="00EE4AB8">
        <w:rPr>
          <w:rFonts w:ascii="仿宋" w:eastAsia="仿宋" w:hAnsi="仿宋" w:hint="eastAsia"/>
          <w:b/>
          <w:bCs/>
          <w:sz w:val="28"/>
          <w:szCs w:val="28"/>
        </w:rPr>
        <w:t>净利润方面</w:t>
      </w:r>
      <w:r w:rsidRPr="002A0B76">
        <w:rPr>
          <w:rFonts w:ascii="仿宋" w:eastAsia="仿宋" w:hAnsi="仿宋" w:hint="eastAsia"/>
          <w:sz w:val="28"/>
          <w:szCs w:val="28"/>
        </w:rPr>
        <w:t>从</w:t>
      </w:r>
      <w:r w:rsidR="00B41471" w:rsidRPr="003F7B46">
        <w:rPr>
          <w:rFonts w:ascii="仿宋" w:eastAsia="仿宋" w:hAnsi="仿宋" w:hint="eastAsia"/>
          <w:sz w:val="28"/>
          <w:szCs w:val="28"/>
        </w:rPr>
        <w:t>2</w:t>
      </w:r>
      <w:r w:rsidR="00B41471" w:rsidRPr="003F7B46">
        <w:rPr>
          <w:rFonts w:ascii="仿宋" w:eastAsia="仿宋" w:hAnsi="仿宋"/>
          <w:sz w:val="28"/>
          <w:szCs w:val="28"/>
        </w:rPr>
        <w:t>015</w:t>
      </w:r>
      <w:r w:rsidR="00B41471" w:rsidRPr="003F7B46">
        <w:rPr>
          <w:rFonts w:ascii="仿宋" w:eastAsia="仿宋" w:hAnsi="仿宋" w:hint="eastAsia"/>
          <w:sz w:val="28"/>
          <w:szCs w:val="28"/>
        </w:rPr>
        <w:t>—2</w:t>
      </w:r>
      <w:r w:rsidR="00B41471" w:rsidRPr="003F7B46">
        <w:rPr>
          <w:rFonts w:ascii="仿宋" w:eastAsia="仿宋" w:hAnsi="仿宋"/>
          <w:sz w:val="28"/>
          <w:szCs w:val="28"/>
        </w:rPr>
        <w:t>020</w:t>
      </w:r>
      <w:r w:rsidR="00B41471" w:rsidRPr="003F7B46">
        <w:rPr>
          <w:rFonts w:ascii="仿宋" w:eastAsia="仿宋" w:hAnsi="仿宋" w:hint="eastAsia"/>
          <w:sz w:val="28"/>
          <w:szCs w:val="28"/>
        </w:rPr>
        <w:t>年</w:t>
      </w:r>
      <w:r w:rsidR="00B41471">
        <w:rPr>
          <w:rFonts w:ascii="仿宋" w:eastAsia="仿宋" w:hAnsi="仿宋"/>
          <w:sz w:val="28"/>
          <w:szCs w:val="28"/>
        </w:rPr>
        <w:t>0.89</w:t>
      </w:r>
      <w:r w:rsidR="00B41471" w:rsidRPr="003F7B46">
        <w:rPr>
          <w:rFonts w:ascii="仿宋" w:eastAsia="仿宋" w:hAnsi="仿宋" w:hint="eastAsia"/>
          <w:sz w:val="28"/>
          <w:szCs w:val="28"/>
        </w:rPr>
        <w:t>亿元增长到</w:t>
      </w:r>
      <w:r w:rsidR="00B41471">
        <w:rPr>
          <w:rFonts w:ascii="仿宋" w:eastAsia="仿宋" w:hAnsi="仿宋"/>
          <w:sz w:val="28"/>
          <w:szCs w:val="28"/>
        </w:rPr>
        <w:t>4.33</w:t>
      </w:r>
      <w:r w:rsidR="00B41471" w:rsidRPr="003F7B46">
        <w:rPr>
          <w:rFonts w:ascii="仿宋" w:eastAsia="仿宋" w:hAnsi="仿宋" w:hint="eastAsia"/>
          <w:sz w:val="28"/>
          <w:szCs w:val="28"/>
        </w:rPr>
        <w:t>亿元，年复合增长率为3</w:t>
      </w:r>
      <w:r w:rsidR="00B41471">
        <w:rPr>
          <w:rFonts w:ascii="仿宋" w:eastAsia="仿宋" w:hAnsi="仿宋"/>
          <w:sz w:val="28"/>
          <w:szCs w:val="28"/>
        </w:rPr>
        <w:t>7</w:t>
      </w:r>
      <w:r w:rsidR="00B41471" w:rsidRPr="003F7B46">
        <w:rPr>
          <w:rFonts w:ascii="仿宋" w:eastAsia="仿宋" w:hAnsi="仿宋"/>
          <w:sz w:val="28"/>
          <w:szCs w:val="28"/>
        </w:rPr>
        <w:t>%</w:t>
      </w:r>
      <w:r w:rsidR="00B41471">
        <w:rPr>
          <w:rFonts w:ascii="仿宋" w:eastAsia="仿宋" w:hAnsi="仿宋" w:hint="eastAsia"/>
          <w:sz w:val="28"/>
          <w:szCs w:val="28"/>
        </w:rPr>
        <w:t>，增速与营收增速基本</w:t>
      </w:r>
      <w:r w:rsidR="006233C1">
        <w:rPr>
          <w:rFonts w:ascii="仿宋" w:eastAsia="仿宋" w:hAnsi="仿宋" w:hint="eastAsia"/>
          <w:sz w:val="28"/>
          <w:szCs w:val="28"/>
        </w:rPr>
        <w:t>一致</w:t>
      </w:r>
      <w:r w:rsidR="00B41471">
        <w:rPr>
          <w:rFonts w:ascii="仿宋" w:eastAsia="仿宋" w:hAnsi="仿宋" w:hint="eastAsia"/>
          <w:sz w:val="28"/>
          <w:szCs w:val="28"/>
        </w:rPr>
        <w:t>，主要源于公司净利率的一直稳定在5</w:t>
      </w:r>
      <w:r w:rsidR="00B41471">
        <w:rPr>
          <w:rFonts w:ascii="仿宋" w:eastAsia="仿宋" w:hAnsi="仿宋"/>
          <w:sz w:val="28"/>
          <w:szCs w:val="28"/>
        </w:rPr>
        <w:t>0%左右。公司整体毛利率稳定在</w:t>
      </w:r>
      <w:r w:rsidR="0090699E">
        <w:rPr>
          <w:rFonts w:ascii="仿宋" w:eastAsia="仿宋" w:hAnsi="仿宋" w:hint="eastAsia"/>
          <w:sz w:val="28"/>
          <w:szCs w:val="28"/>
        </w:rPr>
        <w:t>7</w:t>
      </w:r>
      <w:r w:rsidR="0090699E">
        <w:rPr>
          <w:rFonts w:ascii="仿宋" w:eastAsia="仿宋" w:hAnsi="仿宋"/>
          <w:sz w:val="28"/>
          <w:szCs w:val="28"/>
        </w:rPr>
        <w:t>7%</w:t>
      </w:r>
      <w:r w:rsidR="0090699E">
        <w:rPr>
          <w:rFonts w:ascii="仿宋" w:eastAsia="仿宋" w:hAnsi="仿宋" w:hint="eastAsia"/>
          <w:sz w:val="28"/>
          <w:szCs w:val="28"/>
        </w:rPr>
        <w:t>左</w:t>
      </w:r>
      <w:r w:rsidR="00B41471">
        <w:rPr>
          <w:rFonts w:ascii="仿宋" w:eastAsia="仿宋" w:hAnsi="仿宋"/>
          <w:sz w:val="28"/>
          <w:szCs w:val="28"/>
        </w:rPr>
        <w:t>右，其中</w:t>
      </w:r>
      <w:r w:rsidR="0090699E">
        <w:rPr>
          <w:rFonts w:ascii="仿宋" w:eastAsia="仿宋" w:hAnsi="仿宋"/>
          <w:sz w:val="28"/>
          <w:szCs w:val="28"/>
        </w:rPr>
        <w:t>角膜塑形镜为</w:t>
      </w:r>
      <w:r w:rsidR="0090699E">
        <w:rPr>
          <w:rFonts w:ascii="仿宋" w:eastAsia="仿宋" w:hAnsi="仿宋" w:hint="eastAsia"/>
          <w:sz w:val="28"/>
          <w:szCs w:val="28"/>
        </w:rPr>
        <w:t>9</w:t>
      </w:r>
      <w:r w:rsidR="0090699E">
        <w:rPr>
          <w:rFonts w:ascii="仿宋" w:eastAsia="仿宋" w:hAnsi="仿宋"/>
          <w:sz w:val="28"/>
          <w:szCs w:val="28"/>
        </w:rPr>
        <w:t>0.21%、护理产品</w:t>
      </w:r>
      <w:r w:rsidR="0090699E">
        <w:rPr>
          <w:rFonts w:ascii="仿宋" w:eastAsia="仿宋" w:hAnsi="仿宋" w:hint="eastAsia"/>
          <w:sz w:val="28"/>
          <w:szCs w:val="28"/>
        </w:rPr>
        <w:t>5</w:t>
      </w:r>
      <w:r w:rsidR="0090699E">
        <w:rPr>
          <w:rFonts w:ascii="仿宋" w:eastAsia="仿宋" w:hAnsi="仿宋"/>
          <w:sz w:val="28"/>
          <w:szCs w:val="28"/>
        </w:rPr>
        <w:t>5.48%、普通框架眼镜</w:t>
      </w:r>
      <w:r w:rsidR="0090699E">
        <w:rPr>
          <w:rFonts w:ascii="仿宋" w:eastAsia="仿宋" w:hAnsi="仿宋" w:hint="eastAsia"/>
          <w:sz w:val="28"/>
          <w:szCs w:val="28"/>
        </w:rPr>
        <w:t>7</w:t>
      </w:r>
      <w:r w:rsidR="0090699E">
        <w:rPr>
          <w:rFonts w:ascii="仿宋" w:eastAsia="仿宋" w:hAnsi="仿宋"/>
          <w:sz w:val="28"/>
          <w:szCs w:val="28"/>
        </w:rPr>
        <w:t>3.19%。</w:t>
      </w:r>
      <w:r w:rsidR="009174E3">
        <w:rPr>
          <w:rFonts w:ascii="仿宋" w:eastAsia="仿宋" w:hAnsi="仿宋" w:hint="eastAsia"/>
          <w:sz w:val="28"/>
          <w:szCs w:val="28"/>
        </w:rPr>
        <w:t>参考贵州茅台2</w:t>
      </w:r>
      <w:r w:rsidR="009174E3">
        <w:rPr>
          <w:rFonts w:ascii="仿宋" w:eastAsia="仿宋" w:hAnsi="仿宋"/>
          <w:sz w:val="28"/>
          <w:szCs w:val="28"/>
        </w:rPr>
        <w:t>020</w:t>
      </w:r>
      <w:r w:rsidR="009174E3">
        <w:rPr>
          <w:rFonts w:ascii="仿宋" w:eastAsia="仿宋" w:hAnsi="仿宋" w:hint="eastAsia"/>
          <w:sz w:val="28"/>
          <w:szCs w:val="28"/>
        </w:rPr>
        <w:t>年毛利率9</w:t>
      </w:r>
      <w:r w:rsidR="009174E3">
        <w:rPr>
          <w:rFonts w:ascii="仿宋" w:eastAsia="仿宋" w:hAnsi="仿宋"/>
          <w:sz w:val="28"/>
          <w:szCs w:val="28"/>
        </w:rPr>
        <w:t>1.68%</w:t>
      </w:r>
      <w:r w:rsidR="009174E3">
        <w:rPr>
          <w:rFonts w:ascii="仿宋" w:eastAsia="仿宋" w:hAnsi="仿宋" w:hint="eastAsia"/>
          <w:sz w:val="28"/>
          <w:szCs w:val="28"/>
        </w:rPr>
        <w:t>、净利率5</w:t>
      </w:r>
      <w:r w:rsidR="009174E3">
        <w:rPr>
          <w:rFonts w:ascii="仿宋" w:eastAsia="仿宋" w:hAnsi="仿宋"/>
          <w:sz w:val="28"/>
          <w:szCs w:val="28"/>
        </w:rPr>
        <w:t>4.17%</w:t>
      </w:r>
      <w:r w:rsidR="009174E3">
        <w:rPr>
          <w:rFonts w:ascii="仿宋" w:eastAsia="仿宋" w:hAnsi="仿宋" w:hint="eastAsia"/>
          <w:sz w:val="28"/>
          <w:szCs w:val="28"/>
        </w:rPr>
        <w:t>，</w:t>
      </w:r>
      <w:r w:rsidR="009174E3" w:rsidRPr="00FB72BA">
        <w:rPr>
          <w:rFonts w:ascii="仿宋" w:eastAsia="仿宋" w:hAnsi="仿宋" w:hint="eastAsia"/>
          <w:b/>
          <w:bCs/>
          <w:sz w:val="28"/>
          <w:szCs w:val="28"/>
        </w:rPr>
        <w:t>公司盈利质量属于A股顶级水平，</w:t>
      </w:r>
      <w:r w:rsidR="00A96133" w:rsidRPr="00FB72BA">
        <w:rPr>
          <w:rFonts w:ascii="仿宋" w:eastAsia="仿宋" w:hAnsi="仿宋" w:hint="eastAsia"/>
          <w:b/>
          <w:bCs/>
          <w:sz w:val="28"/>
          <w:szCs w:val="28"/>
        </w:rPr>
        <w:t>这也是市场给与1</w:t>
      </w:r>
      <w:r w:rsidR="00A96133" w:rsidRPr="00FB72BA">
        <w:rPr>
          <w:rFonts w:ascii="仿宋" w:eastAsia="仿宋" w:hAnsi="仿宋"/>
          <w:b/>
          <w:bCs/>
          <w:sz w:val="28"/>
          <w:szCs w:val="28"/>
        </w:rPr>
        <w:t>62</w:t>
      </w:r>
      <w:r w:rsidR="00A96133" w:rsidRPr="00FB72BA">
        <w:rPr>
          <w:rFonts w:ascii="仿宋" w:eastAsia="仿宋" w:hAnsi="仿宋" w:hint="eastAsia"/>
          <w:b/>
          <w:bCs/>
          <w:sz w:val="28"/>
          <w:szCs w:val="28"/>
        </w:rPr>
        <w:t>倍PE的原因</w:t>
      </w:r>
      <w:r w:rsidR="00A96133">
        <w:rPr>
          <w:rFonts w:ascii="仿宋" w:eastAsia="仿宋" w:hAnsi="仿宋" w:hint="eastAsia"/>
          <w:sz w:val="28"/>
          <w:szCs w:val="28"/>
        </w:rPr>
        <w:t>。</w:t>
      </w:r>
      <w:r w:rsidR="009174E3">
        <w:rPr>
          <w:rFonts w:ascii="仿宋" w:eastAsia="仿宋" w:hAnsi="仿宋" w:hint="eastAsia"/>
          <w:sz w:val="28"/>
          <w:szCs w:val="28"/>
        </w:rPr>
        <w:t>但是考虑到低毛利的产品占比增加以及行业竞争加剧，</w:t>
      </w:r>
      <w:r w:rsidR="00804437">
        <w:rPr>
          <w:rFonts w:ascii="仿宋" w:eastAsia="仿宋" w:hAnsi="仿宋" w:hint="eastAsia"/>
          <w:sz w:val="28"/>
          <w:szCs w:val="28"/>
        </w:rPr>
        <w:t>预计</w:t>
      </w:r>
      <w:r w:rsidR="00AD482A">
        <w:rPr>
          <w:rFonts w:ascii="仿宋" w:eastAsia="仿宋" w:hAnsi="仿宋" w:hint="eastAsia"/>
          <w:sz w:val="28"/>
          <w:szCs w:val="28"/>
        </w:rPr>
        <w:t>未来</w:t>
      </w:r>
      <w:r w:rsidR="009174E3">
        <w:rPr>
          <w:rFonts w:ascii="仿宋" w:eastAsia="仿宋" w:hAnsi="仿宋" w:hint="eastAsia"/>
          <w:sz w:val="28"/>
          <w:szCs w:val="28"/>
        </w:rPr>
        <w:t>公司的毛利和净利水平难以保持这么高的位置。</w:t>
      </w:r>
    </w:p>
    <w:p w14:paraId="10D647D0" w14:textId="356B2518" w:rsidR="00A52A06" w:rsidRDefault="00A52A06" w:rsidP="00A52A06">
      <w:pPr>
        <w:pStyle w:val="a3"/>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15</w:t>
      </w:r>
      <w:r>
        <w:fldChar w:fldCharType="end"/>
      </w:r>
      <w:r>
        <w:t xml:space="preserve"> 2015-2020</w:t>
      </w:r>
      <w:r>
        <w:rPr>
          <w:rFonts w:hint="eastAsia"/>
        </w:rPr>
        <w:t>年营收和净利润分析</w:t>
      </w:r>
    </w:p>
    <w:p w14:paraId="27F5170E" w14:textId="00823C52" w:rsidR="006861DF" w:rsidRPr="002A0B76" w:rsidRDefault="006861DF" w:rsidP="006861DF">
      <w:pPr>
        <w:rPr>
          <w:rFonts w:ascii="仿宋" w:eastAsia="仿宋" w:hAnsi="仿宋"/>
          <w:sz w:val="28"/>
          <w:szCs w:val="28"/>
        </w:rPr>
      </w:pPr>
      <w:r>
        <w:rPr>
          <w:noProof/>
        </w:rPr>
        <w:drawing>
          <wp:inline distT="0" distB="0" distL="0" distR="0" wp14:anchorId="1F50CD2A" wp14:editId="11705D45">
            <wp:extent cx="5274310" cy="2471420"/>
            <wp:effectExtent l="0" t="0" r="2540" b="5080"/>
            <wp:docPr id="19" name="图表 19">
              <a:extLst xmlns:a="http://schemas.openxmlformats.org/drawingml/2006/main">
                <a:ext uri="{FF2B5EF4-FFF2-40B4-BE49-F238E27FC236}">
                  <a16:creationId xmlns:a16="http://schemas.microsoft.com/office/drawing/2014/main" id="{94CCCC39-7798-414A-8E8F-67D503F5C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52FAF2" w14:textId="14B87AFD"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期间费用控制分析</w:t>
      </w:r>
    </w:p>
    <w:p w14:paraId="0452EB0B" w14:textId="5B320F05" w:rsidR="00F1567D" w:rsidRPr="008033BE" w:rsidRDefault="008033BE" w:rsidP="00983226">
      <w:pPr>
        <w:ind w:firstLineChars="200" w:firstLine="560"/>
        <w:rPr>
          <w:rFonts w:ascii="仿宋" w:eastAsia="仿宋" w:hAnsi="仿宋"/>
          <w:sz w:val="28"/>
          <w:szCs w:val="28"/>
        </w:rPr>
      </w:pPr>
      <w:r w:rsidRPr="008033BE">
        <w:rPr>
          <w:rFonts w:ascii="仿宋" w:eastAsia="仿宋" w:hAnsi="仿宋" w:hint="eastAsia"/>
          <w:sz w:val="28"/>
          <w:szCs w:val="28"/>
        </w:rPr>
        <w:t>期间费用方面，占比从2</w:t>
      </w:r>
      <w:r w:rsidRPr="008033BE">
        <w:rPr>
          <w:rFonts w:ascii="仿宋" w:eastAsia="仿宋" w:hAnsi="仿宋"/>
          <w:sz w:val="28"/>
          <w:szCs w:val="28"/>
        </w:rPr>
        <w:t>015</w:t>
      </w:r>
      <w:r w:rsidRPr="008033BE">
        <w:rPr>
          <w:rFonts w:ascii="仿宋" w:eastAsia="仿宋" w:hAnsi="仿宋" w:hint="eastAsia"/>
          <w:sz w:val="28"/>
          <w:szCs w:val="28"/>
        </w:rPr>
        <w:t>年的</w:t>
      </w:r>
      <w:r w:rsidRPr="008033BE">
        <w:rPr>
          <w:rFonts w:ascii="仿宋" w:eastAsia="仿宋" w:hAnsi="仿宋"/>
          <w:sz w:val="28"/>
          <w:szCs w:val="28"/>
        </w:rPr>
        <w:t>22%</w:t>
      </w:r>
      <w:r w:rsidRPr="008033BE">
        <w:rPr>
          <w:rFonts w:ascii="仿宋" w:eastAsia="仿宋" w:hAnsi="仿宋" w:hint="eastAsia"/>
          <w:sz w:val="28"/>
          <w:szCs w:val="28"/>
        </w:rPr>
        <w:t>提高到2</w:t>
      </w:r>
      <w:r w:rsidRPr="008033BE">
        <w:rPr>
          <w:rFonts w:ascii="仿宋" w:eastAsia="仿宋" w:hAnsi="仿宋"/>
          <w:sz w:val="28"/>
          <w:szCs w:val="28"/>
        </w:rPr>
        <w:t>021</w:t>
      </w:r>
      <w:r w:rsidRPr="008033BE">
        <w:rPr>
          <w:rFonts w:ascii="仿宋" w:eastAsia="仿宋" w:hAnsi="仿宋" w:hint="eastAsia"/>
          <w:sz w:val="28"/>
          <w:szCs w:val="28"/>
        </w:rPr>
        <w:t>Q</w:t>
      </w:r>
      <w:r w:rsidRPr="008033BE">
        <w:rPr>
          <w:rFonts w:ascii="仿宋" w:eastAsia="仿宋" w:hAnsi="仿宋"/>
          <w:sz w:val="28"/>
          <w:szCs w:val="28"/>
        </w:rPr>
        <w:t>1</w:t>
      </w:r>
      <w:r w:rsidRPr="008033BE">
        <w:rPr>
          <w:rFonts w:ascii="仿宋" w:eastAsia="仿宋" w:hAnsi="仿宋" w:hint="eastAsia"/>
          <w:sz w:val="28"/>
          <w:szCs w:val="28"/>
        </w:rPr>
        <w:t>的3</w:t>
      </w:r>
      <w:r w:rsidRPr="008033BE">
        <w:rPr>
          <w:rFonts w:ascii="仿宋" w:eastAsia="仿宋" w:hAnsi="仿宋"/>
          <w:sz w:val="28"/>
          <w:szCs w:val="28"/>
        </w:rPr>
        <w:t>1%</w:t>
      </w:r>
      <w:r w:rsidRPr="008033BE">
        <w:rPr>
          <w:rFonts w:ascii="仿宋" w:eastAsia="仿宋" w:hAnsi="仿宋" w:hint="eastAsia"/>
          <w:sz w:val="28"/>
          <w:szCs w:val="28"/>
        </w:rPr>
        <w:t>，销售费用占比从1</w:t>
      </w:r>
      <w:r w:rsidRPr="008033BE">
        <w:rPr>
          <w:rFonts w:ascii="仿宋" w:eastAsia="仿宋" w:hAnsi="仿宋"/>
          <w:sz w:val="28"/>
          <w:szCs w:val="28"/>
        </w:rPr>
        <w:t>3%</w:t>
      </w:r>
      <w:r w:rsidRPr="008033BE">
        <w:rPr>
          <w:rFonts w:ascii="仿宋" w:eastAsia="仿宋" w:hAnsi="仿宋" w:hint="eastAsia"/>
          <w:sz w:val="28"/>
          <w:szCs w:val="28"/>
        </w:rPr>
        <w:t>提高到1</w:t>
      </w:r>
      <w:r w:rsidRPr="008033BE">
        <w:rPr>
          <w:rFonts w:ascii="仿宋" w:eastAsia="仿宋" w:hAnsi="仿宋"/>
          <w:sz w:val="28"/>
          <w:szCs w:val="28"/>
        </w:rPr>
        <w:t>8%</w:t>
      </w:r>
      <w:r w:rsidRPr="008033BE">
        <w:rPr>
          <w:rFonts w:ascii="仿宋" w:eastAsia="仿宋" w:hAnsi="仿宋" w:hint="eastAsia"/>
          <w:sz w:val="28"/>
          <w:szCs w:val="28"/>
        </w:rPr>
        <w:t>。主要</w:t>
      </w:r>
      <w:r w:rsidRPr="008033BE">
        <w:rPr>
          <w:rFonts w:ascii="仿宋" w:eastAsia="仿宋" w:hAnsi="仿宋"/>
          <w:sz w:val="28"/>
          <w:szCs w:val="28"/>
        </w:rPr>
        <w:t>由于近年收购、新设大量子公司，其中经销商的销售费率相对母公司更高，因此公司的管理费率和销售费率呈现小幅上扬趋势。</w:t>
      </w:r>
      <w:r w:rsidR="00983226" w:rsidRPr="00983226">
        <w:rPr>
          <w:rFonts w:ascii="仿宋" w:eastAsia="仿宋" w:hAnsi="仿宋" w:hint="eastAsia"/>
          <w:sz w:val="28"/>
          <w:szCs w:val="28"/>
        </w:rPr>
        <w:t>对比其他优质医疗器械上市公司，虽主营业务各不相同，但欧普康视的费率整体位于较低水平，经营效率较强。</w:t>
      </w:r>
    </w:p>
    <w:p w14:paraId="06F5528A" w14:textId="028B63FD" w:rsidR="0028592C" w:rsidRDefault="001616C3" w:rsidP="0028592C">
      <w:pPr>
        <w:jc w:val="center"/>
      </w:pPr>
      <w:r>
        <w:rPr>
          <w:noProof/>
        </w:rPr>
        <w:drawing>
          <wp:inline distT="0" distB="0" distL="0" distR="0" wp14:anchorId="38878507" wp14:editId="42073D26">
            <wp:extent cx="4572000" cy="2921331"/>
            <wp:effectExtent l="0" t="0" r="0" b="12700"/>
            <wp:docPr id="25" name="图表 25">
              <a:extLst xmlns:a="http://schemas.openxmlformats.org/drawingml/2006/main">
                <a:ext uri="{FF2B5EF4-FFF2-40B4-BE49-F238E27FC236}">
                  <a16:creationId xmlns:a16="http://schemas.microsoft.com/office/drawing/2014/main" id="{7579D8E3-65E7-4B30-8399-32D616464A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4C5B3DA" w14:textId="7022CAF5" w:rsidR="00983226" w:rsidRPr="0028592C" w:rsidRDefault="00983226" w:rsidP="00983226">
      <w:r w:rsidRPr="00983226">
        <w:rPr>
          <w:noProof/>
        </w:rPr>
        <w:lastRenderedPageBreak/>
        <w:drawing>
          <wp:inline distT="0" distB="0" distL="0" distR="0" wp14:anchorId="01D105BB" wp14:editId="41B24287">
            <wp:extent cx="5274310" cy="22593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9330"/>
                    </a:xfrm>
                    <a:prstGeom prst="rect">
                      <a:avLst/>
                    </a:prstGeom>
                  </pic:spPr>
                </pic:pic>
              </a:graphicData>
            </a:graphic>
          </wp:inline>
        </w:drawing>
      </w:r>
    </w:p>
    <w:p w14:paraId="2571E9C3" w14:textId="06E099BA" w:rsidR="00A52258" w:rsidRDefault="0007513A">
      <w:pPr>
        <w:pStyle w:val="4"/>
        <w:numPr>
          <w:ilvl w:val="2"/>
          <w:numId w:val="3"/>
        </w:numPr>
        <w:rPr>
          <w:rFonts w:ascii="黑体" w:eastAsia="黑体" w:hAnsi="黑体"/>
          <w:b w:val="0"/>
          <w:bCs w:val="0"/>
        </w:rPr>
      </w:pPr>
      <w:r>
        <w:rPr>
          <w:rFonts w:ascii="黑体" w:eastAsia="黑体" w:hAnsi="黑体" w:hint="eastAsia"/>
          <w:b w:val="0"/>
          <w:bCs w:val="0"/>
        </w:rPr>
        <w:t>ROE拆解及趋势分析</w:t>
      </w:r>
    </w:p>
    <w:p w14:paraId="2C5574F0" w14:textId="556BE856" w:rsidR="007317A4" w:rsidRPr="005A73DF" w:rsidRDefault="005A73DF" w:rsidP="003A4F6C">
      <w:pPr>
        <w:ind w:firstLineChars="200" w:firstLine="560"/>
        <w:rPr>
          <w:rFonts w:ascii="仿宋" w:eastAsia="仿宋" w:hAnsi="仿宋"/>
          <w:sz w:val="28"/>
          <w:szCs w:val="28"/>
        </w:rPr>
      </w:pPr>
      <w:r w:rsidRPr="005A73DF">
        <w:rPr>
          <w:rFonts w:ascii="仿宋" w:eastAsia="仿宋" w:hAnsi="仿宋" w:hint="eastAsia"/>
          <w:sz w:val="28"/>
          <w:szCs w:val="28"/>
        </w:rPr>
        <w:t>ROE方面从2</w:t>
      </w:r>
      <w:r w:rsidRPr="005A73DF">
        <w:rPr>
          <w:rFonts w:ascii="仿宋" w:eastAsia="仿宋" w:hAnsi="仿宋"/>
          <w:sz w:val="28"/>
          <w:szCs w:val="28"/>
        </w:rPr>
        <w:t>015</w:t>
      </w:r>
      <w:r w:rsidRPr="005A73DF">
        <w:rPr>
          <w:rFonts w:ascii="仿宋" w:eastAsia="仿宋" w:hAnsi="仿宋" w:hint="eastAsia"/>
          <w:sz w:val="28"/>
          <w:szCs w:val="28"/>
        </w:rPr>
        <w:t>年</w:t>
      </w:r>
      <w:r w:rsidR="006A45A8">
        <w:rPr>
          <w:rFonts w:ascii="仿宋" w:eastAsia="仿宋" w:hAnsi="仿宋" w:hint="eastAsia"/>
          <w:sz w:val="28"/>
          <w:szCs w:val="28"/>
        </w:rPr>
        <w:t>上市前</w:t>
      </w:r>
      <w:r w:rsidRPr="005A73DF">
        <w:rPr>
          <w:rFonts w:ascii="仿宋" w:eastAsia="仿宋" w:hAnsi="仿宋" w:hint="eastAsia"/>
          <w:sz w:val="28"/>
          <w:szCs w:val="28"/>
        </w:rPr>
        <w:t>的4</w:t>
      </w:r>
      <w:r w:rsidRPr="005A73DF">
        <w:rPr>
          <w:rFonts w:ascii="仿宋" w:eastAsia="仿宋" w:hAnsi="仿宋"/>
          <w:sz w:val="28"/>
          <w:szCs w:val="28"/>
        </w:rPr>
        <w:t>0.04%</w:t>
      </w:r>
      <w:r w:rsidRPr="005A73DF">
        <w:rPr>
          <w:rFonts w:ascii="仿宋" w:eastAsia="仿宋" w:hAnsi="仿宋" w:hint="eastAsia"/>
          <w:sz w:val="28"/>
          <w:szCs w:val="28"/>
        </w:rPr>
        <w:t>下降至2</w:t>
      </w:r>
      <w:r w:rsidRPr="005A73DF">
        <w:rPr>
          <w:rFonts w:ascii="仿宋" w:eastAsia="仿宋" w:hAnsi="仿宋"/>
          <w:sz w:val="28"/>
          <w:szCs w:val="28"/>
        </w:rPr>
        <w:t>020</w:t>
      </w:r>
      <w:r w:rsidRPr="005A73DF">
        <w:rPr>
          <w:rFonts w:ascii="仿宋" w:eastAsia="仿宋" w:hAnsi="仿宋" w:hint="eastAsia"/>
          <w:sz w:val="28"/>
          <w:szCs w:val="28"/>
        </w:rPr>
        <w:t>年的2</w:t>
      </w:r>
      <w:r w:rsidRPr="005A73DF">
        <w:rPr>
          <w:rFonts w:ascii="仿宋" w:eastAsia="仿宋" w:hAnsi="仿宋"/>
          <w:sz w:val="28"/>
          <w:szCs w:val="28"/>
        </w:rPr>
        <w:t>8.18%</w:t>
      </w:r>
      <w:r w:rsidRPr="005A73DF">
        <w:rPr>
          <w:rFonts w:ascii="仿宋" w:eastAsia="仿宋" w:hAnsi="仿宋" w:hint="eastAsia"/>
          <w:sz w:val="28"/>
          <w:szCs w:val="28"/>
        </w:rPr>
        <w:t>，主要是因为公司2</w:t>
      </w:r>
      <w:r w:rsidRPr="005A73DF">
        <w:rPr>
          <w:rFonts w:ascii="仿宋" w:eastAsia="仿宋" w:hAnsi="仿宋"/>
          <w:sz w:val="28"/>
          <w:szCs w:val="28"/>
        </w:rPr>
        <w:t>017</w:t>
      </w:r>
      <w:r w:rsidRPr="005A73DF">
        <w:rPr>
          <w:rFonts w:ascii="仿宋" w:eastAsia="仿宋" w:hAnsi="仿宋" w:hint="eastAsia"/>
          <w:sz w:val="28"/>
          <w:szCs w:val="28"/>
        </w:rPr>
        <w:t>年上市后</w:t>
      </w:r>
      <w:r w:rsidR="00E63844">
        <w:rPr>
          <w:rFonts w:ascii="仿宋" w:eastAsia="仿宋" w:hAnsi="仿宋" w:hint="eastAsia"/>
          <w:sz w:val="28"/>
          <w:szCs w:val="28"/>
        </w:rPr>
        <w:t>权益资产大增</w:t>
      </w:r>
      <w:r w:rsidRPr="005A73DF">
        <w:rPr>
          <w:rFonts w:ascii="仿宋" w:eastAsia="仿宋" w:hAnsi="仿宋" w:hint="eastAsia"/>
          <w:sz w:val="28"/>
          <w:szCs w:val="28"/>
        </w:rPr>
        <w:t>所致</w:t>
      </w:r>
      <w:r w:rsidR="007317A4">
        <w:rPr>
          <w:rFonts w:ascii="仿宋" w:eastAsia="仿宋" w:hAnsi="仿宋" w:hint="eastAsia"/>
          <w:sz w:val="28"/>
          <w:szCs w:val="28"/>
        </w:rPr>
        <w:t>。</w:t>
      </w:r>
      <w:r w:rsidR="0066448B">
        <w:rPr>
          <w:rFonts w:ascii="仿宋" w:eastAsia="仿宋" w:hAnsi="仿宋" w:hint="eastAsia"/>
          <w:sz w:val="28"/>
          <w:szCs w:val="28"/>
        </w:rPr>
        <w:t>自</w:t>
      </w:r>
      <w:r w:rsidRPr="005A73DF">
        <w:rPr>
          <w:rFonts w:ascii="仿宋" w:eastAsia="仿宋" w:hAnsi="仿宋" w:hint="eastAsia"/>
          <w:sz w:val="28"/>
          <w:szCs w:val="28"/>
        </w:rPr>
        <w:t>2</w:t>
      </w:r>
      <w:r w:rsidRPr="005A73DF">
        <w:rPr>
          <w:rFonts w:ascii="仿宋" w:eastAsia="仿宋" w:hAnsi="仿宋"/>
          <w:sz w:val="28"/>
          <w:szCs w:val="28"/>
        </w:rPr>
        <w:t>017</w:t>
      </w:r>
      <w:r w:rsidRPr="005A73DF">
        <w:rPr>
          <w:rFonts w:ascii="仿宋" w:eastAsia="仿宋" w:hAnsi="仿宋" w:hint="eastAsia"/>
          <w:sz w:val="28"/>
          <w:szCs w:val="28"/>
        </w:rPr>
        <w:t>年上市后的低点2</w:t>
      </w:r>
      <w:r w:rsidRPr="005A73DF">
        <w:rPr>
          <w:rFonts w:ascii="仿宋" w:eastAsia="仿宋" w:hAnsi="仿宋"/>
          <w:sz w:val="28"/>
          <w:szCs w:val="28"/>
        </w:rPr>
        <w:t>1.40%</w:t>
      </w:r>
      <w:r w:rsidRPr="005A73DF">
        <w:rPr>
          <w:rFonts w:ascii="仿宋" w:eastAsia="仿宋" w:hAnsi="仿宋" w:hint="eastAsia"/>
          <w:sz w:val="28"/>
          <w:szCs w:val="28"/>
        </w:rPr>
        <w:t>逐年增长到2</w:t>
      </w:r>
      <w:r w:rsidRPr="005A73DF">
        <w:rPr>
          <w:rFonts w:ascii="仿宋" w:eastAsia="仿宋" w:hAnsi="仿宋"/>
          <w:sz w:val="28"/>
          <w:szCs w:val="28"/>
        </w:rPr>
        <w:t>8.18%</w:t>
      </w:r>
      <w:r w:rsidR="007317A4">
        <w:rPr>
          <w:rFonts w:ascii="仿宋" w:eastAsia="仿宋" w:hAnsi="仿宋" w:hint="eastAsia"/>
          <w:sz w:val="28"/>
          <w:szCs w:val="28"/>
        </w:rPr>
        <w:t>，通过拆解分析可知，增长主要是来源于销售净利润的提升。</w:t>
      </w:r>
      <w:r w:rsidR="003A4F6C">
        <w:rPr>
          <w:rFonts w:ascii="仿宋" w:eastAsia="仿宋" w:hAnsi="仿宋" w:hint="eastAsia"/>
          <w:sz w:val="28"/>
          <w:szCs w:val="28"/>
        </w:rPr>
        <w:t>但</w:t>
      </w:r>
      <w:r w:rsidR="003E1680">
        <w:rPr>
          <w:rFonts w:ascii="仿宋" w:eastAsia="仿宋" w:hAnsi="仿宋" w:hint="eastAsia"/>
          <w:sz w:val="28"/>
          <w:szCs w:val="28"/>
        </w:rPr>
        <w:t>通过前述分析可知，</w:t>
      </w:r>
      <w:r w:rsidR="003E1680" w:rsidRPr="001F56DB">
        <w:rPr>
          <w:rFonts w:ascii="仿宋" w:eastAsia="仿宋" w:hAnsi="仿宋" w:hint="eastAsia"/>
          <w:b/>
          <w:bCs/>
          <w:sz w:val="28"/>
          <w:szCs w:val="28"/>
        </w:rPr>
        <w:t>未来ROE的提升已经很难通过提高净利润率这一渠道，更可能通过提高运营能力加强资产周转和提高财务杠杆。</w:t>
      </w:r>
    </w:p>
    <w:p w14:paraId="770B2D68" w14:textId="0F5A5E6C" w:rsidR="0028592C" w:rsidRPr="0028592C" w:rsidRDefault="0028592C" w:rsidP="0028592C">
      <w:r>
        <w:rPr>
          <w:noProof/>
        </w:rPr>
        <w:drawing>
          <wp:inline distT="0" distB="0" distL="0" distR="0" wp14:anchorId="18E5214A" wp14:editId="7268F4AE">
            <wp:extent cx="5274310" cy="3082925"/>
            <wp:effectExtent l="0" t="0" r="2540" b="3175"/>
            <wp:docPr id="21" name="图表 21">
              <a:extLst xmlns:a="http://schemas.openxmlformats.org/drawingml/2006/main">
                <a:ext uri="{FF2B5EF4-FFF2-40B4-BE49-F238E27FC236}">
                  <a16:creationId xmlns:a16="http://schemas.microsoft.com/office/drawing/2014/main" id="{F458C7F1-A732-47DF-8A8B-1D2851ECA0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E219B22" w14:textId="4000FD56" w:rsidR="00A52258" w:rsidRDefault="0007513A">
      <w:pPr>
        <w:pStyle w:val="3"/>
        <w:numPr>
          <w:ilvl w:val="1"/>
          <w:numId w:val="2"/>
        </w:numPr>
        <w:rPr>
          <w:rFonts w:ascii="黑体" w:eastAsia="黑体" w:hAnsi="黑体"/>
          <w:b w:val="0"/>
          <w:bCs w:val="0"/>
        </w:rPr>
      </w:pPr>
      <w:r>
        <w:rPr>
          <w:rFonts w:ascii="黑体" w:eastAsia="黑体" w:hAnsi="黑体" w:hint="eastAsia"/>
          <w:b w:val="0"/>
          <w:bCs w:val="0"/>
        </w:rPr>
        <w:lastRenderedPageBreak/>
        <w:t>公司</w:t>
      </w:r>
      <w:r w:rsidR="00411231">
        <w:rPr>
          <w:rFonts w:ascii="黑体" w:eastAsia="黑体" w:hAnsi="黑体" w:hint="eastAsia"/>
          <w:b w:val="0"/>
          <w:bCs w:val="0"/>
        </w:rPr>
        <w:t>运营</w:t>
      </w:r>
      <w:r>
        <w:rPr>
          <w:rFonts w:ascii="黑体" w:eastAsia="黑体" w:hAnsi="黑体" w:hint="eastAsia"/>
          <w:b w:val="0"/>
          <w:bCs w:val="0"/>
        </w:rPr>
        <w:t>能力</w:t>
      </w:r>
      <w:r w:rsidR="004F12EC">
        <w:rPr>
          <w:rFonts w:ascii="黑体" w:eastAsia="黑体" w:hAnsi="黑体" w:hint="eastAsia"/>
          <w:b w:val="0"/>
          <w:bCs w:val="0"/>
        </w:rPr>
        <w:t>存在隐忧</w:t>
      </w:r>
    </w:p>
    <w:p w14:paraId="4C0022AC" w14:textId="27B9BA2F" w:rsidR="00FB0207" w:rsidRPr="00FB0207" w:rsidRDefault="00FB0207" w:rsidP="00FB0207">
      <w:pPr>
        <w:ind w:firstLineChars="200" w:firstLine="560"/>
        <w:rPr>
          <w:rFonts w:ascii="仿宋" w:eastAsia="仿宋" w:hAnsi="仿宋"/>
          <w:sz w:val="28"/>
          <w:szCs w:val="28"/>
        </w:rPr>
      </w:pPr>
      <w:r w:rsidRPr="00FB0207">
        <w:rPr>
          <w:rFonts w:ascii="仿宋" w:eastAsia="仿宋" w:hAnsi="仿宋"/>
          <w:sz w:val="28"/>
          <w:szCs w:val="28"/>
        </w:rPr>
        <w:t>近年公司存货周转天数上升，主要是由于收购经销商和眼科终端的库存商品所致</w:t>
      </w:r>
      <w:r w:rsidR="00906079">
        <w:rPr>
          <w:rFonts w:ascii="仿宋" w:eastAsia="仿宋" w:hAnsi="仿宋" w:hint="eastAsia"/>
          <w:sz w:val="28"/>
          <w:szCs w:val="28"/>
        </w:rPr>
        <w:t>，</w:t>
      </w:r>
      <w:r w:rsidR="0038526F">
        <w:rPr>
          <w:rFonts w:ascii="仿宋" w:eastAsia="仿宋" w:hAnsi="仿宋" w:hint="eastAsia"/>
          <w:sz w:val="28"/>
          <w:szCs w:val="28"/>
        </w:rPr>
        <w:t>当前</w:t>
      </w:r>
      <w:r w:rsidR="00906079">
        <w:rPr>
          <w:rFonts w:ascii="仿宋" w:eastAsia="仿宋" w:hAnsi="仿宋" w:hint="eastAsia"/>
          <w:sz w:val="28"/>
          <w:szCs w:val="28"/>
        </w:rPr>
        <w:t>已经出现高点向下拐的趋势</w:t>
      </w:r>
      <w:r w:rsidRPr="00FB0207">
        <w:rPr>
          <w:rFonts w:ascii="仿宋" w:eastAsia="仿宋" w:hAnsi="仿宋"/>
          <w:sz w:val="28"/>
          <w:szCs w:val="28"/>
        </w:rPr>
        <w:t>。公司应收账款周转天数为4</w:t>
      </w:r>
      <w:r>
        <w:rPr>
          <w:rFonts w:ascii="仿宋" w:eastAsia="仿宋" w:hAnsi="仿宋"/>
          <w:sz w:val="28"/>
          <w:szCs w:val="28"/>
        </w:rPr>
        <w:t>7</w:t>
      </w:r>
      <w:r w:rsidRPr="00FB0207">
        <w:rPr>
          <w:rFonts w:ascii="仿宋" w:eastAsia="仿宋" w:hAnsi="仿宋"/>
          <w:sz w:val="28"/>
          <w:szCs w:val="28"/>
        </w:rPr>
        <w:t>天,</w:t>
      </w:r>
      <w:r>
        <w:rPr>
          <w:rFonts w:ascii="仿宋" w:eastAsia="仿宋" w:hAnsi="仿宋" w:hint="eastAsia"/>
          <w:sz w:val="28"/>
          <w:szCs w:val="28"/>
        </w:rPr>
        <w:t>处于缓慢上升态势</w:t>
      </w:r>
      <w:r w:rsidRPr="00FB0207">
        <w:rPr>
          <w:rFonts w:ascii="仿宋" w:eastAsia="仿宋" w:hAnsi="仿宋"/>
          <w:sz w:val="28"/>
          <w:szCs w:val="28"/>
        </w:rPr>
        <w:t>，且公司的主要欠款对象为医院， 违约概率较低。对比同业，公司的存货周转天数和应收账款周转天数均处较低水平，营运能力较强</w:t>
      </w:r>
      <w:r w:rsidR="007245A2">
        <w:rPr>
          <w:rFonts w:ascii="仿宋" w:eastAsia="仿宋" w:hAnsi="仿宋" w:hint="eastAsia"/>
          <w:sz w:val="28"/>
          <w:szCs w:val="28"/>
        </w:rPr>
        <w:t>。</w:t>
      </w:r>
    </w:p>
    <w:p w14:paraId="4498A074" w14:textId="7E5FEA42" w:rsidR="00A356A8" w:rsidRDefault="00A356A8" w:rsidP="00A356A8">
      <w:pPr>
        <w:pStyle w:val="a3"/>
        <w:keepNext/>
        <w:jc w:val="left"/>
      </w:pPr>
      <w:r>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16</w:t>
      </w:r>
      <w:r>
        <w:fldChar w:fldCharType="end"/>
      </w:r>
      <w:r>
        <w:t xml:space="preserve"> </w:t>
      </w:r>
      <w:r>
        <w:rPr>
          <w:rFonts w:hint="eastAsia"/>
        </w:rPr>
        <w:t>存货周转天数与应收账款周转天数</w:t>
      </w:r>
    </w:p>
    <w:p w14:paraId="22315CEE" w14:textId="7D291A9F" w:rsidR="00D33CEC" w:rsidRDefault="00D33CEC" w:rsidP="00D33CEC">
      <w:pPr>
        <w:jc w:val="center"/>
      </w:pPr>
      <w:r>
        <w:rPr>
          <w:noProof/>
        </w:rPr>
        <w:drawing>
          <wp:inline distT="0" distB="0" distL="0" distR="0" wp14:anchorId="7134DD10" wp14:editId="14119FBC">
            <wp:extent cx="4571999" cy="2743200"/>
            <wp:effectExtent l="0" t="0" r="635" b="0"/>
            <wp:docPr id="26" name="图表 26">
              <a:extLst xmlns:a="http://schemas.openxmlformats.org/drawingml/2006/main">
                <a:ext uri="{FF2B5EF4-FFF2-40B4-BE49-F238E27FC236}">
                  <a16:creationId xmlns:a16="http://schemas.microsoft.com/office/drawing/2014/main" id="{F4268DA5-3989-467E-A00D-B39A9B617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CEF418B" w14:textId="14BF5884" w:rsidR="00F65478" w:rsidRDefault="00F65478" w:rsidP="00D33CEC">
      <w:pPr>
        <w:jc w:val="center"/>
      </w:pPr>
      <w:r w:rsidRPr="00F65478">
        <w:rPr>
          <w:noProof/>
        </w:rPr>
        <w:drawing>
          <wp:inline distT="0" distB="0" distL="0" distR="0" wp14:anchorId="19C32000" wp14:editId="216ACE9C">
            <wp:extent cx="5274310" cy="21736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73605"/>
                    </a:xfrm>
                    <a:prstGeom prst="rect">
                      <a:avLst/>
                    </a:prstGeom>
                  </pic:spPr>
                </pic:pic>
              </a:graphicData>
            </a:graphic>
          </wp:inline>
        </w:drawing>
      </w:r>
    </w:p>
    <w:p w14:paraId="0BB383C4" w14:textId="33167719" w:rsidR="004F12EC" w:rsidRPr="00DB48FE" w:rsidRDefault="004F12EC" w:rsidP="004F12EC">
      <w:pPr>
        <w:ind w:firstLineChars="200" w:firstLine="560"/>
        <w:rPr>
          <w:rFonts w:ascii="仿宋" w:eastAsia="仿宋" w:hAnsi="仿宋"/>
          <w:sz w:val="28"/>
          <w:szCs w:val="28"/>
        </w:rPr>
      </w:pPr>
      <w:r w:rsidRPr="004F12EC">
        <w:rPr>
          <w:rFonts w:ascii="仿宋" w:eastAsia="仿宋" w:hAnsi="仿宋" w:hint="eastAsia"/>
          <w:sz w:val="28"/>
          <w:szCs w:val="28"/>
        </w:rPr>
        <w:t>但是不容忽视的是公司应收账款占收</w:t>
      </w:r>
      <w:r w:rsidR="00012F3E">
        <w:rPr>
          <w:rFonts w:ascii="仿宋" w:eastAsia="仿宋" w:hAnsi="仿宋" w:hint="eastAsia"/>
          <w:sz w:val="28"/>
          <w:szCs w:val="28"/>
        </w:rPr>
        <w:t>入</w:t>
      </w:r>
      <w:r w:rsidRPr="004F12EC">
        <w:rPr>
          <w:rFonts w:ascii="仿宋" w:eastAsia="仿宋" w:hAnsi="仿宋" w:hint="eastAsia"/>
          <w:sz w:val="28"/>
          <w:szCs w:val="28"/>
        </w:rPr>
        <w:t>的比例在不断的增加之中，从2</w:t>
      </w:r>
      <w:r w:rsidRPr="004F12EC">
        <w:rPr>
          <w:rFonts w:ascii="仿宋" w:eastAsia="仿宋" w:hAnsi="仿宋"/>
          <w:sz w:val="28"/>
          <w:szCs w:val="28"/>
        </w:rPr>
        <w:t>015</w:t>
      </w:r>
      <w:r w:rsidRPr="004F12EC">
        <w:rPr>
          <w:rFonts w:ascii="仿宋" w:eastAsia="仿宋" w:hAnsi="仿宋" w:hint="eastAsia"/>
          <w:sz w:val="28"/>
          <w:szCs w:val="28"/>
        </w:rPr>
        <w:t>年的低点1</w:t>
      </w:r>
      <w:r w:rsidRPr="004F12EC">
        <w:rPr>
          <w:rFonts w:ascii="仿宋" w:eastAsia="仿宋" w:hAnsi="仿宋"/>
          <w:sz w:val="28"/>
          <w:szCs w:val="28"/>
        </w:rPr>
        <w:t>0.2%</w:t>
      </w:r>
      <w:r w:rsidRPr="004F12EC">
        <w:rPr>
          <w:rFonts w:ascii="仿宋" w:eastAsia="仿宋" w:hAnsi="仿宋" w:hint="eastAsia"/>
          <w:sz w:val="28"/>
          <w:szCs w:val="28"/>
        </w:rPr>
        <w:t>增长到2</w:t>
      </w:r>
      <w:r w:rsidRPr="004F12EC">
        <w:rPr>
          <w:rFonts w:ascii="仿宋" w:eastAsia="仿宋" w:hAnsi="仿宋"/>
          <w:sz w:val="28"/>
          <w:szCs w:val="28"/>
        </w:rPr>
        <w:t>020</w:t>
      </w:r>
      <w:r w:rsidRPr="004F12EC">
        <w:rPr>
          <w:rFonts w:ascii="仿宋" w:eastAsia="仿宋" w:hAnsi="仿宋" w:hint="eastAsia"/>
          <w:sz w:val="28"/>
          <w:szCs w:val="28"/>
        </w:rPr>
        <w:t>年1</w:t>
      </w:r>
      <w:r w:rsidRPr="004F12EC">
        <w:rPr>
          <w:rFonts w:ascii="仿宋" w:eastAsia="仿宋" w:hAnsi="仿宋"/>
          <w:sz w:val="28"/>
          <w:szCs w:val="28"/>
        </w:rPr>
        <w:t>6.5%</w:t>
      </w:r>
      <w:r w:rsidRPr="004F12EC">
        <w:rPr>
          <w:rFonts w:ascii="仿宋" w:eastAsia="仿宋" w:hAnsi="仿宋" w:hint="eastAsia"/>
          <w:sz w:val="28"/>
          <w:szCs w:val="28"/>
        </w:rPr>
        <w:t>，期间在2</w:t>
      </w:r>
      <w:r w:rsidRPr="004F12EC">
        <w:rPr>
          <w:rFonts w:ascii="仿宋" w:eastAsia="仿宋" w:hAnsi="仿宋"/>
          <w:sz w:val="28"/>
          <w:szCs w:val="28"/>
        </w:rPr>
        <w:t>019</w:t>
      </w:r>
      <w:r w:rsidRPr="004F12EC">
        <w:rPr>
          <w:rFonts w:ascii="仿宋" w:eastAsia="仿宋" w:hAnsi="仿宋" w:hint="eastAsia"/>
          <w:sz w:val="28"/>
          <w:szCs w:val="28"/>
        </w:rPr>
        <w:t>年曾短暂下降，</w:t>
      </w:r>
      <w:r w:rsidR="00D7571D">
        <w:rPr>
          <w:rFonts w:ascii="仿宋" w:eastAsia="仿宋" w:hAnsi="仿宋" w:hint="eastAsia"/>
          <w:sz w:val="28"/>
          <w:szCs w:val="28"/>
        </w:rPr>
        <w:t>估计是</w:t>
      </w:r>
      <w:r w:rsidRPr="004F12EC">
        <w:rPr>
          <w:rFonts w:ascii="仿宋" w:eastAsia="仿宋" w:hAnsi="仿宋" w:hint="eastAsia"/>
          <w:sz w:val="28"/>
          <w:szCs w:val="28"/>
        </w:rPr>
        <w:t>因为疫情原因放松了回款的要求。</w:t>
      </w:r>
      <w:r w:rsidRPr="00EB1438">
        <w:rPr>
          <w:rFonts w:ascii="仿宋" w:eastAsia="仿宋" w:hAnsi="仿宋" w:hint="eastAsia"/>
          <w:b/>
          <w:bCs/>
          <w:sz w:val="28"/>
          <w:szCs w:val="28"/>
        </w:rPr>
        <w:t>考虑到销售费率</w:t>
      </w:r>
      <w:r w:rsidRPr="00EB1438">
        <w:rPr>
          <w:rFonts w:ascii="仿宋" w:eastAsia="仿宋" w:hAnsi="仿宋" w:hint="eastAsia"/>
          <w:b/>
          <w:bCs/>
          <w:sz w:val="28"/>
          <w:szCs w:val="28"/>
        </w:rPr>
        <w:lastRenderedPageBreak/>
        <w:t>同期从1</w:t>
      </w:r>
      <w:r w:rsidRPr="00EB1438">
        <w:rPr>
          <w:rFonts w:ascii="仿宋" w:eastAsia="仿宋" w:hAnsi="仿宋"/>
          <w:b/>
          <w:bCs/>
          <w:sz w:val="28"/>
          <w:szCs w:val="28"/>
        </w:rPr>
        <w:t>3%</w:t>
      </w:r>
      <w:r w:rsidRPr="00EB1438">
        <w:rPr>
          <w:rFonts w:ascii="仿宋" w:eastAsia="仿宋" w:hAnsi="仿宋" w:hint="eastAsia"/>
          <w:b/>
          <w:bCs/>
          <w:sz w:val="28"/>
          <w:szCs w:val="28"/>
        </w:rPr>
        <w:t>增长到1</w:t>
      </w:r>
      <w:r w:rsidRPr="00EB1438">
        <w:rPr>
          <w:rFonts w:ascii="仿宋" w:eastAsia="仿宋" w:hAnsi="仿宋"/>
          <w:b/>
          <w:bCs/>
          <w:sz w:val="28"/>
          <w:szCs w:val="28"/>
        </w:rPr>
        <w:t>8%</w:t>
      </w:r>
      <w:r w:rsidRPr="00EB1438">
        <w:rPr>
          <w:rFonts w:ascii="仿宋" w:eastAsia="仿宋" w:hAnsi="仿宋" w:hint="eastAsia"/>
          <w:b/>
          <w:bCs/>
          <w:sz w:val="28"/>
          <w:szCs w:val="28"/>
        </w:rPr>
        <w:t>，叠加应收账款和存货周转天数上升。有理由要保持怀疑是否公司的产品在销售上遇见了困难</w:t>
      </w:r>
      <w:r w:rsidR="00DB48FE">
        <w:rPr>
          <w:rFonts w:ascii="仿宋" w:eastAsia="仿宋" w:hAnsi="仿宋" w:hint="eastAsia"/>
          <w:b/>
          <w:bCs/>
          <w:sz w:val="28"/>
          <w:szCs w:val="28"/>
        </w:rPr>
        <w:t>？</w:t>
      </w:r>
      <w:r w:rsidR="00A36774" w:rsidRPr="00DB48FE">
        <w:rPr>
          <w:rFonts w:ascii="仿宋" w:eastAsia="仿宋" w:hAnsi="仿宋" w:hint="eastAsia"/>
          <w:sz w:val="28"/>
          <w:szCs w:val="28"/>
        </w:rPr>
        <w:t xml:space="preserve"> </w:t>
      </w:r>
    </w:p>
    <w:p w14:paraId="77330811" w14:textId="71485C67" w:rsidR="0095654D" w:rsidRDefault="0095654D" w:rsidP="0095654D">
      <w:pPr>
        <w:jc w:val="center"/>
        <w:rPr>
          <w:rFonts w:ascii="仿宋" w:eastAsia="仿宋" w:hAnsi="仿宋"/>
          <w:sz w:val="28"/>
          <w:szCs w:val="28"/>
        </w:rPr>
      </w:pPr>
      <w:r>
        <w:rPr>
          <w:noProof/>
        </w:rPr>
        <w:drawing>
          <wp:inline distT="0" distB="0" distL="0" distR="0" wp14:anchorId="5DB9151B" wp14:editId="206B9449">
            <wp:extent cx="4571999" cy="2743201"/>
            <wp:effectExtent l="0" t="0" r="635" b="0"/>
            <wp:docPr id="28" name="图表 28">
              <a:extLst xmlns:a="http://schemas.openxmlformats.org/drawingml/2006/main">
                <a:ext uri="{FF2B5EF4-FFF2-40B4-BE49-F238E27FC236}">
                  <a16:creationId xmlns:a16="http://schemas.microsoft.com/office/drawing/2014/main" id="{10A8E883-3C81-49E8-83DA-465D9DD76B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00DDF72" w14:textId="6474F67A" w:rsidR="00A36774" w:rsidRPr="000F6FB1" w:rsidRDefault="00A36774" w:rsidP="00502C33">
      <w:pPr>
        <w:ind w:firstLineChars="200" w:firstLine="560"/>
        <w:rPr>
          <w:rFonts w:ascii="仿宋" w:eastAsia="仿宋" w:hAnsi="仿宋"/>
          <w:b/>
          <w:bCs/>
          <w:sz w:val="28"/>
          <w:szCs w:val="28"/>
        </w:rPr>
      </w:pPr>
      <w:r>
        <w:rPr>
          <w:rFonts w:ascii="仿宋" w:eastAsia="仿宋" w:hAnsi="仿宋" w:hint="eastAsia"/>
          <w:sz w:val="28"/>
          <w:szCs w:val="28"/>
        </w:rPr>
        <w:t>在ROE拆解分析阶段已经提出，公司未来ROE继续提升的关键之一就是加强运营能力，</w:t>
      </w:r>
      <w:r w:rsidRPr="000F6FB1">
        <w:rPr>
          <w:rFonts w:ascii="仿宋" w:eastAsia="仿宋" w:hAnsi="仿宋" w:hint="eastAsia"/>
          <w:b/>
          <w:bCs/>
          <w:sz w:val="28"/>
          <w:szCs w:val="28"/>
        </w:rPr>
        <w:t>但是无论从存货周转天数、应收账款周转天数和应收账款上，目前公司都面临着</w:t>
      </w:r>
      <w:r w:rsidR="006B090B" w:rsidRPr="000F6FB1">
        <w:rPr>
          <w:rFonts w:ascii="仿宋" w:eastAsia="仿宋" w:hAnsi="仿宋" w:hint="eastAsia"/>
          <w:b/>
          <w:bCs/>
          <w:sz w:val="28"/>
          <w:szCs w:val="28"/>
        </w:rPr>
        <w:t>持续提升的困难，在这方面需要持续关注。</w:t>
      </w:r>
    </w:p>
    <w:p w14:paraId="0A493129"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t>公司竞争优势及成长动力</w:t>
      </w:r>
    </w:p>
    <w:p w14:paraId="34EFA226" w14:textId="77777777" w:rsidR="00A52258" w:rsidRDefault="00A52258">
      <w:pPr>
        <w:pStyle w:val="ac"/>
        <w:keepNext/>
        <w:keepLines/>
        <w:numPr>
          <w:ilvl w:val="1"/>
          <w:numId w:val="5"/>
        </w:numPr>
        <w:spacing w:before="280" w:after="290" w:line="376" w:lineRule="auto"/>
        <w:ind w:firstLineChars="0"/>
        <w:outlineLvl w:val="3"/>
        <w:rPr>
          <w:rFonts w:ascii="黑体" w:eastAsia="黑体" w:hAnsi="黑体" w:cstheme="majorBidi"/>
          <w:vanish/>
          <w:sz w:val="28"/>
          <w:szCs w:val="28"/>
        </w:rPr>
      </w:pPr>
    </w:p>
    <w:p w14:paraId="682C64BE" w14:textId="77777777" w:rsidR="00A52258" w:rsidRDefault="00A52258">
      <w:pPr>
        <w:pStyle w:val="ac"/>
        <w:keepNext/>
        <w:keepLines/>
        <w:numPr>
          <w:ilvl w:val="1"/>
          <w:numId w:val="5"/>
        </w:numPr>
        <w:spacing w:before="280" w:after="290" w:line="376" w:lineRule="auto"/>
        <w:ind w:firstLineChars="0"/>
        <w:outlineLvl w:val="3"/>
        <w:rPr>
          <w:rFonts w:ascii="黑体" w:eastAsia="黑体" w:hAnsi="黑体" w:cstheme="majorBidi"/>
          <w:vanish/>
          <w:sz w:val="28"/>
          <w:szCs w:val="28"/>
        </w:rPr>
      </w:pPr>
    </w:p>
    <w:p w14:paraId="0A21BE2B" w14:textId="77777777" w:rsidR="00A52258" w:rsidRDefault="0007513A">
      <w:pPr>
        <w:pStyle w:val="4"/>
        <w:numPr>
          <w:ilvl w:val="2"/>
          <w:numId w:val="5"/>
        </w:numPr>
        <w:rPr>
          <w:rFonts w:ascii="黑体" w:eastAsia="黑体" w:hAnsi="黑体"/>
          <w:b w:val="0"/>
          <w:bCs w:val="0"/>
        </w:rPr>
      </w:pPr>
      <w:r>
        <w:rPr>
          <w:rFonts w:ascii="黑体" w:eastAsia="黑体" w:hAnsi="黑体" w:hint="eastAsia"/>
          <w:b w:val="0"/>
          <w:bCs w:val="0"/>
        </w:rPr>
        <w:t>地利优势</w:t>
      </w:r>
      <w:r>
        <w:rPr>
          <w:rFonts w:ascii="黑体" w:eastAsia="黑体" w:hAnsi="黑体"/>
          <w:b w:val="0"/>
          <w:bCs w:val="0"/>
        </w:rPr>
        <w:t>，疫情期间更加凸显</w:t>
      </w:r>
    </w:p>
    <w:p w14:paraId="4B8935BC" w14:textId="77777777" w:rsidR="00A52258" w:rsidRDefault="0007513A">
      <w:pPr>
        <w:ind w:firstLineChars="200" w:firstLine="562"/>
        <w:rPr>
          <w:rFonts w:ascii="仿宋" w:eastAsia="仿宋" w:hAnsi="仿宋"/>
          <w:sz w:val="28"/>
          <w:szCs w:val="28"/>
        </w:rPr>
      </w:pPr>
      <w:r>
        <w:rPr>
          <w:rFonts w:ascii="仿宋" w:eastAsia="仿宋" w:hAnsi="仿宋" w:hint="eastAsia"/>
          <w:b/>
          <w:bCs/>
          <w:sz w:val="28"/>
          <w:szCs w:val="28"/>
        </w:rPr>
        <w:t>对比进口厂商，国内厂商出货速度更快，售后服务更及时。</w:t>
      </w:r>
      <w:r>
        <w:rPr>
          <w:rFonts w:ascii="仿宋" w:eastAsia="仿宋" w:hAnsi="仿宋" w:hint="eastAsia"/>
          <w:sz w:val="28"/>
          <w:szCs w:val="28"/>
        </w:rPr>
        <w:t>角膜塑形镜是一种非标品，需要根据使用者的情况进行定制，国内厂商出货速度具备明显优势。同样的，在对经销商和验配点的技术培训、验配支持、售后服务上，国内厂商由于地理优势，在速度和效率上有着天然优势。特别在疫情期间，这一优势将会更大程度地体现，公司有望借此机会获得更大市场份额。</w:t>
      </w:r>
    </w:p>
    <w:p w14:paraId="69DF5D63" w14:textId="287C9955" w:rsidR="00A52258" w:rsidRDefault="0007513A">
      <w:pPr>
        <w:pStyle w:val="a3"/>
        <w:keepNext/>
      </w:pPr>
      <w:r>
        <w:lastRenderedPageBreak/>
        <w:t>图表</w:t>
      </w:r>
      <w:r>
        <w:t xml:space="preserve"> </w:t>
      </w:r>
      <w:r>
        <w:fldChar w:fldCharType="begin"/>
      </w:r>
      <w:r>
        <w:instrText xml:space="preserve"> SEQ </w:instrText>
      </w:r>
      <w:r>
        <w:instrText>图表</w:instrText>
      </w:r>
      <w:r>
        <w:instrText xml:space="preserve"> \* ARABIC </w:instrText>
      </w:r>
      <w:r>
        <w:fldChar w:fldCharType="separate"/>
      </w:r>
      <w:r w:rsidR="008E3CC9">
        <w:rPr>
          <w:noProof/>
        </w:rPr>
        <w:t>17</w:t>
      </w:r>
      <w:r>
        <w:fldChar w:fldCharType="end"/>
      </w:r>
      <w:r>
        <w:rPr>
          <w:rFonts w:hint="eastAsia"/>
        </w:rPr>
        <w:t>各品牌发货时效对比</w:t>
      </w:r>
    </w:p>
    <w:p w14:paraId="390E94FA" w14:textId="77777777" w:rsidR="00A52258" w:rsidRDefault="0007513A">
      <w:pPr>
        <w:keepNext/>
        <w:ind w:firstLineChars="200" w:firstLine="420"/>
      </w:pPr>
      <w:r>
        <w:rPr>
          <w:noProof/>
        </w:rPr>
        <w:drawing>
          <wp:inline distT="0" distB="0" distL="0" distR="0" wp14:anchorId="596AB1BC" wp14:editId="6D316A49">
            <wp:extent cx="5274310" cy="2330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274310" cy="2330450"/>
                    </a:xfrm>
                    <a:prstGeom prst="rect">
                      <a:avLst/>
                    </a:prstGeom>
                  </pic:spPr>
                </pic:pic>
              </a:graphicData>
            </a:graphic>
          </wp:inline>
        </w:drawing>
      </w:r>
    </w:p>
    <w:p w14:paraId="7F7617E1" w14:textId="77777777" w:rsidR="00A52258" w:rsidRDefault="0007513A">
      <w:pPr>
        <w:pStyle w:val="4"/>
        <w:numPr>
          <w:ilvl w:val="2"/>
          <w:numId w:val="5"/>
        </w:numPr>
        <w:rPr>
          <w:rFonts w:ascii="黑体" w:eastAsia="黑体" w:hAnsi="黑体"/>
          <w:b w:val="0"/>
          <w:bCs w:val="0"/>
        </w:rPr>
      </w:pPr>
      <w:r>
        <w:rPr>
          <w:rFonts w:ascii="黑体" w:eastAsia="黑体" w:hAnsi="黑体"/>
          <w:b w:val="0"/>
          <w:bCs w:val="0"/>
        </w:rPr>
        <w:t>先发优势：产品安全性高，培养大量技术人员</w:t>
      </w:r>
    </w:p>
    <w:p w14:paraId="707F0381" w14:textId="5FADAF41" w:rsidR="00A52258" w:rsidRDefault="0007513A">
      <w:pPr>
        <w:ind w:firstLineChars="200" w:firstLine="562"/>
        <w:rPr>
          <w:rFonts w:ascii="仿宋" w:eastAsia="仿宋" w:hAnsi="仿宋"/>
          <w:sz w:val="28"/>
          <w:szCs w:val="28"/>
        </w:rPr>
      </w:pPr>
      <w:r>
        <w:rPr>
          <w:rFonts w:ascii="仿宋" w:eastAsia="仿宋" w:hAnsi="仿宋"/>
          <w:b/>
          <w:bCs/>
          <w:sz w:val="28"/>
          <w:szCs w:val="28"/>
        </w:rPr>
        <w:t>基于多年经营，公司品牌知名度建立，积累大量产品临床使用经验和数据，产品安全性有保障，同时培养大量包含视光师在内的技术人员。</w:t>
      </w:r>
      <w:r>
        <w:rPr>
          <w:rFonts w:ascii="仿宋" w:eastAsia="仿宋" w:hAnsi="仿宋"/>
          <w:sz w:val="28"/>
          <w:szCs w:val="28"/>
        </w:rPr>
        <w:t>角膜接触镜产品均为个性化定制产品，产品参数需要根据不同屈光不正患者的视力矫正需求，针对其眼部视光特点进行规范验配才能确认，对技术研发和生产工艺要求很高。公司十多年来积累大量经验，产品未曾发生安全问题，安全性值得信赖。公司拥1242名技术人员，其中包括辅助视光终端验配镜片的视光师，售前售后服务优于同业。</w:t>
      </w:r>
    </w:p>
    <w:p w14:paraId="53B653F0" w14:textId="77777777" w:rsidR="00A52258" w:rsidRDefault="0007513A">
      <w:pPr>
        <w:pStyle w:val="4"/>
        <w:numPr>
          <w:ilvl w:val="2"/>
          <w:numId w:val="5"/>
        </w:numPr>
        <w:rPr>
          <w:rFonts w:ascii="黑体" w:eastAsia="黑体" w:hAnsi="黑体"/>
          <w:b w:val="0"/>
          <w:bCs w:val="0"/>
        </w:rPr>
      </w:pPr>
      <w:r>
        <w:rPr>
          <w:rFonts w:ascii="黑体" w:eastAsia="黑体" w:hAnsi="黑体"/>
          <w:b w:val="0"/>
          <w:bCs w:val="0"/>
        </w:rPr>
        <w:t>产品优势：覆盖面广，配套产品完整</w:t>
      </w:r>
    </w:p>
    <w:p w14:paraId="14BF0392" w14:textId="0AAA7FF7" w:rsidR="00A52258" w:rsidRDefault="0007513A">
      <w:pPr>
        <w:ind w:firstLineChars="200" w:firstLine="562"/>
        <w:rPr>
          <w:rFonts w:ascii="仿宋" w:eastAsia="仿宋" w:hAnsi="仿宋"/>
          <w:b/>
          <w:bCs/>
          <w:sz w:val="28"/>
          <w:szCs w:val="28"/>
        </w:rPr>
      </w:pPr>
      <w:r>
        <w:rPr>
          <w:rFonts w:ascii="仿宋" w:eastAsia="仿宋" w:hAnsi="仿宋"/>
          <w:b/>
          <w:bCs/>
          <w:sz w:val="28"/>
          <w:szCs w:val="28"/>
        </w:rPr>
        <w:t>产品各项参数对比来看，欧普康视产品覆盖面更广：</w:t>
      </w:r>
      <w:r>
        <w:rPr>
          <w:rFonts w:ascii="仿宋" w:eastAsia="仿宋" w:hAnsi="仿宋"/>
          <w:sz w:val="28"/>
          <w:szCs w:val="28"/>
        </w:rPr>
        <w:t>1</w:t>
      </w:r>
      <w:r>
        <w:rPr>
          <w:rFonts w:ascii="仿宋" w:eastAsia="仿宋" w:hAnsi="仿宋" w:hint="eastAsia"/>
          <w:sz w:val="28"/>
          <w:szCs w:val="28"/>
        </w:rPr>
        <w:t>、</w:t>
      </w:r>
      <w:r>
        <w:rPr>
          <w:rFonts w:ascii="仿宋" w:eastAsia="仿宋" w:hAnsi="仿宋"/>
          <w:sz w:val="28"/>
          <w:szCs w:val="28"/>
        </w:rPr>
        <w:t>矫正度数范围较广，允许近视降幅最高为600度，市场同类通常为500度及以下，对于 500-600 度的角膜塑形镜用户是唯一选择；2</w:t>
      </w:r>
      <w:r>
        <w:rPr>
          <w:rFonts w:ascii="仿宋" w:eastAsia="仿宋" w:hAnsi="仿宋" w:hint="eastAsia"/>
          <w:sz w:val="28"/>
          <w:szCs w:val="28"/>
        </w:rPr>
        <w:t>、</w:t>
      </w:r>
      <w:r>
        <w:rPr>
          <w:rFonts w:ascii="仿宋" w:eastAsia="仿宋" w:hAnsi="仿宋"/>
          <w:sz w:val="28"/>
          <w:szCs w:val="28"/>
        </w:rPr>
        <w:t>欧普康视镜片的各项允许参数区间较大，能够最大程度的实现参数设计的个性</w:t>
      </w:r>
      <w:r>
        <w:rPr>
          <w:rFonts w:ascii="仿宋" w:eastAsia="仿宋" w:hAnsi="仿宋"/>
          <w:sz w:val="28"/>
          <w:szCs w:val="28"/>
        </w:rPr>
        <w:lastRenderedPageBreak/>
        <w:t>化</w:t>
      </w:r>
      <w:r>
        <w:rPr>
          <w:rFonts w:ascii="仿宋" w:eastAsia="仿宋" w:hAnsi="仿宋"/>
          <w:b/>
          <w:bCs/>
          <w:sz w:val="28"/>
          <w:szCs w:val="28"/>
        </w:rPr>
        <w:t>。</w:t>
      </w:r>
    </w:p>
    <w:p w14:paraId="7EF8A24C" w14:textId="77777777" w:rsidR="00A52258" w:rsidRDefault="0007513A">
      <w:pPr>
        <w:pStyle w:val="4"/>
        <w:numPr>
          <w:ilvl w:val="2"/>
          <w:numId w:val="5"/>
        </w:numPr>
        <w:rPr>
          <w:rFonts w:ascii="黑体" w:eastAsia="黑体" w:hAnsi="黑体"/>
          <w:b w:val="0"/>
          <w:bCs w:val="0"/>
        </w:rPr>
      </w:pPr>
      <w:r>
        <w:rPr>
          <w:rFonts w:ascii="黑体" w:eastAsia="黑体" w:hAnsi="黑体"/>
          <w:b w:val="0"/>
          <w:bCs w:val="0"/>
        </w:rPr>
        <w:t>渠道优势：自有终端助力长期拓展</w:t>
      </w:r>
    </w:p>
    <w:p w14:paraId="23772889" w14:textId="77777777" w:rsidR="00A52258" w:rsidRDefault="0007513A">
      <w:pPr>
        <w:ind w:firstLineChars="200" w:firstLine="560"/>
        <w:rPr>
          <w:rFonts w:ascii="仿宋" w:eastAsia="仿宋" w:hAnsi="仿宋"/>
          <w:sz w:val="28"/>
          <w:szCs w:val="28"/>
        </w:rPr>
      </w:pPr>
      <w:r>
        <w:rPr>
          <w:rFonts w:ascii="仿宋" w:eastAsia="仿宋" w:hAnsi="仿宋"/>
          <w:sz w:val="28"/>
          <w:szCs w:val="28"/>
        </w:rPr>
        <w:t>无论是欧普康视，还是欧几里德等早期进入市场的进口品牌，均已覆盖大量终端验配点，而现有验配点大多覆盖多个品牌，鲜有独家销售。品牌在传统的渠道拓展方式上遭遇瓶颈，且随着新品牌的加入，行业竞争势必更加激烈，新的渠道拓展方式——发展自有渠道是行业逐渐发展成熟的必然趋势。</w:t>
      </w:r>
    </w:p>
    <w:p w14:paraId="2D5ACB0A" w14:textId="77777777" w:rsidR="00A52258" w:rsidRDefault="0007513A">
      <w:pPr>
        <w:rPr>
          <w:rFonts w:ascii="仿宋" w:eastAsia="仿宋" w:hAnsi="仿宋"/>
          <w:sz w:val="28"/>
          <w:szCs w:val="28"/>
        </w:rPr>
      </w:pPr>
      <w:r>
        <w:rPr>
          <w:rFonts w:ascii="仿宋" w:eastAsia="仿宋" w:hAnsi="仿宋"/>
          <w:noProof/>
          <w:sz w:val="28"/>
          <w:szCs w:val="28"/>
        </w:rPr>
        <w:drawing>
          <wp:inline distT="0" distB="0" distL="0" distR="0" wp14:anchorId="1BC76F6D" wp14:editId="4D0A7AA5">
            <wp:extent cx="5274310" cy="2835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5274310" cy="2835275"/>
                    </a:xfrm>
                    <a:prstGeom prst="rect">
                      <a:avLst/>
                    </a:prstGeom>
                  </pic:spPr>
                </pic:pic>
              </a:graphicData>
            </a:graphic>
          </wp:inline>
        </w:drawing>
      </w:r>
    </w:p>
    <w:p w14:paraId="0F2C0C1D" w14:textId="77777777" w:rsidR="00A52258" w:rsidRDefault="0007513A">
      <w:pPr>
        <w:ind w:firstLineChars="200" w:firstLine="560"/>
        <w:rPr>
          <w:rFonts w:ascii="仿宋" w:eastAsia="仿宋" w:hAnsi="仿宋"/>
          <w:sz w:val="28"/>
          <w:szCs w:val="28"/>
        </w:rPr>
      </w:pPr>
      <w:r>
        <w:rPr>
          <w:rFonts w:ascii="仿宋" w:eastAsia="仿宋" w:hAnsi="仿宋"/>
          <w:sz w:val="28"/>
          <w:szCs w:val="28"/>
        </w:rPr>
        <w:t>角膜塑形镜的验配模式决定了：在消费者就诊过程，眼科医师对是否使用角膜塑形镜和角膜塑形镜品牌的选择具有很大的决定权。对于现有终端，参控股经销商和终端可以增强公司对自身产品销售的掌控力。对于新建自有终端，可以在市场需求充足的情况下，扩大市场供给，探索更多的增量市场空间。</w:t>
      </w:r>
    </w:p>
    <w:p w14:paraId="27D960F8"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lastRenderedPageBreak/>
        <w:t>未来成长动力</w:t>
      </w:r>
    </w:p>
    <w:p w14:paraId="5969D8EB" w14:textId="77777777" w:rsidR="00A52258" w:rsidRDefault="0007513A">
      <w:pPr>
        <w:ind w:firstLineChars="200" w:firstLine="560"/>
        <w:rPr>
          <w:rFonts w:ascii="仿宋" w:eastAsia="仿宋" w:hAnsi="仿宋"/>
          <w:sz w:val="28"/>
          <w:szCs w:val="28"/>
        </w:rPr>
      </w:pPr>
      <w:r>
        <w:rPr>
          <w:rFonts w:ascii="仿宋" w:eastAsia="仿宋" w:hAnsi="仿宋"/>
          <w:sz w:val="28"/>
          <w:szCs w:val="28"/>
        </w:rPr>
        <w:t>欧普康视</w:t>
      </w:r>
      <w:r>
        <w:rPr>
          <w:rFonts w:ascii="仿宋" w:eastAsia="仿宋" w:hAnsi="仿宋" w:hint="eastAsia"/>
          <w:sz w:val="28"/>
          <w:szCs w:val="28"/>
        </w:rPr>
        <w:t>于2</w:t>
      </w:r>
      <w:r>
        <w:rPr>
          <w:rFonts w:ascii="仿宋" w:eastAsia="仿宋" w:hAnsi="仿宋"/>
          <w:sz w:val="28"/>
          <w:szCs w:val="28"/>
        </w:rPr>
        <w:t>021</w:t>
      </w:r>
      <w:r>
        <w:rPr>
          <w:rFonts w:ascii="仿宋" w:eastAsia="仿宋" w:hAnsi="仿宋" w:hint="eastAsia"/>
          <w:sz w:val="28"/>
          <w:szCs w:val="28"/>
        </w:rPr>
        <w:t>年5月发布了定增公告，宣布本次向特定对象发行募集资金总额不超过人民币</w:t>
      </w:r>
      <w:r>
        <w:rPr>
          <w:rFonts w:ascii="仿宋" w:eastAsia="仿宋" w:hAnsi="仿宋"/>
          <w:sz w:val="28"/>
          <w:szCs w:val="28"/>
        </w:rPr>
        <w:t xml:space="preserve"> 219,628.00 万元。</w:t>
      </w:r>
      <w:r>
        <w:rPr>
          <w:rFonts w:ascii="仿宋" w:eastAsia="仿宋" w:hAnsi="仿宋" w:hint="eastAsia"/>
          <w:sz w:val="28"/>
          <w:szCs w:val="28"/>
        </w:rPr>
        <w:t>其中：</w:t>
      </w:r>
      <w:r>
        <w:rPr>
          <w:rFonts w:ascii="仿宋" w:eastAsia="仿宋" w:hAnsi="仿宋"/>
          <w:sz w:val="28"/>
          <w:szCs w:val="28"/>
        </w:rPr>
        <w:t>4.17</w:t>
      </w:r>
      <w:r>
        <w:rPr>
          <w:rFonts w:ascii="仿宋" w:eastAsia="仿宋" w:hAnsi="仿宋" w:hint="eastAsia"/>
          <w:sz w:val="28"/>
          <w:szCs w:val="28"/>
        </w:rPr>
        <w:t>亿元用于扩张产能，1</w:t>
      </w:r>
      <w:r>
        <w:rPr>
          <w:rFonts w:ascii="仿宋" w:eastAsia="仿宋" w:hAnsi="仿宋"/>
          <w:sz w:val="28"/>
          <w:szCs w:val="28"/>
        </w:rPr>
        <w:t>7.8</w:t>
      </w:r>
      <w:r>
        <w:rPr>
          <w:rFonts w:ascii="仿宋" w:eastAsia="仿宋" w:hAnsi="仿宋" w:hint="eastAsia"/>
          <w:sz w:val="28"/>
          <w:szCs w:val="28"/>
        </w:rPr>
        <w:t>亿元用于自有渠道建设。未来，考虑到欧普康视的竞争优势，如果希望在行业快速增长中获益，与行业共同成长，大概有如下几个方面可以去努力：</w:t>
      </w:r>
    </w:p>
    <w:p w14:paraId="4CB38C82" w14:textId="40D45814" w:rsidR="00A52258" w:rsidRDefault="0007513A">
      <w:pPr>
        <w:pStyle w:val="ac"/>
        <w:numPr>
          <w:ilvl w:val="0"/>
          <w:numId w:val="4"/>
        </w:numPr>
        <w:ind w:firstLineChars="0"/>
        <w:rPr>
          <w:rFonts w:ascii="仿宋" w:eastAsia="仿宋" w:hAnsi="仿宋"/>
          <w:sz w:val="28"/>
          <w:szCs w:val="28"/>
        </w:rPr>
      </w:pPr>
      <w:r>
        <w:rPr>
          <w:rFonts w:ascii="仿宋" w:eastAsia="仿宋" w:hAnsi="仿宋" w:hint="eastAsia"/>
          <w:sz w:val="28"/>
          <w:szCs w:val="28"/>
        </w:rPr>
        <w:t>扩大产能，实现产能翻倍增长</w:t>
      </w:r>
      <w:r w:rsidR="001B3D7A">
        <w:rPr>
          <w:rFonts w:ascii="仿宋" w:eastAsia="仿宋" w:hAnsi="仿宋" w:hint="eastAsia"/>
          <w:sz w:val="28"/>
          <w:szCs w:val="28"/>
        </w:rPr>
        <w:t>，保持角膜塑形镜业务快速增长</w:t>
      </w:r>
      <w:r>
        <w:rPr>
          <w:rFonts w:ascii="仿宋" w:eastAsia="仿宋" w:hAnsi="仿宋" w:hint="eastAsia"/>
          <w:sz w:val="28"/>
          <w:szCs w:val="28"/>
        </w:rPr>
        <w:t>；</w:t>
      </w:r>
    </w:p>
    <w:p w14:paraId="1F22289A" w14:textId="72C00724" w:rsidR="00A52258" w:rsidRDefault="0007513A">
      <w:pPr>
        <w:pStyle w:val="ac"/>
        <w:numPr>
          <w:ilvl w:val="0"/>
          <w:numId w:val="4"/>
        </w:numPr>
        <w:ind w:firstLineChars="0"/>
        <w:rPr>
          <w:rFonts w:ascii="仿宋" w:eastAsia="仿宋" w:hAnsi="仿宋"/>
          <w:sz w:val="28"/>
          <w:szCs w:val="28"/>
        </w:rPr>
      </w:pPr>
      <w:r>
        <w:rPr>
          <w:rFonts w:ascii="仿宋" w:eastAsia="仿宋" w:hAnsi="仿宋" w:hint="eastAsia"/>
          <w:sz w:val="28"/>
          <w:szCs w:val="28"/>
        </w:rPr>
        <w:t>下沉渠道，目前公司华东区域占比6</w:t>
      </w:r>
      <w:r>
        <w:rPr>
          <w:rFonts w:ascii="仿宋" w:eastAsia="仿宋" w:hAnsi="仿宋"/>
          <w:sz w:val="28"/>
          <w:szCs w:val="28"/>
        </w:rPr>
        <w:t>4%</w:t>
      </w:r>
      <w:r>
        <w:rPr>
          <w:rFonts w:ascii="仿宋" w:eastAsia="仿宋" w:hAnsi="仿宋" w:hint="eastAsia"/>
          <w:sz w:val="28"/>
          <w:szCs w:val="28"/>
        </w:rPr>
        <w:t>，未来向华南和华中等富裕城市下沉，结合自有终端建设，实现</w:t>
      </w:r>
      <w:r w:rsidR="00FA0F8E">
        <w:rPr>
          <w:rFonts w:ascii="仿宋" w:eastAsia="仿宋" w:hAnsi="仿宋" w:hint="eastAsia"/>
          <w:sz w:val="28"/>
          <w:szCs w:val="28"/>
        </w:rPr>
        <w:t>产品销售和医疗服务收入</w:t>
      </w:r>
      <w:r>
        <w:rPr>
          <w:rFonts w:ascii="仿宋" w:eastAsia="仿宋" w:hAnsi="仿宋" w:hint="eastAsia"/>
          <w:sz w:val="28"/>
          <w:szCs w:val="28"/>
        </w:rPr>
        <w:t>增长；</w:t>
      </w:r>
    </w:p>
    <w:p w14:paraId="7C7C5975" w14:textId="768A8027" w:rsidR="00A52258" w:rsidRDefault="0007513A">
      <w:pPr>
        <w:pStyle w:val="ac"/>
        <w:numPr>
          <w:ilvl w:val="0"/>
          <w:numId w:val="4"/>
        </w:numPr>
        <w:ind w:firstLineChars="0"/>
        <w:rPr>
          <w:rFonts w:ascii="仿宋" w:eastAsia="仿宋" w:hAnsi="仿宋"/>
          <w:sz w:val="28"/>
          <w:szCs w:val="28"/>
        </w:rPr>
      </w:pPr>
      <w:r>
        <w:rPr>
          <w:rFonts w:ascii="仿宋" w:eastAsia="仿宋" w:hAnsi="仿宋" w:hint="eastAsia"/>
          <w:sz w:val="28"/>
          <w:szCs w:val="28"/>
        </w:rPr>
        <w:t>通过与医院合作，共同对消费者进行教育，扩大角膜接触镜市场，同时保持市场占有率稳定在3</w:t>
      </w:r>
      <w:r>
        <w:rPr>
          <w:rFonts w:ascii="仿宋" w:eastAsia="仿宋" w:hAnsi="仿宋"/>
          <w:sz w:val="28"/>
          <w:szCs w:val="28"/>
        </w:rPr>
        <w:t>0%</w:t>
      </w:r>
      <w:r w:rsidR="00FC1609">
        <w:rPr>
          <w:rFonts w:ascii="仿宋" w:eastAsia="仿宋" w:hAnsi="仿宋" w:hint="eastAsia"/>
          <w:sz w:val="28"/>
          <w:szCs w:val="28"/>
        </w:rPr>
        <w:t>，巩固龙头领先地位</w:t>
      </w:r>
      <w:r>
        <w:rPr>
          <w:rFonts w:ascii="仿宋" w:eastAsia="仿宋" w:hAnsi="仿宋" w:hint="eastAsia"/>
          <w:sz w:val="28"/>
          <w:szCs w:val="28"/>
        </w:rPr>
        <w:t>。</w:t>
      </w:r>
    </w:p>
    <w:p w14:paraId="4980E294" w14:textId="3859245C" w:rsidR="00A52258" w:rsidRDefault="0007513A">
      <w:pPr>
        <w:pStyle w:val="2"/>
        <w:numPr>
          <w:ilvl w:val="0"/>
          <w:numId w:val="1"/>
        </w:numPr>
        <w:rPr>
          <w:rFonts w:ascii="黑体" w:eastAsia="黑体" w:hAnsi="黑体"/>
          <w:b w:val="0"/>
          <w:bCs w:val="0"/>
        </w:rPr>
      </w:pPr>
      <w:r>
        <w:rPr>
          <w:rFonts w:ascii="黑体" w:eastAsia="黑体" w:hAnsi="黑体" w:hint="eastAsia"/>
          <w:b w:val="0"/>
          <w:bCs w:val="0"/>
        </w:rPr>
        <w:t>估值分析</w:t>
      </w:r>
    </w:p>
    <w:p w14:paraId="3F9EE3C4" w14:textId="77777777" w:rsidR="00943C76" w:rsidRPr="00943C76" w:rsidRDefault="00943C76" w:rsidP="00943C76">
      <w:pPr>
        <w:pStyle w:val="ac"/>
        <w:keepNext/>
        <w:keepLines/>
        <w:numPr>
          <w:ilvl w:val="0"/>
          <w:numId w:val="2"/>
        </w:numPr>
        <w:spacing w:before="260" w:after="260" w:line="416" w:lineRule="auto"/>
        <w:ind w:firstLineChars="0"/>
        <w:outlineLvl w:val="2"/>
        <w:rPr>
          <w:rFonts w:ascii="黑体" w:eastAsia="黑体" w:hAnsi="黑体"/>
          <w:vanish/>
          <w:sz w:val="32"/>
          <w:szCs w:val="32"/>
        </w:rPr>
      </w:pPr>
    </w:p>
    <w:p w14:paraId="4ED4B1F1" w14:textId="025CDD35" w:rsidR="00943C76" w:rsidRPr="00943C76" w:rsidRDefault="00943C76" w:rsidP="00943C76">
      <w:pPr>
        <w:pStyle w:val="3"/>
        <w:numPr>
          <w:ilvl w:val="1"/>
          <w:numId w:val="2"/>
        </w:numPr>
        <w:rPr>
          <w:rFonts w:ascii="黑体" w:eastAsia="黑体" w:hAnsi="黑体"/>
          <w:b w:val="0"/>
          <w:bCs w:val="0"/>
        </w:rPr>
      </w:pPr>
      <w:r w:rsidRPr="00943C76">
        <w:rPr>
          <w:rFonts w:ascii="黑体" w:eastAsia="黑体" w:hAnsi="黑体" w:hint="eastAsia"/>
          <w:b w:val="0"/>
          <w:bCs w:val="0"/>
        </w:rPr>
        <w:t>历史估值区间分析</w:t>
      </w:r>
    </w:p>
    <w:p w14:paraId="57BFE4B6" w14:textId="355E775B" w:rsidR="005A19DF" w:rsidRPr="005A19DF" w:rsidRDefault="005A19DF" w:rsidP="00D97295">
      <w:pPr>
        <w:ind w:firstLineChars="200" w:firstLine="560"/>
      </w:pPr>
      <w:r w:rsidRPr="00D97295">
        <w:rPr>
          <w:rFonts w:ascii="仿宋" w:eastAsia="仿宋" w:hAnsi="仿宋" w:hint="eastAsia"/>
          <w:sz w:val="28"/>
          <w:szCs w:val="28"/>
        </w:rPr>
        <w:t>自公司上市以来，历史最高PE</w:t>
      </w:r>
      <w:r w:rsidRPr="00D97295">
        <w:rPr>
          <w:rFonts w:ascii="仿宋" w:eastAsia="仿宋" w:hAnsi="仿宋"/>
          <w:sz w:val="28"/>
          <w:szCs w:val="28"/>
        </w:rPr>
        <w:t>-</w:t>
      </w:r>
      <w:r w:rsidRPr="00D97295">
        <w:rPr>
          <w:rFonts w:ascii="仿宋" w:eastAsia="仿宋" w:hAnsi="仿宋" w:hint="eastAsia"/>
          <w:sz w:val="28"/>
          <w:szCs w:val="28"/>
        </w:rPr>
        <w:t>TTM估值在2</w:t>
      </w:r>
      <w:r w:rsidRPr="00D97295">
        <w:rPr>
          <w:rFonts w:ascii="仿宋" w:eastAsia="仿宋" w:hAnsi="仿宋"/>
          <w:sz w:val="28"/>
          <w:szCs w:val="28"/>
        </w:rPr>
        <w:t>021</w:t>
      </w:r>
      <w:r w:rsidRPr="00D97295">
        <w:rPr>
          <w:rFonts w:ascii="仿宋" w:eastAsia="仿宋" w:hAnsi="仿宋" w:hint="eastAsia"/>
          <w:sz w:val="28"/>
          <w:szCs w:val="28"/>
        </w:rPr>
        <w:t>年2月达到2</w:t>
      </w:r>
      <w:r w:rsidRPr="00D97295">
        <w:rPr>
          <w:rFonts w:ascii="仿宋" w:eastAsia="仿宋" w:hAnsi="仿宋"/>
          <w:sz w:val="28"/>
          <w:szCs w:val="28"/>
        </w:rPr>
        <w:t>14</w:t>
      </w:r>
      <w:r w:rsidRPr="00D97295">
        <w:rPr>
          <w:rFonts w:ascii="仿宋" w:eastAsia="仿宋" w:hAnsi="仿宋" w:hint="eastAsia"/>
          <w:sz w:val="28"/>
          <w:szCs w:val="28"/>
        </w:rPr>
        <w:t>倍的高点，而历史低点处于2</w:t>
      </w:r>
      <w:r w:rsidRPr="00D97295">
        <w:rPr>
          <w:rFonts w:ascii="仿宋" w:eastAsia="仿宋" w:hAnsi="仿宋"/>
          <w:sz w:val="28"/>
          <w:szCs w:val="28"/>
        </w:rPr>
        <w:t>018</w:t>
      </w:r>
      <w:r w:rsidRPr="00D97295">
        <w:rPr>
          <w:rFonts w:ascii="仿宋" w:eastAsia="仿宋" w:hAnsi="仿宋" w:hint="eastAsia"/>
          <w:sz w:val="28"/>
          <w:szCs w:val="28"/>
        </w:rPr>
        <w:t>年9月3</w:t>
      </w:r>
      <w:r w:rsidRPr="00D97295">
        <w:rPr>
          <w:rFonts w:ascii="仿宋" w:eastAsia="仿宋" w:hAnsi="仿宋"/>
          <w:sz w:val="28"/>
          <w:szCs w:val="28"/>
        </w:rPr>
        <w:t>8.74</w:t>
      </w:r>
      <w:r w:rsidRPr="00D97295">
        <w:rPr>
          <w:rFonts w:ascii="仿宋" w:eastAsia="仿宋" w:hAnsi="仿宋" w:hint="eastAsia"/>
          <w:sz w:val="28"/>
          <w:szCs w:val="28"/>
        </w:rPr>
        <w:t>倍，短短2年半的时间内，估值上涨了4</w:t>
      </w:r>
      <w:r w:rsidRPr="00D97295">
        <w:rPr>
          <w:rFonts w:ascii="仿宋" w:eastAsia="仿宋" w:hAnsi="仿宋"/>
          <w:sz w:val="28"/>
          <w:szCs w:val="28"/>
        </w:rPr>
        <w:t>.52</w:t>
      </w:r>
      <w:r w:rsidRPr="00D97295">
        <w:rPr>
          <w:rFonts w:ascii="仿宋" w:eastAsia="仿宋" w:hAnsi="仿宋" w:hint="eastAsia"/>
          <w:sz w:val="28"/>
          <w:szCs w:val="28"/>
        </w:rPr>
        <w:t>倍。期间净利润上涨了1倍，股价从7</w:t>
      </w:r>
      <w:r w:rsidRPr="00D97295">
        <w:rPr>
          <w:rFonts w:ascii="仿宋" w:eastAsia="仿宋" w:hAnsi="仿宋"/>
          <w:sz w:val="28"/>
          <w:szCs w:val="28"/>
        </w:rPr>
        <w:t>.8</w:t>
      </w:r>
      <w:r w:rsidRPr="00D97295">
        <w:rPr>
          <w:rFonts w:ascii="仿宋" w:eastAsia="仿宋" w:hAnsi="仿宋" w:hint="eastAsia"/>
          <w:sz w:val="28"/>
          <w:szCs w:val="28"/>
        </w:rPr>
        <w:t>元上涨至1</w:t>
      </w:r>
      <w:r w:rsidRPr="00D97295">
        <w:rPr>
          <w:rFonts w:ascii="仿宋" w:eastAsia="仿宋" w:hAnsi="仿宋"/>
          <w:sz w:val="28"/>
          <w:szCs w:val="28"/>
        </w:rPr>
        <w:t>07</w:t>
      </w:r>
      <w:r w:rsidRPr="00D97295">
        <w:rPr>
          <w:rFonts w:ascii="仿宋" w:eastAsia="仿宋" w:hAnsi="仿宋" w:hint="eastAsia"/>
          <w:sz w:val="28"/>
          <w:szCs w:val="28"/>
        </w:rPr>
        <w:t>元约1</w:t>
      </w:r>
      <w:r w:rsidRPr="00D97295">
        <w:rPr>
          <w:rFonts w:ascii="仿宋" w:eastAsia="仿宋" w:hAnsi="仿宋"/>
          <w:sz w:val="28"/>
          <w:szCs w:val="28"/>
        </w:rPr>
        <w:t>2</w:t>
      </w:r>
      <w:r w:rsidRPr="00D97295">
        <w:rPr>
          <w:rFonts w:ascii="仿宋" w:eastAsia="仿宋" w:hAnsi="仿宋" w:hint="eastAsia"/>
          <w:sz w:val="28"/>
          <w:szCs w:val="28"/>
        </w:rPr>
        <w:t>倍。由此可见，股价上涨主要来源于估值的上涨因素，市场对其的评价过于乐观了（费雪的话），当前市盈率为1</w:t>
      </w:r>
      <w:r w:rsidRPr="00D97295">
        <w:rPr>
          <w:rFonts w:ascii="仿宋" w:eastAsia="仿宋" w:hAnsi="仿宋"/>
          <w:sz w:val="28"/>
          <w:szCs w:val="28"/>
        </w:rPr>
        <w:t>63.8</w:t>
      </w:r>
      <w:r w:rsidRPr="00D97295">
        <w:rPr>
          <w:rFonts w:ascii="仿宋" w:eastAsia="仿宋" w:hAnsi="仿宋" w:hint="eastAsia"/>
          <w:sz w:val="28"/>
          <w:szCs w:val="28"/>
        </w:rPr>
        <w:lastRenderedPageBreak/>
        <w:t>倍，处于近3年9</w:t>
      </w:r>
      <w:r w:rsidRPr="00D97295">
        <w:rPr>
          <w:rFonts w:ascii="仿宋" w:eastAsia="仿宋" w:hAnsi="仿宋"/>
          <w:sz w:val="28"/>
          <w:szCs w:val="28"/>
        </w:rPr>
        <w:t>6.4%</w:t>
      </w:r>
      <w:r w:rsidRPr="00D97295">
        <w:rPr>
          <w:rFonts w:ascii="仿宋" w:eastAsia="仿宋" w:hAnsi="仿宋" w:hint="eastAsia"/>
          <w:sz w:val="28"/>
          <w:szCs w:val="28"/>
        </w:rPr>
        <w:t>分位。</w:t>
      </w:r>
      <w:r w:rsidR="00D97295">
        <w:rPr>
          <w:rFonts w:ascii="仿宋" w:eastAsia="仿宋" w:hAnsi="仿宋" w:hint="eastAsia"/>
          <w:sz w:val="28"/>
          <w:szCs w:val="28"/>
        </w:rPr>
        <w:t>2</w:t>
      </w:r>
      <w:r w:rsidR="00D97295">
        <w:rPr>
          <w:rFonts w:ascii="仿宋" w:eastAsia="仿宋" w:hAnsi="仿宋"/>
          <w:sz w:val="28"/>
          <w:szCs w:val="28"/>
        </w:rPr>
        <w:t>020</w:t>
      </w:r>
      <w:r w:rsidR="00D97295">
        <w:rPr>
          <w:rFonts w:ascii="仿宋" w:eastAsia="仿宋" w:hAnsi="仿宋" w:hint="eastAsia"/>
          <w:sz w:val="28"/>
          <w:szCs w:val="28"/>
        </w:rPr>
        <w:t>年之前，其估值的中枢大约为6</w:t>
      </w:r>
      <w:r w:rsidR="00D97295">
        <w:rPr>
          <w:rFonts w:ascii="仿宋" w:eastAsia="仿宋" w:hAnsi="仿宋"/>
          <w:sz w:val="28"/>
          <w:szCs w:val="28"/>
        </w:rPr>
        <w:t>5</w:t>
      </w:r>
      <w:r w:rsidR="00D97295">
        <w:rPr>
          <w:rFonts w:ascii="仿宋" w:eastAsia="仿宋" w:hAnsi="仿宋" w:hint="eastAsia"/>
          <w:sz w:val="28"/>
          <w:szCs w:val="28"/>
        </w:rPr>
        <w:t>倍左右，但是2</w:t>
      </w:r>
      <w:r w:rsidR="00D97295">
        <w:rPr>
          <w:rFonts w:ascii="仿宋" w:eastAsia="仿宋" w:hAnsi="仿宋"/>
          <w:sz w:val="28"/>
          <w:szCs w:val="28"/>
        </w:rPr>
        <w:t>020</w:t>
      </w:r>
      <w:r w:rsidR="00D97295">
        <w:rPr>
          <w:rFonts w:ascii="仿宋" w:eastAsia="仿宋" w:hAnsi="仿宋" w:hint="eastAsia"/>
          <w:sz w:val="28"/>
          <w:szCs w:val="28"/>
        </w:rPr>
        <w:t>年之后估值未低于1</w:t>
      </w:r>
      <w:r w:rsidR="00D97295">
        <w:rPr>
          <w:rFonts w:ascii="仿宋" w:eastAsia="仿宋" w:hAnsi="仿宋"/>
          <w:sz w:val="28"/>
          <w:szCs w:val="28"/>
        </w:rPr>
        <w:t>00</w:t>
      </w:r>
      <w:r w:rsidR="00D97295">
        <w:rPr>
          <w:rFonts w:ascii="仿宋" w:eastAsia="仿宋" w:hAnsi="仿宋" w:hint="eastAsia"/>
          <w:sz w:val="28"/>
          <w:szCs w:val="28"/>
        </w:rPr>
        <w:t>倍，其估值底部被不断抬升。结合当前公司出台定向增发预案和高管连续减持，也可以证明其属于高估区域。</w:t>
      </w:r>
      <w:r w:rsidR="00534D6A">
        <w:rPr>
          <w:rFonts w:ascii="仿宋" w:eastAsia="仿宋" w:hAnsi="仿宋" w:hint="eastAsia"/>
          <w:sz w:val="28"/>
          <w:szCs w:val="28"/>
        </w:rPr>
        <w:t>对于这种增长性的成长股估值是一大难题，但是高估值下万一增速不及预期则是毁灭性的打击，</w:t>
      </w:r>
      <w:r w:rsidR="00534D6A" w:rsidRPr="000B5FB0">
        <w:rPr>
          <w:rFonts w:ascii="仿宋" w:eastAsia="仿宋" w:hAnsi="仿宋" w:hint="eastAsia"/>
          <w:b/>
          <w:bCs/>
          <w:sz w:val="28"/>
          <w:szCs w:val="28"/>
        </w:rPr>
        <w:t>个人觉得从稳妥起见，</w:t>
      </w:r>
      <w:r w:rsidR="002A0D04">
        <w:rPr>
          <w:rFonts w:ascii="仿宋" w:eastAsia="仿宋" w:hAnsi="仿宋" w:hint="eastAsia"/>
          <w:b/>
          <w:bCs/>
          <w:sz w:val="28"/>
          <w:szCs w:val="28"/>
        </w:rPr>
        <w:t>认为估值大于1</w:t>
      </w:r>
      <w:r w:rsidR="002A0D04">
        <w:rPr>
          <w:rFonts w:ascii="仿宋" w:eastAsia="仿宋" w:hAnsi="仿宋"/>
          <w:b/>
          <w:bCs/>
          <w:sz w:val="28"/>
          <w:szCs w:val="28"/>
        </w:rPr>
        <w:t>50</w:t>
      </w:r>
      <w:r w:rsidR="002A0D04">
        <w:rPr>
          <w:rFonts w:ascii="仿宋" w:eastAsia="仿宋" w:hAnsi="仿宋" w:hint="eastAsia"/>
          <w:b/>
          <w:bCs/>
          <w:sz w:val="28"/>
          <w:szCs w:val="28"/>
        </w:rPr>
        <w:t>倍为高估，</w:t>
      </w:r>
      <w:r w:rsidR="00534D6A" w:rsidRPr="000B5FB0">
        <w:rPr>
          <w:rFonts w:ascii="仿宋" w:eastAsia="仿宋" w:hAnsi="仿宋" w:hint="eastAsia"/>
          <w:b/>
          <w:bCs/>
          <w:sz w:val="28"/>
          <w:szCs w:val="28"/>
        </w:rPr>
        <w:t>估值下降到</w:t>
      </w:r>
      <w:r w:rsidR="000E713F" w:rsidRPr="000B5FB0">
        <w:rPr>
          <w:rFonts w:ascii="仿宋" w:eastAsia="仿宋" w:hAnsi="仿宋" w:hint="eastAsia"/>
          <w:b/>
          <w:bCs/>
          <w:sz w:val="28"/>
          <w:szCs w:val="28"/>
        </w:rPr>
        <w:t>前期中枢</w:t>
      </w:r>
      <w:r w:rsidR="00534D6A" w:rsidRPr="000B5FB0">
        <w:rPr>
          <w:rFonts w:ascii="仿宋" w:eastAsia="仿宋" w:hAnsi="仿宋"/>
          <w:b/>
          <w:bCs/>
          <w:sz w:val="28"/>
          <w:szCs w:val="28"/>
        </w:rPr>
        <w:t>65</w:t>
      </w:r>
      <w:r w:rsidR="00534D6A" w:rsidRPr="000B5FB0">
        <w:rPr>
          <w:rFonts w:ascii="仿宋" w:eastAsia="仿宋" w:hAnsi="仿宋" w:hint="eastAsia"/>
          <w:b/>
          <w:bCs/>
          <w:sz w:val="28"/>
          <w:szCs w:val="28"/>
        </w:rPr>
        <w:t>倍</w:t>
      </w:r>
      <w:r w:rsidR="002A0D04">
        <w:rPr>
          <w:rFonts w:ascii="仿宋" w:eastAsia="仿宋" w:hAnsi="仿宋" w:hint="eastAsia"/>
          <w:b/>
          <w:bCs/>
          <w:sz w:val="28"/>
          <w:szCs w:val="28"/>
        </w:rPr>
        <w:t>算低估</w:t>
      </w:r>
      <w:r w:rsidR="009D69B7" w:rsidRPr="000B5FB0">
        <w:rPr>
          <w:rFonts w:ascii="仿宋" w:eastAsia="仿宋" w:hAnsi="仿宋" w:hint="eastAsia"/>
          <w:b/>
          <w:bCs/>
          <w:sz w:val="28"/>
          <w:szCs w:val="28"/>
        </w:rPr>
        <w:t>有一定安全边际</w:t>
      </w:r>
      <w:r w:rsidR="00B32DA4" w:rsidRPr="000B5FB0">
        <w:rPr>
          <w:rFonts w:ascii="仿宋" w:eastAsia="仿宋" w:hAnsi="仿宋" w:hint="eastAsia"/>
          <w:b/>
          <w:bCs/>
          <w:sz w:val="28"/>
          <w:szCs w:val="28"/>
        </w:rPr>
        <w:t>（这点需要持续观察）</w:t>
      </w:r>
      <w:r w:rsidR="009D69B7">
        <w:rPr>
          <w:rFonts w:ascii="仿宋" w:eastAsia="仿宋" w:hAnsi="仿宋" w:hint="eastAsia"/>
          <w:sz w:val="28"/>
          <w:szCs w:val="28"/>
        </w:rPr>
        <w:t>。</w:t>
      </w:r>
    </w:p>
    <w:p w14:paraId="6BA0B73E" w14:textId="29688579" w:rsidR="005A19DF" w:rsidRDefault="005A19DF" w:rsidP="005A19DF">
      <w:r>
        <w:rPr>
          <w:noProof/>
        </w:rPr>
        <w:drawing>
          <wp:inline distT="0" distB="0" distL="0" distR="0" wp14:anchorId="0BB3714A" wp14:editId="2B2C9643">
            <wp:extent cx="5269230" cy="2154555"/>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2154555"/>
                    </a:xfrm>
                    <a:prstGeom prst="rect">
                      <a:avLst/>
                    </a:prstGeom>
                    <a:noFill/>
                    <a:ln>
                      <a:noFill/>
                    </a:ln>
                  </pic:spPr>
                </pic:pic>
              </a:graphicData>
            </a:graphic>
          </wp:inline>
        </w:drawing>
      </w:r>
    </w:p>
    <w:p w14:paraId="29D52D41" w14:textId="23C74077" w:rsidR="00E16529" w:rsidRDefault="00E16529" w:rsidP="00E16529">
      <w:pPr>
        <w:pStyle w:val="3"/>
        <w:numPr>
          <w:ilvl w:val="1"/>
          <w:numId w:val="2"/>
        </w:numPr>
        <w:rPr>
          <w:rFonts w:ascii="黑体" w:eastAsia="黑体" w:hAnsi="黑体"/>
          <w:b w:val="0"/>
          <w:bCs w:val="0"/>
        </w:rPr>
      </w:pPr>
      <w:r w:rsidRPr="00E16529">
        <w:rPr>
          <w:rFonts w:ascii="黑体" w:eastAsia="黑体" w:hAnsi="黑体" w:hint="eastAsia"/>
          <w:b w:val="0"/>
          <w:bCs w:val="0"/>
        </w:rPr>
        <w:t>未来三年应收及估值结论</w:t>
      </w:r>
    </w:p>
    <w:p w14:paraId="2E00C99B" w14:textId="78A6D901" w:rsidR="00E16529" w:rsidRPr="002A0D04" w:rsidRDefault="002A0D04" w:rsidP="002A0D04">
      <w:pPr>
        <w:ind w:firstLineChars="200" w:firstLine="560"/>
        <w:rPr>
          <w:rFonts w:ascii="仿宋" w:eastAsia="仿宋" w:hAnsi="仿宋"/>
          <w:sz w:val="28"/>
          <w:szCs w:val="28"/>
        </w:rPr>
      </w:pPr>
      <w:r>
        <w:rPr>
          <w:rFonts w:ascii="仿宋" w:eastAsia="仿宋" w:hAnsi="仿宋" w:hint="eastAsia"/>
          <w:sz w:val="28"/>
          <w:szCs w:val="28"/>
        </w:rPr>
        <w:t>按照</w:t>
      </w:r>
      <w:r w:rsidR="0082307A">
        <w:rPr>
          <w:rFonts w:ascii="仿宋" w:eastAsia="仿宋" w:hAnsi="仿宋" w:hint="eastAsia"/>
          <w:sz w:val="28"/>
          <w:szCs w:val="28"/>
        </w:rPr>
        <w:t>兴业证券</w:t>
      </w:r>
      <w:r w:rsidRPr="002A0D04">
        <w:rPr>
          <w:rFonts w:ascii="仿宋" w:eastAsia="仿宋" w:hAnsi="仿宋" w:hint="eastAsia"/>
          <w:sz w:val="28"/>
          <w:szCs w:val="28"/>
        </w:rPr>
        <w:t>预计公司</w:t>
      </w:r>
      <w:r>
        <w:rPr>
          <w:rFonts w:ascii="仿宋" w:eastAsia="仿宋" w:hAnsi="仿宋" w:hint="eastAsia"/>
          <w:sz w:val="28"/>
          <w:szCs w:val="28"/>
        </w:rPr>
        <w:t>年均增长约3</w:t>
      </w:r>
      <w:r>
        <w:rPr>
          <w:rFonts w:ascii="仿宋" w:eastAsia="仿宋" w:hAnsi="仿宋"/>
          <w:sz w:val="28"/>
          <w:szCs w:val="28"/>
        </w:rPr>
        <w:t>0%</w:t>
      </w:r>
      <w:r w:rsidRPr="002A0D04">
        <w:rPr>
          <w:rFonts w:ascii="仿宋" w:eastAsia="仿宋" w:hAnsi="仿宋"/>
          <w:sz w:val="28"/>
          <w:szCs w:val="28"/>
        </w:rPr>
        <w:t xml:space="preserve"> </w:t>
      </w:r>
      <w:r>
        <w:rPr>
          <w:rFonts w:ascii="仿宋" w:eastAsia="仿宋" w:hAnsi="仿宋" w:hint="eastAsia"/>
          <w:sz w:val="28"/>
          <w:szCs w:val="28"/>
        </w:rPr>
        <w:t>，</w:t>
      </w:r>
      <w:r w:rsidRPr="002A0D04">
        <w:rPr>
          <w:rFonts w:ascii="仿宋" w:eastAsia="仿宋" w:hAnsi="仿宋"/>
          <w:sz w:val="28"/>
          <w:szCs w:val="28"/>
        </w:rPr>
        <w:t>2021-2023 年EPS 分别为 0.99、1.37、1.85 元</w:t>
      </w:r>
      <w:r>
        <w:rPr>
          <w:rFonts w:ascii="仿宋" w:eastAsia="仿宋" w:hAnsi="仿宋" w:hint="eastAsia"/>
          <w:sz w:val="28"/>
          <w:szCs w:val="28"/>
        </w:rPr>
        <w:t>。根据6</w:t>
      </w:r>
      <w:r>
        <w:rPr>
          <w:rFonts w:ascii="仿宋" w:eastAsia="仿宋" w:hAnsi="仿宋"/>
          <w:sz w:val="28"/>
          <w:szCs w:val="28"/>
        </w:rPr>
        <w:t>5</w:t>
      </w:r>
      <w:r>
        <w:rPr>
          <w:rFonts w:ascii="仿宋" w:eastAsia="仿宋" w:hAnsi="仿宋" w:hint="eastAsia"/>
          <w:sz w:val="28"/>
          <w:szCs w:val="28"/>
        </w:rPr>
        <w:t>倍以下低估、1</w:t>
      </w:r>
      <w:r>
        <w:rPr>
          <w:rFonts w:ascii="仿宋" w:eastAsia="仿宋" w:hAnsi="仿宋"/>
          <w:sz w:val="28"/>
          <w:szCs w:val="28"/>
        </w:rPr>
        <w:t>50</w:t>
      </w:r>
      <w:r>
        <w:rPr>
          <w:rFonts w:ascii="仿宋" w:eastAsia="仿宋" w:hAnsi="仿宋" w:hint="eastAsia"/>
          <w:sz w:val="28"/>
          <w:szCs w:val="28"/>
        </w:rPr>
        <w:t>倍以上高估，对应价格约为6</w:t>
      </w:r>
      <w:r>
        <w:rPr>
          <w:rFonts w:ascii="仿宋" w:eastAsia="仿宋" w:hAnsi="仿宋"/>
          <w:sz w:val="28"/>
          <w:szCs w:val="28"/>
        </w:rPr>
        <w:t>5</w:t>
      </w:r>
      <w:r>
        <w:rPr>
          <w:rFonts w:ascii="仿宋" w:eastAsia="仿宋" w:hAnsi="仿宋" w:hint="eastAsia"/>
          <w:sz w:val="28"/>
          <w:szCs w:val="28"/>
        </w:rPr>
        <w:t>元和1</w:t>
      </w:r>
      <w:r>
        <w:rPr>
          <w:rFonts w:ascii="仿宋" w:eastAsia="仿宋" w:hAnsi="仿宋"/>
          <w:sz w:val="28"/>
          <w:szCs w:val="28"/>
        </w:rPr>
        <w:t>50</w:t>
      </w:r>
      <w:r>
        <w:rPr>
          <w:rFonts w:ascii="仿宋" w:eastAsia="仿宋" w:hAnsi="仿宋" w:hint="eastAsia"/>
          <w:sz w:val="28"/>
          <w:szCs w:val="28"/>
        </w:rPr>
        <w:t>元，当前股价为1</w:t>
      </w:r>
      <w:r>
        <w:rPr>
          <w:rFonts w:ascii="仿宋" w:eastAsia="仿宋" w:hAnsi="仿宋"/>
          <w:sz w:val="28"/>
          <w:szCs w:val="28"/>
        </w:rPr>
        <w:t>03</w:t>
      </w:r>
      <w:r>
        <w:rPr>
          <w:rFonts w:ascii="仿宋" w:eastAsia="仿宋" w:hAnsi="仿宋" w:hint="eastAsia"/>
          <w:sz w:val="28"/>
          <w:szCs w:val="28"/>
        </w:rPr>
        <w:t>元处于相对较高的位置，今年3月份公司股价曾经跌</w:t>
      </w:r>
      <w:r w:rsidR="003F0ED2">
        <w:rPr>
          <w:rFonts w:ascii="仿宋" w:eastAsia="仿宋" w:hAnsi="仿宋" w:hint="eastAsia"/>
          <w:sz w:val="28"/>
          <w:szCs w:val="28"/>
        </w:rPr>
        <w:t>到</w:t>
      </w:r>
      <w:r>
        <w:rPr>
          <w:rFonts w:ascii="仿宋" w:eastAsia="仿宋" w:hAnsi="仿宋" w:hint="eastAsia"/>
          <w:sz w:val="28"/>
          <w:szCs w:val="28"/>
        </w:rPr>
        <w:t>5</w:t>
      </w:r>
      <w:r>
        <w:rPr>
          <w:rFonts w:ascii="仿宋" w:eastAsia="仿宋" w:hAnsi="仿宋"/>
          <w:sz w:val="28"/>
          <w:szCs w:val="28"/>
        </w:rPr>
        <w:t>0</w:t>
      </w:r>
      <w:r>
        <w:rPr>
          <w:rFonts w:ascii="仿宋" w:eastAsia="仿宋" w:hAnsi="仿宋" w:hint="eastAsia"/>
          <w:sz w:val="28"/>
          <w:szCs w:val="28"/>
        </w:rPr>
        <w:t>块钱，对应2</w:t>
      </w:r>
      <w:r>
        <w:rPr>
          <w:rFonts w:ascii="仿宋" w:eastAsia="仿宋" w:hAnsi="仿宋"/>
          <w:sz w:val="28"/>
          <w:szCs w:val="28"/>
        </w:rPr>
        <w:t>1</w:t>
      </w:r>
      <w:r>
        <w:rPr>
          <w:rFonts w:ascii="仿宋" w:eastAsia="仿宋" w:hAnsi="仿宋" w:hint="eastAsia"/>
          <w:sz w:val="28"/>
          <w:szCs w:val="28"/>
        </w:rPr>
        <w:t>年约为5</w:t>
      </w:r>
      <w:r>
        <w:rPr>
          <w:rFonts w:ascii="仿宋" w:eastAsia="仿宋" w:hAnsi="仿宋"/>
          <w:sz w:val="28"/>
          <w:szCs w:val="28"/>
        </w:rPr>
        <w:t>0</w:t>
      </w:r>
      <w:r>
        <w:rPr>
          <w:rFonts w:ascii="仿宋" w:eastAsia="仿宋" w:hAnsi="仿宋" w:hint="eastAsia"/>
          <w:sz w:val="28"/>
          <w:szCs w:val="28"/>
        </w:rPr>
        <w:t>倍估值，随后即反弹至翻倍。</w:t>
      </w:r>
      <w:r w:rsidR="002F67F3">
        <w:rPr>
          <w:rFonts w:ascii="仿宋" w:eastAsia="仿宋" w:hAnsi="仿宋" w:hint="eastAsia"/>
          <w:sz w:val="28"/>
          <w:szCs w:val="28"/>
        </w:rPr>
        <w:t>所以按照6</w:t>
      </w:r>
      <w:r w:rsidR="002F67F3">
        <w:rPr>
          <w:rFonts w:ascii="仿宋" w:eastAsia="仿宋" w:hAnsi="仿宋"/>
          <w:sz w:val="28"/>
          <w:szCs w:val="28"/>
        </w:rPr>
        <w:t>5</w:t>
      </w:r>
      <w:r w:rsidR="002F67F3">
        <w:rPr>
          <w:rFonts w:ascii="仿宋" w:eastAsia="仿宋" w:hAnsi="仿宋" w:hint="eastAsia"/>
          <w:sz w:val="28"/>
          <w:szCs w:val="28"/>
        </w:rPr>
        <w:t>元以下的价格应该具备一定安全边际，但是仓位也不宜过高占1</w:t>
      </w:r>
      <w:r w:rsidR="002F67F3">
        <w:rPr>
          <w:rFonts w:ascii="仿宋" w:eastAsia="仿宋" w:hAnsi="仿宋"/>
          <w:sz w:val="28"/>
          <w:szCs w:val="28"/>
        </w:rPr>
        <w:t>0%</w:t>
      </w:r>
      <w:r w:rsidR="002F67F3">
        <w:rPr>
          <w:rFonts w:ascii="仿宋" w:eastAsia="仿宋" w:hAnsi="仿宋" w:hint="eastAsia"/>
          <w:sz w:val="28"/>
          <w:szCs w:val="28"/>
        </w:rPr>
        <w:t>。</w:t>
      </w:r>
    </w:p>
    <w:p w14:paraId="70811204" w14:textId="77777777" w:rsidR="00A52258" w:rsidRDefault="0007513A">
      <w:pPr>
        <w:pStyle w:val="2"/>
        <w:numPr>
          <w:ilvl w:val="0"/>
          <w:numId w:val="1"/>
        </w:numPr>
        <w:rPr>
          <w:rFonts w:ascii="黑体" w:eastAsia="黑体" w:hAnsi="黑体"/>
          <w:b w:val="0"/>
          <w:bCs w:val="0"/>
        </w:rPr>
      </w:pPr>
      <w:r>
        <w:rPr>
          <w:rFonts w:ascii="黑体" w:eastAsia="黑体" w:hAnsi="黑体" w:hint="eastAsia"/>
          <w:b w:val="0"/>
          <w:bCs w:val="0"/>
        </w:rPr>
        <w:lastRenderedPageBreak/>
        <w:t>存在的主要风险和措施</w:t>
      </w:r>
    </w:p>
    <w:p w14:paraId="4796E4FC" w14:textId="77777777" w:rsidR="004862C2" w:rsidRPr="004862C2" w:rsidRDefault="004862C2" w:rsidP="004862C2">
      <w:pPr>
        <w:pStyle w:val="ac"/>
        <w:keepNext/>
        <w:keepLines/>
        <w:numPr>
          <w:ilvl w:val="0"/>
          <w:numId w:val="2"/>
        </w:numPr>
        <w:spacing w:before="260" w:after="260" w:line="416" w:lineRule="auto"/>
        <w:ind w:firstLineChars="0"/>
        <w:outlineLvl w:val="2"/>
        <w:rPr>
          <w:rFonts w:ascii="黑体" w:eastAsia="黑体" w:hAnsi="黑体" w:hint="eastAsia"/>
          <w:vanish/>
          <w:sz w:val="32"/>
          <w:szCs w:val="32"/>
        </w:rPr>
      </w:pPr>
    </w:p>
    <w:p w14:paraId="33B99132" w14:textId="42E7899B" w:rsidR="00A52258" w:rsidRDefault="0007513A" w:rsidP="004862C2">
      <w:pPr>
        <w:pStyle w:val="3"/>
        <w:numPr>
          <w:ilvl w:val="1"/>
          <w:numId w:val="2"/>
        </w:numPr>
        <w:rPr>
          <w:rFonts w:ascii="黑体" w:eastAsia="黑体" w:hAnsi="黑体"/>
          <w:b w:val="0"/>
          <w:bCs w:val="0"/>
        </w:rPr>
      </w:pPr>
      <w:r>
        <w:rPr>
          <w:rFonts w:ascii="黑体" w:eastAsia="黑体" w:hAnsi="黑体" w:hint="eastAsia"/>
          <w:b w:val="0"/>
          <w:bCs w:val="0"/>
        </w:rPr>
        <w:t>医疗事故风险</w:t>
      </w:r>
    </w:p>
    <w:p w14:paraId="7103F245" w14:textId="2D262C29" w:rsidR="00A52258" w:rsidRDefault="0007513A">
      <w:pPr>
        <w:ind w:firstLineChars="200" w:firstLine="560"/>
        <w:rPr>
          <w:rFonts w:ascii="仿宋" w:eastAsia="仿宋" w:hAnsi="仿宋"/>
          <w:sz w:val="28"/>
          <w:szCs w:val="28"/>
        </w:rPr>
      </w:pPr>
      <w:r>
        <w:rPr>
          <w:rFonts w:ascii="仿宋" w:eastAsia="仿宋" w:hAnsi="仿宋" w:hint="eastAsia"/>
          <w:sz w:val="28"/>
          <w:szCs w:val="28"/>
        </w:rPr>
        <w:t>早在1998年前</w:t>
      </w:r>
      <w:r w:rsidR="00216DA2">
        <w:rPr>
          <w:rFonts w:ascii="仿宋" w:eastAsia="仿宋" w:hAnsi="仿宋" w:hint="eastAsia"/>
          <w:sz w:val="28"/>
          <w:szCs w:val="28"/>
        </w:rPr>
        <w:t>角膜塑形镜就以</w:t>
      </w:r>
      <w:r>
        <w:rPr>
          <w:rFonts w:ascii="仿宋" w:eastAsia="仿宋" w:hAnsi="仿宋" w:hint="eastAsia"/>
          <w:sz w:val="28"/>
          <w:szCs w:val="28"/>
        </w:rPr>
        <w:t>“OK镜”</w:t>
      </w:r>
      <w:r w:rsidR="00216DA2">
        <w:rPr>
          <w:rFonts w:ascii="仿宋" w:eastAsia="仿宋" w:hAnsi="仿宋" w:hint="eastAsia"/>
          <w:sz w:val="28"/>
          <w:szCs w:val="28"/>
        </w:rPr>
        <w:t>名义</w:t>
      </w:r>
      <w:r>
        <w:rPr>
          <w:rFonts w:ascii="仿宋" w:eastAsia="仿宋" w:hAnsi="仿宋" w:hint="eastAsia"/>
          <w:sz w:val="28"/>
          <w:szCs w:val="28"/>
        </w:rPr>
        <w:t>进入国内，但是当时国内没有严格的审批和管理规定，不良事件接连发生。2001年国内13例“OK镜”佩戴者出现严重的角膜感染，并导致严重的视力低下的悲剧让OK镜淡出了中国市场。2017年3·15曝光的OK镜致学生视力受损，从此，政府将OK镜作为三类医疗器械进行严格监管。由于三类医疗器械产品注册、临床应用审查标准十分严格，原本鱼龙混杂的OK镜一时间从消费者视野中消失。欧普康视同样经历了牌照的“卡脖子”危机，但其在2005年获得了CFDA的角膜塑形镜试产批准，2008年获得正式获批。其实可以看出，正是因为前期OK镜的乱象，导致政府加强了许可证的管理，所以才让公司在一个有利的窗口抓住了机遇，对于龙头公司来说行业危机其实是其最好的发展机会。</w:t>
      </w:r>
    </w:p>
    <w:p w14:paraId="3F7234DE"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按照公司高管的解释，公司已经积累了100万用户的使用经验，只要按照说明书进行操作，那么基本不存在使用安全隐患，但是角膜炎之类的即便不带眼镜也会存在。通过国家部委将角膜塑性镜加入到近视防止方案中可以相信这种产品的安全性是得到了有效的验证，发生系统性的医疗事故的机会并不大，但是不排除有个别零星的案例发生。总体而言，医疗事故的风险是可控的，如果因为个别事件导致新闻舆论的发酵，反而是买入的好时机。</w:t>
      </w:r>
    </w:p>
    <w:p w14:paraId="1B630B2F"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lastRenderedPageBreak/>
        <w:t>原材料供应集中风险</w:t>
      </w:r>
    </w:p>
    <w:p w14:paraId="41B0B815"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根据公司的招股书和年报，公司的主要原材料的供应商为博士伦，原材料只有博士伦一家供货商可提供。按照交流信息披露，“</w:t>
      </w:r>
      <w:r w:rsidRPr="00E759BA">
        <w:rPr>
          <w:rFonts w:ascii="仿宋" w:eastAsia="仿宋" w:hAnsi="仿宋" w:cs="方正楷体_GBK" w:hint="eastAsia"/>
          <w:sz w:val="28"/>
          <w:szCs w:val="28"/>
        </w:rPr>
        <w:t>现在不是只有博士伦一家，已经有三家供货商可选。公司对原材料进行研发有一段时间了。实验室里材料已经完成小试,中试在进行中,所谓中试通俗而言就是规模扩大了一些，是验证规模扩大后,生产的工艺是不是还可以生产出成功率高的材料，性能是否一样。不能期望用自产材料后，生产成本会大幅下降，这不太现实。生产成本方面我们不比别家低，不过，原材料在我们产品成本中占比不大，原材料价格的波动对业绩影响较小</w:t>
      </w:r>
      <w:r>
        <w:rPr>
          <w:rFonts w:ascii="仿宋" w:eastAsia="仿宋" w:hAnsi="仿宋" w:hint="eastAsia"/>
          <w:sz w:val="28"/>
          <w:szCs w:val="28"/>
        </w:rPr>
        <w:t>”。</w:t>
      </w:r>
    </w:p>
    <w:p w14:paraId="3392C556" w14:textId="77777777" w:rsidR="00A52258" w:rsidRDefault="0007513A">
      <w:pPr>
        <w:ind w:firstLineChars="200" w:firstLine="560"/>
        <w:rPr>
          <w:rFonts w:ascii="仿宋" w:eastAsia="仿宋" w:hAnsi="仿宋"/>
          <w:sz w:val="28"/>
          <w:szCs w:val="28"/>
        </w:rPr>
      </w:pPr>
      <w:r>
        <w:rPr>
          <w:rFonts w:ascii="仿宋" w:eastAsia="仿宋" w:hAnsi="仿宋" w:hint="eastAsia"/>
          <w:sz w:val="28"/>
          <w:szCs w:val="28"/>
        </w:rPr>
        <w:t>从公司2020年年报中看到，前五大供应商占比51.4%，其中第一大供应商占比为35.09%，第二家占比7.20%。可以推测其实第一家应该就是博士伦，目前依然是占大头的。虽然说有三家可以供应，但是很明显后面几家还不成规模。但是考虑到公司的毛利率有90%左右，实际上原材料价格对其影响并不大，公司高管的说法可以采信。</w:t>
      </w:r>
    </w:p>
    <w:p w14:paraId="20A94791" w14:textId="77777777" w:rsidR="00A52258" w:rsidRDefault="0007513A">
      <w:pPr>
        <w:rPr>
          <w:rFonts w:ascii="仿宋" w:eastAsia="仿宋" w:hAnsi="仿宋"/>
          <w:sz w:val="28"/>
          <w:szCs w:val="28"/>
        </w:rPr>
      </w:pPr>
      <w:r>
        <w:rPr>
          <w:noProof/>
        </w:rPr>
        <w:drawing>
          <wp:inline distT="0" distB="0" distL="114300" distR="114300" wp14:anchorId="260FE1D0" wp14:editId="4A56A22F">
            <wp:extent cx="5270500" cy="1708785"/>
            <wp:effectExtent l="0" t="0" r="8255"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stretch>
                      <a:fillRect/>
                    </a:stretch>
                  </pic:blipFill>
                  <pic:spPr>
                    <a:xfrm>
                      <a:off x="0" y="0"/>
                      <a:ext cx="5270500" cy="1708785"/>
                    </a:xfrm>
                    <a:prstGeom prst="rect">
                      <a:avLst/>
                    </a:prstGeom>
                    <a:noFill/>
                    <a:ln>
                      <a:noFill/>
                    </a:ln>
                  </pic:spPr>
                </pic:pic>
              </a:graphicData>
            </a:graphic>
          </wp:inline>
        </w:drawing>
      </w:r>
    </w:p>
    <w:p w14:paraId="192B388E" w14:textId="77777777" w:rsidR="00A52258" w:rsidRDefault="0007513A">
      <w:pPr>
        <w:pStyle w:val="3"/>
        <w:numPr>
          <w:ilvl w:val="1"/>
          <w:numId w:val="2"/>
        </w:numPr>
        <w:rPr>
          <w:rFonts w:ascii="黑体" w:eastAsia="黑体" w:hAnsi="黑体"/>
          <w:b w:val="0"/>
          <w:bCs w:val="0"/>
        </w:rPr>
      </w:pPr>
      <w:r>
        <w:rPr>
          <w:rFonts w:ascii="黑体" w:eastAsia="黑体" w:hAnsi="黑体" w:hint="eastAsia"/>
          <w:b w:val="0"/>
          <w:bCs w:val="0"/>
        </w:rPr>
        <w:lastRenderedPageBreak/>
        <w:t>估值过高风险</w:t>
      </w:r>
    </w:p>
    <w:p w14:paraId="2A255FE0" w14:textId="7E54741A" w:rsidR="00A52258" w:rsidRDefault="007F4776">
      <w:pPr>
        <w:ind w:firstLineChars="200" w:firstLine="560"/>
        <w:rPr>
          <w:rFonts w:ascii="仿宋" w:eastAsia="仿宋" w:hAnsi="仿宋"/>
          <w:sz w:val="28"/>
          <w:szCs w:val="28"/>
        </w:rPr>
      </w:pPr>
      <w:r w:rsidRPr="007F4776">
        <w:rPr>
          <w:rFonts w:ascii="仿宋" w:eastAsia="仿宋" w:hAnsi="仿宋" w:hint="eastAsia"/>
          <w:sz w:val="28"/>
          <w:szCs w:val="28"/>
        </w:rPr>
        <w:t>当前公司估值高达1</w:t>
      </w:r>
      <w:r w:rsidRPr="007F4776">
        <w:rPr>
          <w:rFonts w:ascii="仿宋" w:eastAsia="仿宋" w:hAnsi="仿宋"/>
          <w:sz w:val="28"/>
          <w:szCs w:val="28"/>
        </w:rPr>
        <w:t>62</w:t>
      </w:r>
      <w:r w:rsidRPr="007F4776">
        <w:rPr>
          <w:rFonts w:ascii="仿宋" w:eastAsia="仿宋" w:hAnsi="仿宋" w:hint="eastAsia"/>
          <w:sz w:val="28"/>
          <w:szCs w:val="28"/>
        </w:rPr>
        <w:t>倍，处于历史高位，按照PEG法公司年化增长约3</w:t>
      </w:r>
      <w:r w:rsidRPr="007F4776">
        <w:rPr>
          <w:rFonts w:ascii="仿宋" w:eastAsia="仿宋" w:hAnsi="仿宋"/>
          <w:sz w:val="28"/>
          <w:szCs w:val="28"/>
        </w:rPr>
        <w:t>0%</w:t>
      </w:r>
      <w:r w:rsidRPr="007F4776">
        <w:rPr>
          <w:rFonts w:ascii="仿宋" w:eastAsia="仿宋" w:hAnsi="仿宋" w:hint="eastAsia"/>
          <w:sz w:val="28"/>
          <w:szCs w:val="28"/>
        </w:rPr>
        <w:t>，合理估值应该是3</w:t>
      </w:r>
      <w:r w:rsidRPr="007F4776">
        <w:rPr>
          <w:rFonts w:ascii="仿宋" w:eastAsia="仿宋" w:hAnsi="仿宋"/>
          <w:sz w:val="28"/>
          <w:szCs w:val="28"/>
        </w:rPr>
        <w:t>0-40</w:t>
      </w:r>
      <w:r w:rsidRPr="007F4776">
        <w:rPr>
          <w:rFonts w:ascii="仿宋" w:eastAsia="仿宋" w:hAnsi="仿宋" w:hint="eastAsia"/>
          <w:sz w:val="28"/>
          <w:szCs w:val="28"/>
        </w:rPr>
        <w:t>倍，考虑到公司具备一定的垄断性和特殊性溢价，但依然不足以支持当前的</w:t>
      </w:r>
      <w:r w:rsidR="00F02DDA">
        <w:rPr>
          <w:rFonts w:ascii="仿宋" w:eastAsia="仿宋" w:hAnsi="仿宋" w:hint="eastAsia"/>
          <w:sz w:val="28"/>
          <w:szCs w:val="28"/>
        </w:rPr>
        <w:t>天价</w:t>
      </w:r>
      <w:r w:rsidRPr="007F4776">
        <w:rPr>
          <w:rFonts w:ascii="仿宋" w:eastAsia="仿宋" w:hAnsi="仿宋" w:hint="eastAsia"/>
          <w:sz w:val="28"/>
          <w:szCs w:val="28"/>
        </w:rPr>
        <w:t>。</w:t>
      </w:r>
      <w:r w:rsidR="0007513A">
        <w:rPr>
          <w:rFonts w:ascii="仿宋" w:eastAsia="仿宋" w:hAnsi="仿宋" w:hint="eastAsia"/>
          <w:b/>
          <w:bCs/>
          <w:sz w:val="28"/>
          <w:szCs w:val="28"/>
        </w:rPr>
        <w:t>估值过高引起了公司高管不断减持，虽然过程中股价不断上涨，但是依然要注意控制风险。</w:t>
      </w:r>
      <w:r w:rsidR="0007513A">
        <w:rPr>
          <w:rFonts w:ascii="仿宋" w:eastAsia="仿宋" w:hAnsi="仿宋" w:hint="eastAsia"/>
          <w:sz w:val="28"/>
          <w:szCs w:val="28"/>
        </w:rPr>
        <w:t>实控人陶悦群于2021年2月前通过</w:t>
      </w:r>
      <w:hyperlink r:id="rId36" w:history="1">
        <w:r w:rsidR="0007513A">
          <w:rPr>
            <w:rFonts w:ascii="仿宋" w:eastAsia="仿宋" w:hAnsi="仿宋" w:hint="eastAsia"/>
            <w:sz w:val="28"/>
            <w:szCs w:val="28"/>
          </w:rPr>
          <w:t>大宗交易</w:t>
        </w:r>
      </w:hyperlink>
      <w:r w:rsidR="0007513A">
        <w:rPr>
          <w:rFonts w:ascii="仿宋" w:eastAsia="仿宋" w:hAnsi="仿宋" w:hint="eastAsia"/>
          <w:sz w:val="28"/>
          <w:szCs w:val="28"/>
        </w:rPr>
        <w:t>与集合竞价的形式合计减持了公司价值超过12亿元的股份。此外，公司多名高管与首发时的员工持股平台合肥欧普民生投资管理合伙企业（有限合伙）也多次减持公司的股份。截至2021年第一季度，欧普民生持有欧普康视的股权比例已下降到4.99%。6月1</w:t>
      </w:r>
      <w:r w:rsidR="0007513A">
        <w:rPr>
          <w:rFonts w:ascii="仿宋" w:eastAsia="仿宋" w:hAnsi="仿宋"/>
          <w:sz w:val="28"/>
          <w:szCs w:val="28"/>
        </w:rPr>
        <w:t>0</w:t>
      </w:r>
      <w:r w:rsidR="0007513A">
        <w:rPr>
          <w:rFonts w:ascii="仿宋" w:eastAsia="仿宋" w:hAnsi="仿宋" w:hint="eastAsia"/>
          <w:sz w:val="28"/>
          <w:szCs w:val="28"/>
        </w:rPr>
        <w:t>日公司股价创新高时，高管付志英和卫立治发布减持公告，预计减持1</w:t>
      </w:r>
      <w:r w:rsidR="0007513A">
        <w:rPr>
          <w:rFonts w:ascii="仿宋" w:eastAsia="仿宋" w:hAnsi="仿宋"/>
          <w:sz w:val="28"/>
          <w:szCs w:val="28"/>
        </w:rPr>
        <w:t>21118</w:t>
      </w:r>
      <w:r w:rsidR="0007513A">
        <w:rPr>
          <w:rFonts w:ascii="仿宋" w:eastAsia="仿宋" w:hAnsi="仿宋" w:hint="eastAsia"/>
          <w:sz w:val="28"/>
          <w:szCs w:val="28"/>
        </w:rPr>
        <w:t>股（约1</w:t>
      </w:r>
      <w:r w:rsidR="0007513A">
        <w:rPr>
          <w:rFonts w:ascii="仿宋" w:eastAsia="仿宋" w:hAnsi="仿宋"/>
          <w:sz w:val="28"/>
          <w:szCs w:val="28"/>
        </w:rPr>
        <w:t>200</w:t>
      </w:r>
      <w:r w:rsidR="0007513A">
        <w:rPr>
          <w:rFonts w:ascii="仿宋" w:eastAsia="仿宋" w:hAnsi="仿宋" w:hint="eastAsia"/>
          <w:sz w:val="28"/>
          <w:szCs w:val="28"/>
        </w:rPr>
        <w:t>万元）。</w:t>
      </w:r>
    </w:p>
    <w:p w14:paraId="76DBE85E" w14:textId="24D39AB1" w:rsidR="00A52258" w:rsidRDefault="00455574">
      <w:pPr>
        <w:pStyle w:val="3"/>
        <w:numPr>
          <w:ilvl w:val="1"/>
          <w:numId w:val="2"/>
        </w:numPr>
        <w:rPr>
          <w:rFonts w:ascii="黑体" w:eastAsia="黑体" w:hAnsi="黑体"/>
          <w:b w:val="0"/>
          <w:bCs w:val="0"/>
        </w:rPr>
      </w:pPr>
      <w:r>
        <w:rPr>
          <w:rFonts w:ascii="黑体" w:eastAsia="黑体" w:hAnsi="黑体" w:hint="eastAsia"/>
          <w:b w:val="0"/>
          <w:bCs w:val="0"/>
        </w:rPr>
        <w:t>主营业务放缓及</w:t>
      </w:r>
      <w:r w:rsidR="0007513A">
        <w:rPr>
          <w:rFonts w:ascii="黑体" w:eastAsia="黑体" w:hAnsi="黑体" w:hint="eastAsia"/>
          <w:b w:val="0"/>
          <w:bCs w:val="0"/>
        </w:rPr>
        <w:t>市场竞争加剧风险</w:t>
      </w:r>
    </w:p>
    <w:p w14:paraId="48180929" w14:textId="1676E312" w:rsidR="0013610C" w:rsidRDefault="00455574" w:rsidP="00B14D63">
      <w:pPr>
        <w:ind w:firstLineChars="200" w:firstLine="560"/>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015</w:t>
      </w:r>
      <w:r>
        <w:rPr>
          <w:rFonts w:ascii="仿宋" w:eastAsia="仿宋" w:hAnsi="仿宋" w:hint="eastAsia"/>
          <w:sz w:val="28"/>
          <w:szCs w:val="28"/>
        </w:rPr>
        <w:t>—2</w:t>
      </w:r>
      <w:r>
        <w:rPr>
          <w:rFonts w:ascii="仿宋" w:eastAsia="仿宋" w:hAnsi="仿宋"/>
          <w:sz w:val="28"/>
          <w:szCs w:val="28"/>
        </w:rPr>
        <w:t>020</w:t>
      </w:r>
      <w:r>
        <w:rPr>
          <w:rFonts w:ascii="仿宋" w:eastAsia="仿宋" w:hAnsi="仿宋" w:hint="eastAsia"/>
          <w:sz w:val="28"/>
          <w:szCs w:val="28"/>
        </w:rPr>
        <w:t>年间</w:t>
      </w:r>
      <w:r w:rsidRPr="00455574">
        <w:rPr>
          <w:rFonts w:ascii="仿宋" w:eastAsia="仿宋" w:hAnsi="仿宋" w:hint="eastAsia"/>
          <w:sz w:val="28"/>
          <w:szCs w:val="28"/>
        </w:rPr>
        <w:t>公司主营业务—角膜塑形镜</w:t>
      </w:r>
      <w:r>
        <w:rPr>
          <w:rFonts w:ascii="仿宋" w:eastAsia="仿宋" w:hAnsi="仿宋" w:hint="eastAsia"/>
          <w:sz w:val="28"/>
          <w:szCs w:val="28"/>
        </w:rPr>
        <w:t>业务占营收比例自7</w:t>
      </w:r>
      <w:r>
        <w:rPr>
          <w:rFonts w:ascii="仿宋" w:eastAsia="仿宋" w:hAnsi="仿宋"/>
          <w:sz w:val="28"/>
          <w:szCs w:val="28"/>
        </w:rPr>
        <w:t>4.97%</w:t>
      </w:r>
      <w:r>
        <w:rPr>
          <w:rFonts w:ascii="仿宋" w:eastAsia="仿宋" w:hAnsi="仿宋" w:hint="eastAsia"/>
          <w:sz w:val="28"/>
          <w:szCs w:val="28"/>
        </w:rPr>
        <w:t>下降至5</w:t>
      </w:r>
      <w:r>
        <w:rPr>
          <w:rFonts w:ascii="仿宋" w:eastAsia="仿宋" w:hAnsi="仿宋"/>
          <w:sz w:val="28"/>
          <w:szCs w:val="28"/>
        </w:rPr>
        <w:t>9.90%</w:t>
      </w:r>
      <w:r>
        <w:rPr>
          <w:rFonts w:ascii="仿宋" w:eastAsia="仿宋" w:hAnsi="仿宋" w:hint="eastAsia"/>
          <w:sz w:val="28"/>
          <w:szCs w:val="28"/>
        </w:rPr>
        <w:t>，同比增速自</w:t>
      </w:r>
      <w:r>
        <w:rPr>
          <w:rFonts w:ascii="仿宋" w:eastAsia="仿宋" w:hAnsi="仿宋"/>
          <w:sz w:val="28"/>
          <w:szCs w:val="28"/>
        </w:rPr>
        <w:t>33.4%</w:t>
      </w:r>
      <w:r>
        <w:rPr>
          <w:rFonts w:ascii="仿宋" w:eastAsia="仿宋" w:hAnsi="仿宋" w:hint="eastAsia"/>
          <w:sz w:val="28"/>
          <w:szCs w:val="28"/>
        </w:rPr>
        <w:t>放缓至1</w:t>
      </w:r>
      <w:r>
        <w:rPr>
          <w:rFonts w:ascii="仿宋" w:eastAsia="仿宋" w:hAnsi="仿宋"/>
          <w:sz w:val="28"/>
          <w:szCs w:val="28"/>
        </w:rPr>
        <w:t>9.23%</w:t>
      </w:r>
      <w:r w:rsidR="00BC7E11">
        <w:rPr>
          <w:rFonts w:ascii="仿宋" w:eastAsia="仿宋" w:hAnsi="仿宋" w:hint="eastAsia"/>
          <w:sz w:val="28"/>
          <w:szCs w:val="28"/>
        </w:rPr>
        <w:t>，</w:t>
      </w:r>
      <w:r w:rsidR="00BC7E11" w:rsidRPr="00BC7E11">
        <w:rPr>
          <w:rFonts w:ascii="仿宋" w:eastAsia="仿宋" w:hAnsi="仿宋" w:hint="eastAsia"/>
          <w:sz w:val="28"/>
          <w:szCs w:val="28"/>
        </w:rPr>
        <w:t>低于</w:t>
      </w:r>
      <w:r w:rsidR="00BC7E11" w:rsidRPr="00BC7E11">
        <w:rPr>
          <w:rFonts w:ascii="仿宋" w:eastAsia="仿宋" w:hAnsi="仿宋"/>
          <w:sz w:val="28"/>
          <w:szCs w:val="28"/>
        </w:rPr>
        <w:t>2020年公司总体34.59%的收入增长率</w:t>
      </w:r>
      <w:r>
        <w:rPr>
          <w:rFonts w:ascii="仿宋" w:eastAsia="仿宋" w:hAnsi="仿宋" w:hint="eastAsia"/>
          <w:sz w:val="28"/>
          <w:szCs w:val="28"/>
        </w:rPr>
        <w:t>。其中的因素</w:t>
      </w:r>
      <w:r w:rsidR="00131F50">
        <w:rPr>
          <w:rFonts w:ascii="仿宋" w:eastAsia="仿宋" w:hAnsi="仿宋" w:hint="eastAsia"/>
          <w:sz w:val="28"/>
          <w:szCs w:val="28"/>
        </w:rPr>
        <w:t>既</w:t>
      </w:r>
      <w:r>
        <w:rPr>
          <w:rFonts w:ascii="仿宋" w:eastAsia="仿宋" w:hAnsi="仿宋" w:hint="eastAsia"/>
          <w:sz w:val="28"/>
          <w:szCs w:val="28"/>
        </w:rPr>
        <w:t>有新冠疫情的影响，也有护理用品增加和医疗服务开拓的影响</w:t>
      </w:r>
      <w:r w:rsidR="00131F50">
        <w:rPr>
          <w:rFonts w:ascii="仿宋" w:eastAsia="仿宋" w:hAnsi="仿宋" w:hint="eastAsia"/>
          <w:sz w:val="28"/>
          <w:szCs w:val="28"/>
        </w:rPr>
        <w:t>。</w:t>
      </w:r>
      <w:r w:rsidR="00AE69A9">
        <w:rPr>
          <w:rFonts w:ascii="仿宋" w:eastAsia="仿宋" w:hAnsi="仿宋" w:hint="eastAsia"/>
          <w:sz w:val="28"/>
          <w:szCs w:val="28"/>
        </w:rPr>
        <w:t>需要保持一段时间的观察，看角膜塑形镜的增速和占比能否保持稳定。</w:t>
      </w:r>
    </w:p>
    <w:p w14:paraId="32A7286B" w14:textId="52B03EF9" w:rsidR="009C5470" w:rsidRPr="00455574" w:rsidRDefault="009C5470" w:rsidP="00B14D63">
      <w:pPr>
        <w:ind w:firstLineChars="200" w:firstLine="560"/>
        <w:rPr>
          <w:rFonts w:ascii="仿宋" w:eastAsia="仿宋" w:hAnsi="仿宋"/>
          <w:sz w:val="28"/>
          <w:szCs w:val="28"/>
        </w:rPr>
      </w:pPr>
      <w:r>
        <w:rPr>
          <w:rFonts w:ascii="仿宋" w:eastAsia="仿宋" w:hAnsi="仿宋" w:hint="eastAsia"/>
          <w:sz w:val="28"/>
          <w:szCs w:val="28"/>
        </w:rPr>
        <w:t>考虑到未来角膜塑形镜新增厂家的增加，对于公司来说获得更高的增速难道会加大，</w:t>
      </w:r>
      <w:r w:rsidR="00114033">
        <w:rPr>
          <w:rFonts w:ascii="仿宋" w:eastAsia="仿宋" w:hAnsi="仿宋" w:hint="eastAsia"/>
          <w:sz w:val="28"/>
          <w:szCs w:val="28"/>
        </w:rPr>
        <w:t>而</w:t>
      </w:r>
      <w:r>
        <w:rPr>
          <w:rFonts w:ascii="仿宋" w:eastAsia="仿宋" w:hAnsi="仿宋" w:hint="eastAsia"/>
          <w:sz w:val="28"/>
          <w:szCs w:val="28"/>
        </w:rPr>
        <w:t>通过多元化可以缓解增长的压力，但是市场之所以给公司这么高估值的原因就是公司是目前国内唯二且最早的生产厂家，只</w:t>
      </w:r>
      <w:r w:rsidR="00321280">
        <w:rPr>
          <w:rFonts w:ascii="仿宋" w:eastAsia="仿宋" w:hAnsi="仿宋" w:hint="eastAsia"/>
          <w:sz w:val="28"/>
          <w:szCs w:val="28"/>
        </w:rPr>
        <w:t>有</w:t>
      </w:r>
      <w:r>
        <w:rPr>
          <w:rFonts w:ascii="仿宋" w:eastAsia="仿宋" w:hAnsi="仿宋" w:hint="eastAsia"/>
          <w:sz w:val="28"/>
          <w:szCs w:val="28"/>
        </w:rPr>
        <w:t>角膜塑形镜业务的高速增长才能带动相关的护理和医疗</w:t>
      </w:r>
      <w:r>
        <w:rPr>
          <w:rFonts w:ascii="仿宋" w:eastAsia="仿宋" w:hAnsi="仿宋" w:hint="eastAsia"/>
          <w:sz w:val="28"/>
          <w:szCs w:val="28"/>
        </w:rPr>
        <w:lastRenderedPageBreak/>
        <w:t>服务的增长，毕竟公司与专业的医疗服务机构如“爱尔眼科”还是存在较大的区别，爱尔是服务驱动，而公司则是产品驱动，产品是一切增长的根源所在。</w:t>
      </w:r>
      <w:r w:rsidR="00407590" w:rsidRPr="00BF5BDF">
        <w:rPr>
          <w:rFonts w:ascii="仿宋" w:eastAsia="仿宋" w:hAnsi="仿宋" w:hint="eastAsia"/>
          <w:b/>
          <w:bCs/>
          <w:sz w:val="28"/>
          <w:szCs w:val="28"/>
        </w:rPr>
        <w:t>如果角膜塑形镜</w:t>
      </w:r>
      <w:r w:rsidR="00A364B8">
        <w:rPr>
          <w:rFonts w:ascii="仿宋" w:eastAsia="仿宋" w:hAnsi="仿宋" w:hint="eastAsia"/>
          <w:b/>
          <w:bCs/>
          <w:sz w:val="28"/>
          <w:szCs w:val="28"/>
        </w:rPr>
        <w:t>受竞争因素导致</w:t>
      </w:r>
      <w:r w:rsidR="00407590" w:rsidRPr="00BF5BDF">
        <w:rPr>
          <w:rFonts w:ascii="仿宋" w:eastAsia="仿宋" w:hAnsi="仿宋" w:hint="eastAsia"/>
          <w:b/>
          <w:bCs/>
          <w:sz w:val="28"/>
          <w:szCs w:val="28"/>
        </w:rPr>
        <w:t>增速出现长期下降，那么对于高估值的成长公司会是一个毁灭性的打击，投资价值</w:t>
      </w:r>
      <w:r w:rsidR="003663E7">
        <w:rPr>
          <w:rFonts w:ascii="仿宋" w:eastAsia="仿宋" w:hAnsi="仿宋" w:hint="eastAsia"/>
          <w:b/>
          <w:bCs/>
          <w:sz w:val="28"/>
          <w:szCs w:val="28"/>
        </w:rPr>
        <w:t>将</w:t>
      </w:r>
      <w:r w:rsidR="00407590" w:rsidRPr="00BF5BDF">
        <w:rPr>
          <w:rFonts w:ascii="仿宋" w:eastAsia="仿宋" w:hAnsi="仿宋" w:hint="eastAsia"/>
          <w:b/>
          <w:bCs/>
          <w:sz w:val="28"/>
          <w:szCs w:val="28"/>
        </w:rPr>
        <w:t>迅速下降，这是公司面临最大的一个风险。</w:t>
      </w:r>
    </w:p>
    <w:p w14:paraId="6D6E4FBD" w14:textId="2085996E" w:rsidR="00A52258" w:rsidRDefault="00BA51B6">
      <w:pPr>
        <w:pStyle w:val="3"/>
        <w:numPr>
          <w:ilvl w:val="1"/>
          <w:numId w:val="2"/>
        </w:numPr>
        <w:rPr>
          <w:rFonts w:ascii="黑体" w:eastAsia="黑体" w:hAnsi="黑体"/>
          <w:b w:val="0"/>
          <w:bCs w:val="0"/>
        </w:rPr>
      </w:pPr>
      <w:r>
        <w:rPr>
          <w:rFonts w:ascii="黑体" w:eastAsia="黑体" w:hAnsi="黑体" w:hint="eastAsia"/>
          <w:b w:val="0"/>
          <w:bCs w:val="0"/>
        </w:rPr>
        <w:t>商誉增加和</w:t>
      </w:r>
      <w:r w:rsidR="0007513A">
        <w:rPr>
          <w:rFonts w:ascii="黑体" w:eastAsia="黑体" w:hAnsi="黑体" w:hint="eastAsia"/>
          <w:b w:val="0"/>
          <w:bCs w:val="0"/>
        </w:rPr>
        <w:t>投资收益不及预期风险</w:t>
      </w:r>
    </w:p>
    <w:p w14:paraId="145BE2B4" w14:textId="2597221C" w:rsidR="00446CC8" w:rsidRDefault="00446CC8" w:rsidP="00446CC8">
      <w:pPr>
        <w:ind w:firstLineChars="200" w:firstLine="560"/>
        <w:rPr>
          <w:rFonts w:ascii="仿宋" w:eastAsia="仿宋" w:hAnsi="仿宋"/>
          <w:sz w:val="28"/>
          <w:szCs w:val="28"/>
        </w:rPr>
      </w:pPr>
      <w:r w:rsidRPr="00446CC8">
        <w:rPr>
          <w:rFonts w:ascii="仿宋" w:eastAsia="仿宋" w:hAnsi="仿宋"/>
          <w:sz w:val="28"/>
          <w:szCs w:val="28"/>
        </w:rPr>
        <w:t>公司持续投资眼视光终端及眼科产业链其他业务，截至20全年，子公司数量已达 204 家，相对于去年同期新增 87 家。2020 全年合并后营收8.71亿元，母公司营收 5.37 亿元，子公司贡献营收 3.33 亿元；合并后归母净利润4.33亿元，母公司净利润 4.60 亿元，子公司贡献净利润-0.27 亿元。</w:t>
      </w:r>
      <w:r w:rsidR="00043E0A">
        <w:rPr>
          <w:rFonts w:ascii="仿宋" w:eastAsia="仿宋" w:hAnsi="仿宋" w:hint="eastAsia"/>
          <w:sz w:val="28"/>
          <w:szCs w:val="28"/>
        </w:rPr>
        <w:t>短期来看，主要利润依靠母公司来贡献，子公司依然处于培育期内。</w:t>
      </w:r>
    </w:p>
    <w:p w14:paraId="32046410" w14:textId="29FF501D" w:rsidR="00043E0A" w:rsidRDefault="00043E0A" w:rsidP="00446CC8">
      <w:pPr>
        <w:ind w:firstLineChars="200" w:firstLine="560"/>
        <w:rPr>
          <w:rFonts w:ascii="仿宋" w:eastAsia="仿宋" w:hAnsi="仿宋"/>
          <w:sz w:val="28"/>
          <w:szCs w:val="28"/>
        </w:rPr>
      </w:pPr>
      <w:r>
        <w:rPr>
          <w:rFonts w:ascii="仿宋" w:eastAsia="仿宋" w:hAnsi="仿宋" w:hint="eastAsia"/>
          <w:sz w:val="28"/>
          <w:szCs w:val="28"/>
        </w:rPr>
        <w:t>根据公司披露的投资协议，公司通过欧普康视科技股份有限公司对眼视光的诊所进行投资，一般为货币出资收购5</w:t>
      </w:r>
      <w:r>
        <w:rPr>
          <w:rFonts w:ascii="仿宋" w:eastAsia="仿宋" w:hAnsi="仿宋"/>
          <w:sz w:val="28"/>
          <w:szCs w:val="28"/>
        </w:rPr>
        <w:t>1%</w:t>
      </w:r>
      <w:r>
        <w:rPr>
          <w:rFonts w:ascii="仿宋" w:eastAsia="仿宋" w:hAnsi="仿宋" w:hint="eastAsia"/>
          <w:sz w:val="28"/>
          <w:szCs w:val="28"/>
        </w:rPr>
        <w:t>股权以实现控股。但是根据披露的数据显示被收购的子公司2</w:t>
      </w:r>
      <w:r>
        <w:rPr>
          <w:rFonts w:ascii="仿宋" w:eastAsia="仿宋" w:hAnsi="仿宋"/>
          <w:sz w:val="28"/>
          <w:szCs w:val="28"/>
        </w:rPr>
        <w:t>020</w:t>
      </w:r>
      <w:r>
        <w:rPr>
          <w:rFonts w:ascii="仿宋" w:eastAsia="仿宋" w:hAnsi="仿宋" w:hint="eastAsia"/>
          <w:sz w:val="28"/>
          <w:szCs w:val="28"/>
        </w:rPr>
        <w:t>年净资产为-</w:t>
      </w:r>
      <w:r>
        <w:rPr>
          <w:rFonts w:ascii="仿宋" w:eastAsia="仿宋" w:hAnsi="仿宋"/>
          <w:sz w:val="28"/>
          <w:szCs w:val="28"/>
        </w:rPr>
        <w:t>885</w:t>
      </w:r>
      <w:r>
        <w:rPr>
          <w:rFonts w:ascii="仿宋" w:eastAsia="仿宋" w:hAnsi="仿宋" w:hint="eastAsia"/>
          <w:sz w:val="28"/>
          <w:szCs w:val="28"/>
        </w:rPr>
        <w:t>元、2</w:t>
      </w:r>
      <w:r>
        <w:rPr>
          <w:rFonts w:ascii="仿宋" w:eastAsia="仿宋" w:hAnsi="仿宋"/>
          <w:sz w:val="28"/>
          <w:szCs w:val="28"/>
        </w:rPr>
        <w:t>021</w:t>
      </w:r>
      <w:r>
        <w:rPr>
          <w:rFonts w:ascii="仿宋" w:eastAsia="仿宋" w:hAnsi="仿宋" w:hint="eastAsia"/>
          <w:sz w:val="28"/>
          <w:szCs w:val="28"/>
        </w:rPr>
        <w:t>年4月净资产为1</w:t>
      </w:r>
      <w:r>
        <w:rPr>
          <w:rFonts w:ascii="仿宋" w:eastAsia="仿宋" w:hAnsi="仿宋"/>
          <w:sz w:val="28"/>
          <w:szCs w:val="28"/>
        </w:rPr>
        <w:t>62</w:t>
      </w:r>
      <w:r>
        <w:rPr>
          <w:rFonts w:ascii="仿宋" w:eastAsia="仿宋" w:hAnsi="仿宋" w:hint="eastAsia"/>
          <w:sz w:val="28"/>
          <w:szCs w:val="28"/>
        </w:rPr>
        <w:t>万元，净利润6</w:t>
      </w:r>
      <w:r>
        <w:rPr>
          <w:rFonts w:ascii="仿宋" w:eastAsia="仿宋" w:hAnsi="仿宋"/>
          <w:sz w:val="28"/>
          <w:szCs w:val="28"/>
        </w:rPr>
        <w:t>2</w:t>
      </w:r>
      <w:r>
        <w:rPr>
          <w:rFonts w:ascii="仿宋" w:eastAsia="仿宋" w:hAnsi="仿宋" w:hint="eastAsia"/>
          <w:sz w:val="28"/>
          <w:szCs w:val="28"/>
        </w:rPr>
        <w:t>万元。</w:t>
      </w:r>
      <w:r w:rsidR="00FF3D28">
        <w:rPr>
          <w:rFonts w:ascii="仿宋" w:eastAsia="仿宋" w:hAnsi="仿宋" w:hint="eastAsia"/>
          <w:sz w:val="28"/>
          <w:szCs w:val="28"/>
        </w:rPr>
        <w:t>而</w:t>
      </w:r>
      <w:r>
        <w:rPr>
          <w:rFonts w:ascii="仿宋" w:eastAsia="仿宋" w:hAnsi="仿宋" w:hint="eastAsia"/>
          <w:sz w:val="28"/>
          <w:szCs w:val="28"/>
        </w:rPr>
        <w:t>欧普收购的估值为1</w:t>
      </w:r>
      <w:r>
        <w:rPr>
          <w:rFonts w:ascii="仿宋" w:eastAsia="仿宋" w:hAnsi="仿宋"/>
          <w:sz w:val="28"/>
          <w:szCs w:val="28"/>
        </w:rPr>
        <w:t>180</w:t>
      </w:r>
      <w:r>
        <w:rPr>
          <w:rFonts w:ascii="仿宋" w:eastAsia="仿宋" w:hAnsi="仿宋" w:hint="eastAsia"/>
          <w:sz w:val="28"/>
          <w:szCs w:val="28"/>
        </w:rPr>
        <w:t>万元，欧普出资1</w:t>
      </w:r>
      <w:r>
        <w:rPr>
          <w:rFonts w:ascii="仿宋" w:eastAsia="仿宋" w:hAnsi="仿宋"/>
          <w:sz w:val="28"/>
          <w:szCs w:val="28"/>
        </w:rPr>
        <w:t>228</w:t>
      </w:r>
      <w:r>
        <w:rPr>
          <w:rFonts w:ascii="仿宋" w:eastAsia="仿宋" w:hAnsi="仿宋" w:hint="eastAsia"/>
          <w:sz w:val="28"/>
          <w:szCs w:val="28"/>
        </w:rPr>
        <w:t>万元收购5</w:t>
      </w:r>
      <w:r>
        <w:rPr>
          <w:rFonts w:ascii="仿宋" w:eastAsia="仿宋" w:hAnsi="仿宋"/>
          <w:sz w:val="28"/>
          <w:szCs w:val="28"/>
        </w:rPr>
        <w:t>1%</w:t>
      </w:r>
      <w:r>
        <w:rPr>
          <w:rFonts w:ascii="仿宋" w:eastAsia="仿宋" w:hAnsi="仿宋" w:hint="eastAsia"/>
          <w:sz w:val="28"/>
          <w:szCs w:val="28"/>
        </w:rPr>
        <w:t>的股权，这笔买卖无论怎么看感觉都是高估了。虽然在协议中乙方承诺当年净利润</w:t>
      </w:r>
      <w:r w:rsidR="00CA613D">
        <w:rPr>
          <w:rFonts w:ascii="仿宋" w:eastAsia="仿宋" w:hAnsi="仿宋" w:hint="eastAsia"/>
          <w:sz w:val="28"/>
          <w:szCs w:val="28"/>
        </w:rPr>
        <w:t>1</w:t>
      </w:r>
      <w:r w:rsidR="00CA613D">
        <w:rPr>
          <w:rFonts w:ascii="仿宋" w:eastAsia="仿宋" w:hAnsi="仿宋"/>
          <w:sz w:val="28"/>
          <w:szCs w:val="28"/>
        </w:rPr>
        <w:t>90</w:t>
      </w:r>
      <w:r w:rsidR="00CA613D">
        <w:rPr>
          <w:rFonts w:ascii="仿宋" w:eastAsia="仿宋" w:hAnsi="仿宋" w:hint="eastAsia"/>
          <w:sz w:val="28"/>
          <w:szCs w:val="28"/>
        </w:rPr>
        <w:t>万</w:t>
      </w:r>
      <w:r>
        <w:rPr>
          <w:rFonts w:ascii="仿宋" w:eastAsia="仿宋" w:hAnsi="仿宋" w:hint="eastAsia"/>
          <w:sz w:val="28"/>
          <w:szCs w:val="28"/>
        </w:rPr>
        <w:t>及未来2年利润不能负增长，如果出现负增长则甲方有权进行现金补偿或者股权回购。</w:t>
      </w:r>
      <w:r w:rsidR="008942E7">
        <w:rPr>
          <w:rFonts w:ascii="仿宋" w:eastAsia="仿宋" w:hAnsi="仿宋" w:hint="eastAsia"/>
          <w:sz w:val="28"/>
          <w:szCs w:val="28"/>
        </w:rPr>
        <w:t>1</w:t>
      </w:r>
      <w:r w:rsidR="008942E7">
        <w:rPr>
          <w:rFonts w:ascii="仿宋" w:eastAsia="仿宋" w:hAnsi="仿宋"/>
          <w:sz w:val="28"/>
          <w:szCs w:val="28"/>
        </w:rPr>
        <w:t>228</w:t>
      </w:r>
      <w:r w:rsidR="008942E7">
        <w:rPr>
          <w:rFonts w:ascii="仿宋" w:eastAsia="仿宋" w:hAnsi="仿宋" w:hint="eastAsia"/>
          <w:sz w:val="28"/>
          <w:szCs w:val="28"/>
        </w:rPr>
        <w:t>万元出资获得当年1</w:t>
      </w:r>
      <w:r w:rsidR="008942E7">
        <w:rPr>
          <w:rFonts w:ascii="仿宋" w:eastAsia="仿宋" w:hAnsi="仿宋"/>
          <w:sz w:val="28"/>
          <w:szCs w:val="28"/>
        </w:rPr>
        <w:t>00</w:t>
      </w:r>
      <w:r w:rsidR="008942E7">
        <w:rPr>
          <w:rFonts w:ascii="仿宋" w:eastAsia="仿宋" w:hAnsi="仿宋" w:hint="eastAsia"/>
          <w:sz w:val="28"/>
          <w:szCs w:val="28"/>
        </w:rPr>
        <w:t>万净利润，后续只要每年保持净利润微增即可，毛估估静态投资回收期要1</w:t>
      </w:r>
      <w:r w:rsidR="008942E7">
        <w:rPr>
          <w:rFonts w:ascii="仿宋" w:eastAsia="仿宋" w:hAnsi="仿宋"/>
          <w:sz w:val="28"/>
          <w:szCs w:val="28"/>
        </w:rPr>
        <w:t>3</w:t>
      </w:r>
      <w:r w:rsidR="008942E7">
        <w:rPr>
          <w:rFonts w:ascii="仿宋" w:eastAsia="仿宋" w:hAnsi="仿宋" w:hint="eastAsia"/>
          <w:sz w:val="28"/>
          <w:szCs w:val="28"/>
        </w:rPr>
        <w:t>年左右</w:t>
      </w:r>
      <w:r w:rsidR="000117A4">
        <w:rPr>
          <w:rFonts w:ascii="仿宋" w:eastAsia="仿宋" w:hAnsi="仿宋" w:hint="eastAsia"/>
          <w:sz w:val="28"/>
          <w:szCs w:val="28"/>
        </w:rPr>
        <w:t>，从财务</w:t>
      </w:r>
      <w:r w:rsidR="000117A4">
        <w:rPr>
          <w:rFonts w:ascii="仿宋" w:eastAsia="仿宋" w:hAnsi="仿宋" w:hint="eastAsia"/>
          <w:sz w:val="28"/>
          <w:szCs w:val="28"/>
        </w:rPr>
        <w:lastRenderedPageBreak/>
        <w:t>角度来看不能算一笔好投资</w:t>
      </w:r>
      <w:r w:rsidR="008942E7">
        <w:rPr>
          <w:rFonts w:ascii="仿宋" w:eastAsia="仿宋" w:hAnsi="仿宋" w:hint="eastAsia"/>
          <w:sz w:val="28"/>
          <w:szCs w:val="28"/>
        </w:rPr>
        <w:t>。</w:t>
      </w:r>
    </w:p>
    <w:p w14:paraId="4B518CE7" w14:textId="17988DF1" w:rsidR="00C71151" w:rsidRPr="00446CC8" w:rsidRDefault="00C71151" w:rsidP="00446CC8">
      <w:pPr>
        <w:ind w:firstLineChars="200" w:firstLine="560"/>
        <w:rPr>
          <w:rFonts w:ascii="仿宋" w:eastAsia="仿宋" w:hAnsi="仿宋"/>
          <w:sz w:val="28"/>
          <w:szCs w:val="28"/>
        </w:rPr>
      </w:pPr>
      <w:r>
        <w:rPr>
          <w:rFonts w:ascii="仿宋" w:eastAsia="仿宋" w:hAnsi="仿宋" w:hint="eastAsia"/>
          <w:sz w:val="28"/>
          <w:szCs w:val="28"/>
        </w:rPr>
        <w:t>公司商誉从2</w:t>
      </w:r>
      <w:r>
        <w:rPr>
          <w:rFonts w:ascii="仿宋" w:eastAsia="仿宋" w:hAnsi="仿宋"/>
          <w:sz w:val="28"/>
          <w:szCs w:val="28"/>
        </w:rPr>
        <w:t>016</w:t>
      </w:r>
      <w:r>
        <w:rPr>
          <w:rFonts w:ascii="仿宋" w:eastAsia="仿宋" w:hAnsi="仿宋" w:hint="eastAsia"/>
          <w:sz w:val="28"/>
          <w:szCs w:val="28"/>
        </w:rPr>
        <w:t>年的零元快速增长到2</w:t>
      </w:r>
      <w:r>
        <w:rPr>
          <w:rFonts w:ascii="仿宋" w:eastAsia="仿宋" w:hAnsi="仿宋"/>
          <w:sz w:val="28"/>
          <w:szCs w:val="28"/>
        </w:rPr>
        <w:t>020</w:t>
      </w:r>
      <w:r>
        <w:rPr>
          <w:rFonts w:ascii="仿宋" w:eastAsia="仿宋" w:hAnsi="仿宋" w:hint="eastAsia"/>
          <w:sz w:val="28"/>
          <w:szCs w:val="28"/>
        </w:rPr>
        <w:t>年末的1</w:t>
      </w:r>
      <w:r>
        <w:rPr>
          <w:rFonts w:ascii="仿宋" w:eastAsia="仿宋" w:hAnsi="仿宋"/>
          <w:sz w:val="28"/>
          <w:szCs w:val="28"/>
        </w:rPr>
        <w:t>.72</w:t>
      </w:r>
      <w:r>
        <w:rPr>
          <w:rFonts w:ascii="仿宋" w:eastAsia="仿宋" w:hAnsi="仿宋" w:hint="eastAsia"/>
          <w:sz w:val="28"/>
          <w:szCs w:val="28"/>
        </w:rPr>
        <w:t>亿元，2</w:t>
      </w:r>
      <w:r>
        <w:rPr>
          <w:rFonts w:ascii="仿宋" w:eastAsia="仿宋" w:hAnsi="仿宋"/>
          <w:sz w:val="28"/>
          <w:szCs w:val="28"/>
        </w:rPr>
        <w:t>021</w:t>
      </w:r>
      <w:r>
        <w:rPr>
          <w:rFonts w:ascii="仿宋" w:eastAsia="仿宋" w:hAnsi="仿宋" w:hint="eastAsia"/>
          <w:sz w:val="28"/>
          <w:szCs w:val="28"/>
        </w:rPr>
        <w:t>年Q</w:t>
      </w:r>
      <w:r>
        <w:rPr>
          <w:rFonts w:ascii="仿宋" w:eastAsia="仿宋" w:hAnsi="仿宋"/>
          <w:sz w:val="28"/>
          <w:szCs w:val="28"/>
        </w:rPr>
        <w:t>1</w:t>
      </w:r>
      <w:r>
        <w:rPr>
          <w:rFonts w:ascii="仿宋" w:eastAsia="仿宋" w:hAnsi="仿宋" w:hint="eastAsia"/>
          <w:sz w:val="28"/>
          <w:szCs w:val="28"/>
        </w:rPr>
        <w:t>为1</w:t>
      </w:r>
      <w:r w:rsidR="003932B4">
        <w:rPr>
          <w:rFonts w:ascii="仿宋" w:eastAsia="仿宋" w:hAnsi="仿宋"/>
          <w:sz w:val="28"/>
          <w:szCs w:val="28"/>
        </w:rPr>
        <w:t>.</w:t>
      </w:r>
      <w:r>
        <w:rPr>
          <w:rFonts w:ascii="仿宋" w:eastAsia="仿宋" w:hAnsi="仿宋"/>
          <w:sz w:val="28"/>
          <w:szCs w:val="28"/>
        </w:rPr>
        <w:t>77</w:t>
      </w:r>
      <w:r>
        <w:rPr>
          <w:rFonts w:ascii="仿宋" w:eastAsia="仿宋" w:hAnsi="仿宋" w:hint="eastAsia"/>
          <w:sz w:val="28"/>
          <w:szCs w:val="28"/>
        </w:rPr>
        <w:t>亿元。</w:t>
      </w:r>
      <w:r w:rsidR="003932B4">
        <w:rPr>
          <w:rFonts w:ascii="仿宋" w:eastAsia="仿宋" w:hAnsi="仿宋" w:hint="eastAsia"/>
          <w:sz w:val="28"/>
          <w:szCs w:val="28"/>
        </w:rPr>
        <w:t>同时，根据公司定增报告，公司预计花1</w:t>
      </w:r>
      <w:r w:rsidR="003932B4">
        <w:rPr>
          <w:rFonts w:ascii="仿宋" w:eastAsia="仿宋" w:hAnsi="仿宋"/>
          <w:sz w:val="28"/>
          <w:szCs w:val="28"/>
        </w:rPr>
        <w:t>7.8</w:t>
      </w:r>
      <w:r w:rsidR="003932B4">
        <w:rPr>
          <w:rFonts w:ascii="仿宋" w:eastAsia="仿宋" w:hAnsi="仿宋" w:hint="eastAsia"/>
          <w:sz w:val="28"/>
          <w:szCs w:val="28"/>
        </w:rPr>
        <w:t>亿元建设自有终端，估计其中大部分都是按上述模式进行收购，可以预见商誉会大幅度的增长。2</w:t>
      </w:r>
      <w:r w:rsidR="003932B4">
        <w:rPr>
          <w:rFonts w:ascii="仿宋" w:eastAsia="仿宋" w:hAnsi="仿宋"/>
          <w:sz w:val="28"/>
          <w:szCs w:val="28"/>
        </w:rPr>
        <w:t>020</w:t>
      </w:r>
      <w:r w:rsidR="003932B4">
        <w:rPr>
          <w:rFonts w:ascii="仿宋" w:eastAsia="仿宋" w:hAnsi="仿宋" w:hint="eastAsia"/>
          <w:sz w:val="28"/>
          <w:szCs w:val="28"/>
        </w:rPr>
        <w:t>年公司总资产为2</w:t>
      </w:r>
      <w:r w:rsidR="003932B4">
        <w:rPr>
          <w:rFonts w:ascii="仿宋" w:eastAsia="仿宋" w:hAnsi="仿宋"/>
          <w:sz w:val="28"/>
          <w:szCs w:val="28"/>
        </w:rPr>
        <w:t>5.69</w:t>
      </w:r>
      <w:r w:rsidR="003932B4">
        <w:rPr>
          <w:rFonts w:ascii="仿宋" w:eastAsia="仿宋" w:hAnsi="仿宋" w:hint="eastAsia"/>
          <w:sz w:val="28"/>
          <w:szCs w:val="28"/>
        </w:rPr>
        <w:t>亿元</w:t>
      </w:r>
      <w:r w:rsidR="007737F0">
        <w:rPr>
          <w:rFonts w:ascii="仿宋" w:eastAsia="仿宋" w:hAnsi="仿宋" w:hint="eastAsia"/>
          <w:sz w:val="28"/>
          <w:szCs w:val="28"/>
        </w:rPr>
        <w:t>，商誉占比为7</w:t>
      </w:r>
      <w:r w:rsidR="007737F0">
        <w:rPr>
          <w:rFonts w:ascii="仿宋" w:eastAsia="仿宋" w:hAnsi="仿宋"/>
          <w:sz w:val="28"/>
          <w:szCs w:val="28"/>
        </w:rPr>
        <w:t>%</w:t>
      </w:r>
      <w:r w:rsidR="007737F0">
        <w:rPr>
          <w:rFonts w:ascii="仿宋" w:eastAsia="仿宋" w:hAnsi="仿宋" w:hint="eastAsia"/>
          <w:sz w:val="28"/>
          <w:szCs w:val="28"/>
        </w:rPr>
        <w:t>，要关注未来</w:t>
      </w:r>
      <w:r w:rsidR="007F2A8C">
        <w:rPr>
          <w:rFonts w:ascii="仿宋" w:eastAsia="仿宋" w:hAnsi="仿宋" w:hint="eastAsia"/>
          <w:sz w:val="28"/>
          <w:szCs w:val="28"/>
        </w:rPr>
        <w:t>投资收益不及预期和</w:t>
      </w:r>
      <w:r w:rsidR="007737F0">
        <w:rPr>
          <w:rFonts w:ascii="仿宋" w:eastAsia="仿宋" w:hAnsi="仿宋" w:hint="eastAsia"/>
          <w:sz w:val="28"/>
          <w:szCs w:val="28"/>
        </w:rPr>
        <w:t>商誉减值</w:t>
      </w:r>
      <w:r w:rsidR="007F2A8C">
        <w:rPr>
          <w:rFonts w:ascii="仿宋" w:eastAsia="仿宋" w:hAnsi="仿宋" w:hint="eastAsia"/>
          <w:sz w:val="28"/>
          <w:szCs w:val="28"/>
        </w:rPr>
        <w:t>风险</w:t>
      </w:r>
      <w:r w:rsidR="007737F0">
        <w:rPr>
          <w:rFonts w:ascii="仿宋" w:eastAsia="仿宋" w:hAnsi="仿宋" w:hint="eastAsia"/>
          <w:sz w:val="28"/>
          <w:szCs w:val="28"/>
        </w:rPr>
        <w:t>。</w:t>
      </w:r>
    </w:p>
    <w:p w14:paraId="3BF5ED96" w14:textId="2683A72A" w:rsidR="00A52258" w:rsidRDefault="0007513A">
      <w:pPr>
        <w:pStyle w:val="2"/>
        <w:numPr>
          <w:ilvl w:val="0"/>
          <w:numId w:val="1"/>
        </w:numPr>
        <w:rPr>
          <w:rFonts w:ascii="黑体" w:eastAsia="黑体" w:hAnsi="黑体"/>
          <w:b w:val="0"/>
          <w:bCs w:val="0"/>
        </w:rPr>
      </w:pPr>
      <w:r>
        <w:rPr>
          <w:rFonts w:ascii="黑体" w:eastAsia="黑体" w:hAnsi="黑体" w:hint="eastAsia"/>
          <w:b w:val="0"/>
          <w:bCs w:val="0"/>
        </w:rPr>
        <w:t>投资建议</w:t>
      </w:r>
    </w:p>
    <w:p w14:paraId="23B0CA41" w14:textId="5E5741DD" w:rsidR="007528FA" w:rsidRDefault="007528FA" w:rsidP="007528FA">
      <w:pPr>
        <w:ind w:firstLineChars="200" w:firstLine="560"/>
        <w:rPr>
          <w:rFonts w:ascii="仿宋" w:eastAsia="仿宋" w:hAnsi="仿宋"/>
          <w:sz w:val="28"/>
          <w:szCs w:val="28"/>
        </w:rPr>
      </w:pPr>
      <w:r w:rsidRPr="007528FA">
        <w:rPr>
          <w:rFonts w:ascii="仿宋" w:eastAsia="仿宋" w:hAnsi="仿宋" w:hint="eastAsia"/>
          <w:sz w:val="28"/>
          <w:szCs w:val="28"/>
        </w:rPr>
        <w:t>角膜接触镜行业是一个处于快速成长期的行业，随着人均收入的提高以及社会对防治近视的关注，参考台湾和香港的案例，未来行业还有五倍的增长空间，行业空间巨大。而欧普康视作为行业的龙头，当前国内唯二且最早的生产企业，具备很强的地理优势、先发优势、营销优势和品牌优势，即便是3年后行业内新的竞争者加入，依靠</w:t>
      </w:r>
      <w:r w:rsidR="00C96FCC">
        <w:rPr>
          <w:rFonts w:ascii="仿宋" w:eastAsia="仿宋" w:hAnsi="仿宋" w:hint="eastAsia"/>
          <w:sz w:val="28"/>
          <w:szCs w:val="28"/>
        </w:rPr>
        <w:t>竞争优势</w:t>
      </w:r>
      <w:r w:rsidRPr="007528FA">
        <w:rPr>
          <w:rFonts w:ascii="仿宋" w:eastAsia="仿宋" w:hAnsi="仿宋" w:hint="eastAsia"/>
          <w:sz w:val="28"/>
          <w:szCs w:val="28"/>
        </w:rPr>
        <w:t>有望继续稳稳占据行业龙头的地位，</w:t>
      </w:r>
      <w:r w:rsidRPr="007528FA">
        <w:rPr>
          <w:rFonts w:ascii="仿宋" w:eastAsia="仿宋" w:hAnsi="仿宋" w:hint="eastAsia"/>
          <w:sz w:val="28"/>
          <w:szCs w:val="28"/>
        </w:rPr>
        <w:t>保持3</w:t>
      </w:r>
      <w:r w:rsidRPr="007528FA">
        <w:rPr>
          <w:rFonts w:ascii="仿宋" w:eastAsia="仿宋" w:hAnsi="仿宋"/>
          <w:sz w:val="28"/>
          <w:szCs w:val="28"/>
        </w:rPr>
        <w:t>0%+</w:t>
      </w:r>
      <w:r w:rsidRPr="007528FA">
        <w:rPr>
          <w:rFonts w:ascii="仿宋" w:eastAsia="仿宋" w:hAnsi="仿宋" w:hint="eastAsia"/>
          <w:sz w:val="28"/>
          <w:szCs w:val="28"/>
        </w:rPr>
        <w:t>稳定的市场占有率</w:t>
      </w:r>
      <w:r w:rsidRPr="007528FA">
        <w:rPr>
          <w:rFonts w:ascii="仿宋" w:eastAsia="仿宋" w:hAnsi="仿宋" w:hint="eastAsia"/>
          <w:sz w:val="28"/>
          <w:szCs w:val="28"/>
        </w:rPr>
        <w:t>，使得企业与行业市场空间同步增长。</w:t>
      </w:r>
    </w:p>
    <w:p w14:paraId="1AFFDD8B" w14:textId="4C1F133F" w:rsidR="007528FA" w:rsidRDefault="007528FA" w:rsidP="007528FA">
      <w:pPr>
        <w:ind w:firstLineChars="200" w:firstLine="560"/>
        <w:rPr>
          <w:rFonts w:ascii="仿宋" w:eastAsia="仿宋" w:hAnsi="仿宋"/>
          <w:sz w:val="28"/>
          <w:szCs w:val="28"/>
        </w:rPr>
      </w:pPr>
      <w:r>
        <w:rPr>
          <w:rFonts w:ascii="仿宋" w:eastAsia="仿宋" w:hAnsi="仿宋" w:hint="eastAsia"/>
          <w:sz w:val="28"/>
          <w:szCs w:val="28"/>
        </w:rPr>
        <w:t>但是从企业发展周期来说，随着国家对防止近视的重视，已经放松了对角膜接触镜审批的限制，过去在行业野蛮生长期规制后享受无人竞争的</w:t>
      </w:r>
      <w:r w:rsidR="00F27F5F">
        <w:rPr>
          <w:rFonts w:ascii="仿宋" w:eastAsia="仿宋" w:hAnsi="仿宋" w:hint="eastAsia"/>
          <w:sz w:val="28"/>
          <w:szCs w:val="28"/>
        </w:rPr>
        <w:t>那段独特的</w:t>
      </w:r>
      <w:r>
        <w:rPr>
          <w:rFonts w:ascii="仿宋" w:eastAsia="仿宋" w:hAnsi="仿宋" w:hint="eastAsia"/>
          <w:sz w:val="28"/>
          <w:szCs w:val="28"/>
        </w:rPr>
        <w:t>红利时机已经过去了。从公司营收规模占比的变化都可以看出，公司在努力建设产能、开拓渠道、增加配套产品和服务的收入，说明公司面对未来的不确定性在增加，赚钱的难度也会比过去要大。</w:t>
      </w:r>
      <w:r w:rsidRPr="00F27F5F">
        <w:rPr>
          <w:rFonts w:ascii="仿宋" w:eastAsia="仿宋" w:hAnsi="仿宋" w:hint="eastAsia"/>
          <w:b/>
          <w:bCs/>
          <w:sz w:val="28"/>
          <w:szCs w:val="28"/>
        </w:rPr>
        <w:t>当前的高毛利率和高ROE是前一个辉煌时代的产物，但是面向未来，随着低毛利产品的增加以及运营效率提升的挑战，起码揭</w:t>
      </w:r>
      <w:r w:rsidRPr="00F27F5F">
        <w:rPr>
          <w:rFonts w:ascii="仿宋" w:eastAsia="仿宋" w:hAnsi="仿宋" w:hint="eastAsia"/>
          <w:b/>
          <w:bCs/>
          <w:sz w:val="28"/>
          <w:szCs w:val="28"/>
        </w:rPr>
        <w:lastRenderedPageBreak/>
        <w:t>示了当前市场对其过于乐观的评价</w:t>
      </w:r>
      <w:r w:rsidR="0058624E" w:rsidRPr="00F27F5F">
        <w:rPr>
          <w:rFonts w:ascii="仿宋" w:eastAsia="仿宋" w:hAnsi="仿宋" w:hint="eastAsia"/>
          <w:b/>
          <w:bCs/>
          <w:sz w:val="28"/>
          <w:szCs w:val="28"/>
        </w:rPr>
        <w:t>（高估值）是</w:t>
      </w:r>
      <w:r w:rsidRPr="00F27F5F">
        <w:rPr>
          <w:rFonts w:ascii="仿宋" w:eastAsia="仿宋" w:hAnsi="仿宋" w:hint="eastAsia"/>
          <w:b/>
          <w:bCs/>
          <w:sz w:val="28"/>
          <w:szCs w:val="28"/>
        </w:rPr>
        <w:t>不正确的，那是依赖后视镜去看未来，而且过于美化了。</w:t>
      </w:r>
      <w:r w:rsidR="00CB4A22">
        <w:rPr>
          <w:rFonts w:ascii="仿宋" w:eastAsia="仿宋" w:hAnsi="仿宋" w:hint="eastAsia"/>
          <w:sz w:val="28"/>
          <w:szCs w:val="28"/>
        </w:rPr>
        <w:t>如果市场对公司的估值中枢回归到5</w:t>
      </w:r>
      <w:r w:rsidR="00CB4A22">
        <w:rPr>
          <w:rFonts w:ascii="仿宋" w:eastAsia="仿宋" w:hAnsi="仿宋"/>
          <w:sz w:val="28"/>
          <w:szCs w:val="28"/>
        </w:rPr>
        <w:t>0-60</w:t>
      </w:r>
      <w:r w:rsidR="00CB4A22">
        <w:rPr>
          <w:rFonts w:ascii="仿宋" w:eastAsia="仿宋" w:hAnsi="仿宋" w:hint="eastAsia"/>
          <w:sz w:val="28"/>
          <w:szCs w:val="28"/>
        </w:rPr>
        <w:t>倍左右，那就具备了一定的投资价值，但依照当前的估值已经透支了未来的发展</w:t>
      </w:r>
      <w:r w:rsidR="00710B28">
        <w:rPr>
          <w:rFonts w:ascii="仿宋" w:eastAsia="仿宋" w:hAnsi="仿宋" w:hint="eastAsia"/>
          <w:sz w:val="28"/>
          <w:szCs w:val="28"/>
        </w:rPr>
        <w:t>，需要安静等待回归合理价格</w:t>
      </w:r>
      <w:r w:rsidR="00CB4A22">
        <w:rPr>
          <w:rFonts w:ascii="仿宋" w:eastAsia="仿宋" w:hAnsi="仿宋" w:hint="eastAsia"/>
          <w:sz w:val="28"/>
          <w:szCs w:val="28"/>
        </w:rPr>
        <w:t>。</w:t>
      </w:r>
    </w:p>
    <w:p w14:paraId="4AE5876F" w14:textId="2E6E6101" w:rsidR="00CB4A22" w:rsidRPr="00D47088" w:rsidRDefault="00CB4A22" w:rsidP="007528FA">
      <w:pPr>
        <w:ind w:firstLineChars="200" w:firstLine="562"/>
        <w:rPr>
          <w:rFonts w:ascii="仿宋" w:eastAsia="仿宋" w:hAnsi="仿宋"/>
          <w:b/>
          <w:bCs/>
          <w:sz w:val="28"/>
          <w:szCs w:val="28"/>
        </w:rPr>
      </w:pPr>
      <w:r w:rsidRPr="00D47088">
        <w:rPr>
          <w:rFonts w:ascii="仿宋" w:eastAsia="仿宋" w:hAnsi="仿宋" w:hint="eastAsia"/>
          <w:b/>
          <w:bCs/>
          <w:sz w:val="28"/>
          <w:szCs w:val="28"/>
        </w:rPr>
        <w:t>对公司未来长期需要重点关注的要点：</w:t>
      </w:r>
    </w:p>
    <w:p w14:paraId="5B8C1EA1" w14:textId="736A3053" w:rsidR="00D672C8" w:rsidRDefault="00D672C8" w:rsidP="00D672C8">
      <w:pPr>
        <w:pStyle w:val="ac"/>
        <w:numPr>
          <w:ilvl w:val="0"/>
          <w:numId w:val="6"/>
        </w:numPr>
        <w:ind w:firstLineChars="0"/>
        <w:rPr>
          <w:rFonts w:ascii="仿宋" w:eastAsia="仿宋" w:hAnsi="仿宋"/>
          <w:sz w:val="28"/>
          <w:szCs w:val="28"/>
        </w:rPr>
      </w:pPr>
      <w:r>
        <w:rPr>
          <w:rFonts w:ascii="仿宋" w:eastAsia="仿宋" w:hAnsi="仿宋" w:hint="eastAsia"/>
          <w:sz w:val="28"/>
          <w:szCs w:val="28"/>
        </w:rPr>
        <w:t>关注公司运营效率提升，特别应收账款增长速度、应收账款周转率、存货周转率等</w:t>
      </w:r>
      <w:r w:rsidR="00416135">
        <w:rPr>
          <w:rFonts w:ascii="仿宋" w:eastAsia="仿宋" w:hAnsi="仿宋" w:hint="eastAsia"/>
          <w:sz w:val="28"/>
          <w:szCs w:val="28"/>
        </w:rPr>
        <w:t>；</w:t>
      </w:r>
    </w:p>
    <w:p w14:paraId="4BCCCC20" w14:textId="6C6CDA48" w:rsidR="0078127A" w:rsidRDefault="0078127A" w:rsidP="00D672C8">
      <w:pPr>
        <w:pStyle w:val="ac"/>
        <w:numPr>
          <w:ilvl w:val="0"/>
          <w:numId w:val="6"/>
        </w:numPr>
        <w:ind w:firstLineChars="0"/>
        <w:rPr>
          <w:rFonts w:ascii="仿宋" w:eastAsia="仿宋" w:hAnsi="仿宋"/>
          <w:sz w:val="28"/>
          <w:szCs w:val="28"/>
        </w:rPr>
      </w:pPr>
      <w:r>
        <w:rPr>
          <w:rFonts w:ascii="仿宋" w:eastAsia="仿宋" w:hAnsi="仿宋" w:hint="eastAsia"/>
          <w:sz w:val="28"/>
          <w:szCs w:val="28"/>
        </w:rPr>
        <w:t>公司主力产品角膜塑形镜的销售增长情况，是否可以保持较高的增速（3</w:t>
      </w:r>
      <w:r>
        <w:rPr>
          <w:rFonts w:ascii="仿宋" w:eastAsia="仿宋" w:hAnsi="仿宋"/>
          <w:sz w:val="28"/>
          <w:szCs w:val="28"/>
        </w:rPr>
        <w:t>0%</w:t>
      </w:r>
      <w:r>
        <w:rPr>
          <w:rFonts w:ascii="仿宋" w:eastAsia="仿宋" w:hAnsi="仿宋" w:hint="eastAsia"/>
          <w:sz w:val="28"/>
          <w:szCs w:val="28"/>
        </w:rPr>
        <w:t>左右）</w:t>
      </w:r>
      <w:r w:rsidR="002454C9">
        <w:rPr>
          <w:rFonts w:ascii="仿宋" w:eastAsia="仿宋" w:hAnsi="仿宋" w:hint="eastAsia"/>
          <w:sz w:val="28"/>
          <w:szCs w:val="28"/>
        </w:rPr>
        <w:t>；</w:t>
      </w:r>
    </w:p>
    <w:p w14:paraId="110519D3" w14:textId="6CE09829" w:rsidR="00D672C8" w:rsidRDefault="00E53EE0" w:rsidP="00D672C8">
      <w:pPr>
        <w:pStyle w:val="ac"/>
        <w:numPr>
          <w:ilvl w:val="0"/>
          <w:numId w:val="6"/>
        </w:numPr>
        <w:ind w:firstLineChars="0"/>
        <w:rPr>
          <w:rFonts w:ascii="仿宋" w:eastAsia="仿宋" w:hAnsi="仿宋"/>
          <w:sz w:val="28"/>
          <w:szCs w:val="28"/>
        </w:rPr>
      </w:pPr>
      <w:r>
        <w:rPr>
          <w:rFonts w:ascii="仿宋" w:eastAsia="仿宋" w:hAnsi="仿宋" w:hint="eastAsia"/>
          <w:sz w:val="28"/>
          <w:szCs w:val="28"/>
        </w:rPr>
        <w:t>关注公司产能扩张与销售网络终端下沉的情况，能否将市场从华东区域复制到其他区域</w:t>
      </w:r>
      <w:r w:rsidR="00416135">
        <w:rPr>
          <w:rFonts w:ascii="仿宋" w:eastAsia="仿宋" w:hAnsi="仿宋" w:hint="eastAsia"/>
          <w:sz w:val="28"/>
          <w:szCs w:val="28"/>
        </w:rPr>
        <w:t>；</w:t>
      </w:r>
    </w:p>
    <w:p w14:paraId="31C27AF8" w14:textId="333755BA" w:rsidR="00E53EE0" w:rsidRDefault="00E53EE0" w:rsidP="00D672C8">
      <w:pPr>
        <w:pStyle w:val="ac"/>
        <w:numPr>
          <w:ilvl w:val="0"/>
          <w:numId w:val="6"/>
        </w:numPr>
        <w:ind w:firstLineChars="0"/>
        <w:rPr>
          <w:rFonts w:ascii="仿宋" w:eastAsia="仿宋" w:hAnsi="仿宋"/>
          <w:sz w:val="28"/>
          <w:szCs w:val="28"/>
        </w:rPr>
      </w:pPr>
      <w:r>
        <w:rPr>
          <w:rFonts w:ascii="仿宋" w:eastAsia="仿宋" w:hAnsi="仿宋" w:hint="eastAsia"/>
          <w:sz w:val="28"/>
          <w:szCs w:val="28"/>
        </w:rPr>
        <w:t>关注行业内其他厂家的动态，特别是新增产能的扩张速度有多块</w:t>
      </w:r>
      <w:r w:rsidR="00416135">
        <w:rPr>
          <w:rFonts w:ascii="仿宋" w:eastAsia="仿宋" w:hAnsi="仿宋" w:hint="eastAsia"/>
          <w:sz w:val="28"/>
          <w:szCs w:val="28"/>
        </w:rPr>
        <w:t>；</w:t>
      </w:r>
    </w:p>
    <w:p w14:paraId="734C4DDC" w14:textId="7FE5F00E" w:rsidR="00E53EE0" w:rsidRPr="00D672C8" w:rsidRDefault="00E53EE0" w:rsidP="00D672C8">
      <w:pPr>
        <w:pStyle w:val="ac"/>
        <w:numPr>
          <w:ilvl w:val="0"/>
          <w:numId w:val="6"/>
        </w:numPr>
        <w:ind w:firstLineChars="0"/>
        <w:rPr>
          <w:rFonts w:ascii="仿宋" w:eastAsia="仿宋" w:hAnsi="仿宋" w:hint="eastAsia"/>
          <w:sz w:val="28"/>
          <w:szCs w:val="28"/>
        </w:rPr>
      </w:pPr>
      <w:r>
        <w:rPr>
          <w:rFonts w:ascii="仿宋" w:eastAsia="仿宋" w:hAnsi="仿宋" w:hint="eastAsia"/>
          <w:sz w:val="28"/>
          <w:szCs w:val="28"/>
        </w:rPr>
        <w:t>关注公司是否因为大盘系统性风险或者个股因素，导致的大幅下跌</w:t>
      </w:r>
      <w:r w:rsidR="00416135">
        <w:rPr>
          <w:rFonts w:ascii="仿宋" w:eastAsia="仿宋" w:hAnsi="仿宋" w:hint="eastAsia"/>
          <w:sz w:val="28"/>
          <w:szCs w:val="28"/>
        </w:rPr>
        <w:t>。</w:t>
      </w:r>
    </w:p>
    <w:sectPr w:rsidR="00E53EE0" w:rsidRPr="00D672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AD321" w14:textId="77777777" w:rsidR="009F2686" w:rsidRDefault="009F2686">
      <w:r>
        <w:separator/>
      </w:r>
    </w:p>
  </w:endnote>
  <w:endnote w:type="continuationSeparator" w:id="0">
    <w:p w14:paraId="12225C2B" w14:textId="77777777" w:rsidR="009F2686" w:rsidRDefault="009F2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仿宋">
    <w:altName w:val="方正仿宋_GBK"/>
    <w:panose1 w:val="02010609060101010101"/>
    <w:charset w:val="86"/>
    <w:family w:val="modern"/>
    <w:pitch w:val="fixed"/>
    <w:sig w:usb0="800002BF" w:usb1="38CF7CFA" w:usb2="00000016" w:usb3="00000000" w:csb0="00040001" w:csb1="00000000"/>
  </w:font>
  <w:font w:name="楷体">
    <w:altName w:val="方正楷体_GBK"/>
    <w:panose1 w:val="02010609060101010101"/>
    <w:charset w:val="86"/>
    <w:family w:val="modern"/>
    <w:pitch w:val="fixed"/>
    <w:sig w:usb0="800002BF" w:usb1="38CF7CFA" w:usb2="00000016" w:usb3="00000000" w:csb0="00040001" w:csb1="00000000"/>
  </w:font>
  <w:font w:name="方正楷体_GBK">
    <w:panose1 w:val="02000000000000000000"/>
    <w:charset w:val="86"/>
    <w:family w:val="auto"/>
    <w:pitch w:val="variable"/>
    <w:sig w:usb0="A00002BF" w:usb1="38CF7CFA" w:usb2="00082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ACA99" w14:textId="77777777" w:rsidR="009F2686" w:rsidRDefault="009F2686">
      <w:r>
        <w:separator/>
      </w:r>
    </w:p>
  </w:footnote>
  <w:footnote w:type="continuationSeparator" w:id="0">
    <w:p w14:paraId="6AEA338E" w14:textId="77777777" w:rsidR="009F2686" w:rsidRDefault="009F2686">
      <w:r>
        <w:continuationSeparator/>
      </w:r>
    </w:p>
  </w:footnote>
  <w:footnote w:id="1">
    <w:p w14:paraId="7429F4CC" w14:textId="77777777" w:rsidR="00A52258" w:rsidRDefault="0007513A">
      <w:pPr>
        <w:pStyle w:val="a6"/>
      </w:pPr>
      <w:r>
        <w:rPr>
          <w:rStyle w:val="ab"/>
        </w:rPr>
        <w:footnoteRef/>
      </w:r>
      <w:r>
        <w:t xml:space="preserve"> </w:t>
      </w:r>
      <w:r>
        <w:rPr>
          <w:rFonts w:ascii="仿宋" w:eastAsia="仿宋" w:hAnsi="仿宋"/>
        </w:rPr>
        <w:t>我国眼科专科医院数量从 2013 年的 371 家增长到 2018 年的 761 家，其中民营眼科医院达 709 家，公立眼科医院受各地规划限制几乎没有变化。此外，爱尔眼科、 新视界等民营连锁品牌逐渐崛起，知名度与认可度提升。</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745EDA"/>
    <w:multiLevelType w:val="multilevel"/>
    <w:tmpl w:val="40745EDA"/>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7F00771"/>
    <w:multiLevelType w:val="multilevel"/>
    <w:tmpl w:val="47F0077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48286B3B"/>
    <w:multiLevelType w:val="hybridMultilevel"/>
    <w:tmpl w:val="FD125022"/>
    <w:lvl w:ilvl="0" w:tplc="CDACF222">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15:restartNumberingAfterBreak="0">
    <w:nsid w:val="5D97292F"/>
    <w:multiLevelType w:val="multilevel"/>
    <w:tmpl w:val="5D97292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609A475A"/>
    <w:multiLevelType w:val="multilevel"/>
    <w:tmpl w:val="609A475A"/>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num w:numId="1">
    <w:abstractNumId w:val="0"/>
  </w:num>
  <w:num w:numId="2">
    <w:abstractNumId w:val="1"/>
  </w:num>
  <w:num w:numId="3">
    <w:abstractNumId w:val="3"/>
  </w:num>
  <w:num w:numId="4">
    <w:abstractNumId w:val="4"/>
  </w:num>
  <w:num w:numId="5">
    <w:abstractNumId w:val="3"/>
    <w:lvlOverride w:ilvl="0">
      <w:lvl w:ilvl="0" w:tentative="1">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tentative="1">
        <w:start w:val="1"/>
        <w:numFmt w:val="decimal"/>
        <w:lvlText w:val="%1.%2.%3.%4."/>
        <w:lvlJc w:val="left"/>
        <w:pPr>
          <w:ind w:left="851" w:hanging="851"/>
        </w:pPr>
        <w:rPr>
          <w:rFonts w:hint="eastAsia"/>
        </w:rPr>
      </w:lvl>
    </w:lvlOverride>
    <w:lvlOverride w:ilvl="4">
      <w:lvl w:ilvl="4" w:tentative="1">
        <w:start w:val="1"/>
        <w:numFmt w:val="decimal"/>
        <w:lvlText w:val="%1.%2.%3.%4.%5."/>
        <w:lvlJc w:val="left"/>
        <w:pPr>
          <w:ind w:left="992" w:hanging="992"/>
        </w:pPr>
        <w:rPr>
          <w:rFonts w:hint="eastAsia"/>
        </w:rPr>
      </w:lvl>
    </w:lvlOverride>
    <w:lvlOverride w:ilvl="5">
      <w:lvl w:ilvl="5" w:tentative="1">
        <w:start w:val="1"/>
        <w:numFmt w:val="decimal"/>
        <w:lvlText w:val="%1.%2.%3.%4.%5.%6."/>
        <w:lvlJc w:val="left"/>
        <w:pPr>
          <w:ind w:left="1134" w:hanging="1134"/>
        </w:pPr>
        <w:rPr>
          <w:rFonts w:hint="eastAsia"/>
        </w:rPr>
      </w:lvl>
    </w:lvlOverride>
    <w:lvlOverride w:ilvl="6">
      <w:lvl w:ilvl="6" w:tentative="1">
        <w:start w:val="1"/>
        <w:numFmt w:val="decimal"/>
        <w:lvlText w:val="%1.%2.%3.%4.%5.%6.%7."/>
        <w:lvlJc w:val="left"/>
        <w:pPr>
          <w:ind w:left="1276" w:hanging="1276"/>
        </w:pPr>
        <w:rPr>
          <w:rFonts w:hint="eastAsia"/>
        </w:rPr>
      </w:lvl>
    </w:lvlOverride>
    <w:lvlOverride w:ilvl="7">
      <w:lvl w:ilvl="7" w:tentative="1">
        <w:start w:val="1"/>
        <w:numFmt w:val="decimal"/>
        <w:lvlText w:val="%1.%2.%3.%4.%5.%6.%7.%8."/>
        <w:lvlJc w:val="left"/>
        <w:pPr>
          <w:ind w:left="1418" w:hanging="1418"/>
        </w:pPr>
        <w:rPr>
          <w:rFonts w:hint="eastAsia"/>
        </w:rPr>
      </w:lvl>
    </w:lvlOverride>
    <w:lvlOverride w:ilvl="8">
      <w:lvl w:ilvl="8" w:tentative="1">
        <w:start w:val="1"/>
        <w:numFmt w:val="decimal"/>
        <w:lvlText w:val="%1.%2.%3.%4.%5.%6.%7.%8.%9."/>
        <w:lvlJc w:val="left"/>
        <w:pPr>
          <w:ind w:left="1559" w:hanging="1559"/>
        </w:pPr>
        <w:rPr>
          <w:rFonts w:hint="eastAsia"/>
        </w:rPr>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7EB"/>
    <w:rsid w:val="A7DFA7A8"/>
    <w:rsid w:val="D7789DF4"/>
    <w:rsid w:val="DF74F9F9"/>
    <w:rsid w:val="E5DFC82F"/>
    <w:rsid w:val="F1FFA9D6"/>
    <w:rsid w:val="F5EE178D"/>
    <w:rsid w:val="000117A4"/>
    <w:rsid w:val="00012F3E"/>
    <w:rsid w:val="00031D27"/>
    <w:rsid w:val="0004107B"/>
    <w:rsid w:val="00043E0A"/>
    <w:rsid w:val="000622B0"/>
    <w:rsid w:val="0007513A"/>
    <w:rsid w:val="0009000F"/>
    <w:rsid w:val="000B5FB0"/>
    <w:rsid w:val="000B7DC0"/>
    <w:rsid w:val="000D322B"/>
    <w:rsid w:val="000D45AD"/>
    <w:rsid w:val="000D7021"/>
    <w:rsid w:val="000E713F"/>
    <w:rsid w:val="000F22CD"/>
    <w:rsid w:val="000F6FB1"/>
    <w:rsid w:val="00110784"/>
    <w:rsid w:val="00114033"/>
    <w:rsid w:val="00131F50"/>
    <w:rsid w:val="0013610C"/>
    <w:rsid w:val="0014006E"/>
    <w:rsid w:val="00146FBA"/>
    <w:rsid w:val="001548B6"/>
    <w:rsid w:val="001616C3"/>
    <w:rsid w:val="001636C5"/>
    <w:rsid w:val="001A4783"/>
    <w:rsid w:val="001B3D7A"/>
    <w:rsid w:val="001B767A"/>
    <w:rsid w:val="001D65A4"/>
    <w:rsid w:val="001E6DE0"/>
    <w:rsid w:val="001F56DB"/>
    <w:rsid w:val="00213EE9"/>
    <w:rsid w:val="00216DA2"/>
    <w:rsid w:val="00225000"/>
    <w:rsid w:val="002258C0"/>
    <w:rsid w:val="002370A5"/>
    <w:rsid w:val="002454C9"/>
    <w:rsid w:val="002628F8"/>
    <w:rsid w:val="00267C62"/>
    <w:rsid w:val="00271A2B"/>
    <w:rsid w:val="0028592C"/>
    <w:rsid w:val="002A0B76"/>
    <w:rsid w:val="002A0D04"/>
    <w:rsid w:val="002C3035"/>
    <w:rsid w:val="002E0BA7"/>
    <w:rsid w:val="002F56D4"/>
    <w:rsid w:val="002F67F3"/>
    <w:rsid w:val="00321280"/>
    <w:rsid w:val="00322264"/>
    <w:rsid w:val="003325D5"/>
    <w:rsid w:val="00340CC5"/>
    <w:rsid w:val="003423D0"/>
    <w:rsid w:val="003663E7"/>
    <w:rsid w:val="0038526F"/>
    <w:rsid w:val="0038697A"/>
    <w:rsid w:val="003932B4"/>
    <w:rsid w:val="003947EB"/>
    <w:rsid w:val="003A4F6C"/>
    <w:rsid w:val="003B0DDD"/>
    <w:rsid w:val="003D5FC0"/>
    <w:rsid w:val="003E1680"/>
    <w:rsid w:val="003E50DF"/>
    <w:rsid w:val="003F0492"/>
    <w:rsid w:val="003F0ED2"/>
    <w:rsid w:val="003F7B46"/>
    <w:rsid w:val="0040173F"/>
    <w:rsid w:val="00407590"/>
    <w:rsid w:val="00411231"/>
    <w:rsid w:val="00416135"/>
    <w:rsid w:val="00431066"/>
    <w:rsid w:val="00436373"/>
    <w:rsid w:val="00446CC8"/>
    <w:rsid w:val="00455574"/>
    <w:rsid w:val="004670C7"/>
    <w:rsid w:val="00472415"/>
    <w:rsid w:val="00473573"/>
    <w:rsid w:val="00481681"/>
    <w:rsid w:val="004862C2"/>
    <w:rsid w:val="004A49FE"/>
    <w:rsid w:val="004A588D"/>
    <w:rsid w:val="004C7385"/>
    <w:rsid w:val="004E338A"/>
    <w:rsid w:val="004F12EC"/>
    <w:rsid w:val="00502C33"/>
    <w:rsid w:val="005056DB"/>
    <w:rsid w:val="00517163"/>
    <w:rsid w:val="00534D6A"/>
    <w:rsid w:val="00537043"/>
    <w:rsid w:val="005451B2"/>
    <w:rsid w:val="0056691A"/>
    <w:rsid w:val="0058000F"/>
    <w:rsid w:val="00585B5D"/>
    <w:rsid w:val="0058624E"/>
    <w:rsid w:val="005919FC"/>
    <w:rsid w:val="005A19DF"/>
    <w:rsid w:val="005A73DF"/>
    <w:rsid w:val="005B76EC"/>
    <w:rsid w:val="005C168F"/>
    <w:rsid w:val="005C312E"/>
    <w:rsid w:val="005C4B08"/>
    <w:rsid w:val="005E24A2"/>
    <w:rsid w:val="00601686"/>
    <w:rsid w:val="006101B3"/>
    <w:rsid w:val="006233C1"/>
    <w:rsid w:val="006235E2"/>
    <w:rsid w:val="0063691E"/>
    <w:rsid w:val="0065097F"/>
    <w:rsid w:val="00653767"/>
    <w:rsid w:val="0066448B"/>
    <w:rsid w:val="0067091F"/>
    <w:rsid w:val="00671985"/>
    <w:rsid w:val="006858D4"/>
    <w:rsid w:val="006861DF"/>
    <w:rsid w:val="006876A8"/>
    <w:rsid w:val="006A45A8"/>
    <w:rsid w:val="006B090B"/>
    <w:rsid w:val="00710B28"/>
    <w:rsid w:val="00713B1D"/>
    <w:rsid w:val="007245A2"/>
    <w:rsid w:val="00724970"/>
    <w:rsid w:val="007317A4"/>
    <w:rsid w:val="0074296C"/>
    <w:rsid w:val="007528FA"/>
    <w:rsid w:val="007661C3"/>
    <w:rsid w:val="00766517"/>
    <w:rsid w:val="00772D7E"/>
    <w:rsid w:val="007737F0"/>
    <w:rsid w:val="0078127A"/>
    <w:rsid w:val="007A5EA6"/>
    <w:rsid w:val="007C3D15"/>
    <w:rsid w:val="007D2CA0"/>
    <w:rsid w:val="007F2A8C"/>
    <w:rsid w:val="007F3184"/>
    <w:rsid w:val="007F3F23"/>
    <w:rsid w:val="007F4776"/>
    <w:rsid w:val="007F6F2F"/>
    <w:rsid w:val="008033BE"/>
    <w:rsid w:val="00804437"/>
    <w:rsid w:val="00806592"/>
    <w:rsid w:val="00821CFC"/>
    <w:rsid w:val="0082307A"/>
    <w:rsid w:val="00825EF5"/>
    <w:rsid w:val="00840740"/>
    <w:rsid w:val="00870040"/>
    <w:rsid w:val="00886695"/>
    <w:rsid w:val="008931F7"/>
    <w:rsid w:val="008942E7"/>
    <w:rsid w:val="008B72F5"/>
    <w:rsid w:val="008C573E"/>
    <w:rsid w:val="008D5D74"/>
    <w:rsid w:val="008E304A"/>
    <w:rsid w:val="008E3CC9"/>
    <w:rsid w:val="008F5451"/>
    <w:rsid w:val="00906079"/>
    <w:rsid w:val="0090699E"/>
    <w:rsid w:val="009137A9"/>
    <w:rsid w:val="0091474C"/>
    <w:rsid w:val="00914DC0"/>
    <w:rsid w:val="009174E3"/>
    <w:rsid w:val="00922654"/>
    <w:rsid w:val="00943C76"/>
    <w:rsid w:val="00953D49"/>
    <w:rsid w:val="0095654D"/>
    <w:rsid w:val="00983226"/>
    <w:rsid w:val="009A731B"/>
    <w:rsid w:val="009B027E"/>
    <w:rsid w:val="009B3AD4"/>
    <w:rsid w:val="009B3B6D"/>
    <w:rsid w:val="009B490B"/>
    <w:rsid w:val="009B7535"/>
    <w:rsid w:val="009C5470"/>
    <w:rsid w:val="009D69B7"/>
    <w:rsid w:val="009E205D"/>
    <w:rsid w:val="009F2686"/>
    <w:rsid w:val="00A020CC"/>
    <w:rsid w:val="00A03F6F"/>
    <w:rsid w:val="00A32523"/>
    <w:rsid w:val="00A356A8"/>
    <w:rsid w:val="00A364B8"/>
    <w:rsid w:val="00A36774"/>
    <w:rsid w:val="00A434F0"/>
    <w:rsid w:val="00A52258"/>
    <w:rsid w:val="00A52A06"/>
    <w:rsid w:val="00A57B72"/>
    <w:rsid w:val="00A91AC2"/>
    <w:rsid w:val="00A92C05"/>
    <w:rsid w:val="00A96133"/>
    <w:rsid w:val="00AB08D8"/>
    <w:rsid w:val="00AD482A"/>
    <w:rsid w:val="00AE69A9"/>
    <w:rsid w:val="00AF63C2"/>
    <w:rsid w:val="00B14D63"/>
    <w:rsid w:val="00B16825"/>
    <w:rsid w:val="00B2783B"/>
    <w:rsid w:val="00B32DA4"/>
    <w:rsid w:val="00B41471"/>
    <w:rsid w:val="00B44F4D"/>
    <w:rsid w:val="00B84BEF"/>
    <w:rsid w:val="00B86B4F"/>
    <w:rsid w:val="00BA4C86"/>
    <w:rsid w:val="00BA51B6"/>
    <w:rsid w:val="00BB7AB3"/>
    <w:rsid w:val="00BC7E11"/>
    <w:rsid w:val="00BD2E7D"/>
    <w:rsid w:val="00BF5BDF"/>
    <w:rsid w:val="00C24DF0"/>
    <w:rsid w:val="00C46464"/>
    <w:rsid w:val="00C60E17"/>
    <w:rsid w:val="00C71151"/>
    <w:rsid w:val="00C74475"/>
    <w:rsid w:val="00C93A84"/>
    <w:rsid w:val="00C96FCC"/>
    <w:rsid w:val="00CA613D"/>
    <w:rsid w:val="00CA78E3"/>
    <w:rsid w:val="00CB4A22"/>
    <w:rsid w:val="00CE36B7"/>
    <w:rsid w:val="00D042E1"/>
    <w:rsid w:val="00D2216E"/>
    <w:rsid w:val="00D22E5F"/>
    <w:rsid w:val="00D27AE2"/>
    <w:rsid w:val="00D33CEC"/>
    <w:rsid w:val="00D34573"/>
    <w:rsid w:val="00D43815"/>
    <w:rsid w:val="00D47088"/>
    <w:rsid w:val="00D57EC5"/>
    <w:rsid w:val="00D672C8"/>
    <w:rsid w:val="00D7571D"/>
    <w:rsid w:val="00D86131"/>
    <w:rsid w:val="00D97295"/>
    <w:rsid w:val="00DB48FE"/>
    <w:rsid w:val="00DD2AA5"/>
    <w:rsid w:val="00DE11F8"/>
    <w:rsid w:val="00DF0081"/>
    <w:rsid w:val="00E05678"/>
    <w:rsid w:val="00E16529"/>
    <w:rsid w:val="00E53EE0"/>
    <w:rsid w:val="00E5658D"/>
    <w:rsid w:val="00E57438"/>
    <w:rsid w:val="00E63844"/>
    <w:rsid w:val="00E65074"/>
    <w:rsid w:val="00E73372"/>
    <w:rsid w:val="00E759BA"/>
    <w:rsid w:val="00EA0D3E"/>
    <w:rsid w:val="00EB12DF"/>
    <w:rsid w:val="00EB1438"/>
    <w:rsid w:val="00ED2D8B"/>
    <w:rsid w:val="00EE4AB8"/>
    <w:rsid w:val="00F0039E"/>
    <w:rsid w:val="00F02DDA"/>
    <w:rsid w:val="00F1567D"/>
    <w:rsid w:val="00F27F5F"/>
    <w:rsid w:val="00F55AB6"/>
    <w:rsid w:val="00F65478"/>
    <w:rsid w:val="00F93995"/>
    <w:rsid w:val="00F94235"/>
    <w:rsid w:val="00F95D54"/>
    <w:rsid w:val="00FA0EB8"/>
    <w:rsid w:val="00FA0F8E"/>
    <w:rsid w:val="00FA1E75"/>
    <w:rsid w:val="00FA2DCD"/>
    <w:rsid w:val="00FB0207"/>
    <w:rsid w:val="00FB72BA"/>
    <w:rsid w:val="00FB76C8"/>
    <w:rsid w:val="00FC1609"/>
    <w:rsid w:val="00FC1A64"/>
    <w:rsid w:val="00FC59DB"/>
    <w:rsid w:val="00FE0D3D"/>
    <w:rsid w:val="00FF143A"/>
    <w:rsid w:val="00FF3D28"/>
    <w:rsid w:val="3DBC817D"/>
    <w:rsid w:val="5DFF6A32"/>
    <w:rsid w:val="5FEF593D"/>
    <w:rsid w:val="6FDF0E90"/>
    <w:rsid w:val="7FF7B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89A6"/>
  <w15:docId w15:val="{B5F1976D-543E-4666-9AD4-B066BA078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ate"/>
    <w:basedOn w:val="a"/>
    <w:next w:val="a"/>
    <w:link w:val="a5"/>
    <w:uiPriority w:val="99"/>
    <w:semiHidden/>
    <w:unhideWhenUsed/>
    <w:qFormat/>
    <w:pPr>
      <w:ind w:leftChars="2500" w:left="100"/>
    </w:pPr>
  </w:style>
  <w:style w:type="paragraph" w:styleId="a6">
    <w:name w:val="footnote text"/>
    <w:basedOn w:val="a"/>
    <w:link w:val="a7"/>
    <w:uiPriority w:val="99"/>
    <w:semiHidden/>
    <w:unhideWhenUsed/>
    <w:qFormat/>
    <w:pPr>
      <w:snapToGrid w:val="0"/>
      <w:jc w:val="left"/>
    </w:pPr>
    <w:rPr>
      <w:sz w:val="18"/>
      <w:szCs w:val="18"/>
    </w:rPr>
  </w:style>
  <w:style w:type="paragraph" w:styleId="a8">
    <w:name w:val="Normal (Web)"/>
    <w:basedOn w:val="a"/>
    <w:uiPriority w:val="99"/>
    <w:semiHidden/>
    <w:unhideWhenUsed/>
    <w:pPr>
      <w:spacing w:beforeAutospacing="1" w:afterAutospacing="1"/>
      <w:jc w:val="left"/>
    </w:pPr>
    <w:rPr>
      <w:rFonts w:cs="Times New Roman"/>
      <w:kern w:val="0"/>
      <w:sz w:val="24"/>
    </w:rPr>
  </w:style>
  <w:style w:type="character" w:styleId="a9">
    <w:name w:val="Emphasis"/>
    <w:basedOn w:val="a0"/>
    <w:uiPriority w:val="20"/>
    <w:qFormat/>
    <w:rPr>
      <w:i/>
    </w:rPr>
  </w:style>
  <w:style w:type="character" w:styleId="aa">
    <w:name w:val="Hyperlink"/>
    <w:basedOn w:val="a0"/>
    <w:uiPriority w:val="99"/>
    <w:semiHidden/>
    <w:unhideWhenUsed/>
    <w:rPr>
      <w:color w:val="0000FF"/>
      <w:u w:val="single"/>
    </w:rPr>
  </w:style>
  <w:style w:type="character" w:styleId="ab">
    <w:name w:val="footnote reference"/>
    <w:basedOn w:val="a0"/>
    <w:uiPriority w:val="99"/>
    <w:semiHidden/>
    <w:unhideWhenUsed/>
    <w:qFormat/>
    <w:rPr>
      <w:vertAlign w:val="superscript"/>
    </w:rPr>
  </w:style>
  <w:style w:type="character" w:customStyle="1" w:styleId="10">
    <w:name w:val="标题 1 字符"/>
    <w:basedOn w:val="a0"/>
    <w:link w:val="1"/>
    <w:uiPriority w:val="9"/>
    <w:rPr>
      <w:b/>
      <w:bCs/>
      <w:kern w:val="44"/>
      <w:sz w:val="44"/>
      <w:szCs w:val="44"/>
    </w:rPr>
  </w:style>
  <w:style w:type="character" w:customStyle="1" w:styleId="a5">
    <w:name w:val="日期 字符"/>
    <w:basedOn w:val="a0"/>
    <w:link w:val="a4"/>
    <w:uiPriority w:val="99"/>
    <w:semiHidden/>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7">
    <w:name w:val="脚注文本 字符"/>
    <w:basedOn w:val="a0"/>
    <w:link w:val="a6"/>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544">
      <w:bodyDiv w:val="1"/>
      <w:marLeft w:val="0"/>
      <w:marRight w:val="0"/>
      <w:marTop w:val="0"/>
      <w:marBottom w:val="0"/>
      <w:divBdr>
        <w:top w:val="none" w:sz="0" w:space="0" w:color="auto"/>
        <w:left w:val="none" w:sz="0" w:space="0" w:color="auto"/>
        <w:bottom w:val="none" w:sz="0" w:space="0" w:color="auto"/>
        <w:right w:val="none" w:sz="0" w:space="0" w:color="auto"/>
      </w:divBdr>
    </w:div>
    <w:div w:id="710418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chart" Target="charts/chart4.xml"/><Relationship Id="rId36" Type="http://schemas.openxmlformats.org/officeDocument/2006/relationships/hyperlink" Target="http://summary.jrj.com.cn/dzj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D:\&#25237;&#36164;\&#21307;&#30103;&#34892;&#19994;\&#27431;&#26222;&#24247;&#35270;\&#27431;&#26222;&#24247;&#35270;&#20272;&#20540;&#20998;&#26512;&#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5237;&#36164;\&#21307;&#30103;&#34892;&#19994;\&#27431;&#26222;&#24247;&#35270;\&#27431;&#26222;&#24247;&#35270;&#20272;&#20540;&#20998;&#26512;&#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5237;&#36164;\&#21307;&#30103;&#34892;&#19994;\&#27431;&#26222;&#24247;&#35270;\&#27431;&#26222;&#24247;&#35270;&#20272;&#20540;&#20998;&#26512;&#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5237;&#36164;\&#21307;&#30103;&#34892;&#19994;\&#27431;&#26222;&#24247;&#35270;\&#27431;&#26222;&#24247;&#35270;&#20272;&#20540;&#20998;&#26512;&#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5237;&#36164;\&#21307;&#30103;&#34892;&#19994;\&#27431;&#26222;&#24247;&#35270;\&#27431;&#26222;&#24247;&#35270;&#20272;&#20540;&#20998;&#26512;&#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5237;&#36164;\&#21307;&#30103;&#34892;&#19994;\&#27431;&#26222;&#24247;&#35270;\&#27431;&#26222;&#24247;&#35270;&#20272;&#20540;&#20998;&#26512;&#3492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营业收入组成分析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1"/>
          <c:order val="0"/>
          <c:tx>
            <c:strRef>
              <c:f>营收分析表!$A$3</c:f>
              <c:strCache>
                <c:ptCount val="1"/>
                <c:pt idx="0">
                  <c:v>角膜塑形镜</c:v>
                </c:pt>
              </c:strCache>
            </c:strRef>
          </c:tx>
          <c:spPr>
            <a:solidFill>
              <a:schemeClr val="accent2"/>
            </a:solidFill>
            <a:ln>
              <a:noFill/>
            </a:ln>
            <a:effectLst/>
          </c:spPr>
          <c:invertIfNegative val="0"/>
          <c:cat>
            <c:numRef>
              <c:f>营收分析表!$B$1:$J$1</c:f>
              <c:numCache>
                <c:formatCode>General</c:formatCode>
                <c:ptCount val="6"/>
                <c:pt idx="0">
                  <c:v>2015</c:v>
                </c:pt>
                <c:pt idx="1">
                  <c:v>2016</c:v>
                </c:pt>
                <c:pt idx="2">
                  <c:v>2017</c:v>
                </c:pt>
                <c:pt idx="3">
                  <c:v>2018</c:v>
                </c:pt>
                <c:pt idx="4">
                  <c:v>2019</c:v>
                </c:pt>
                <c:pt idx="5">
                  <c:v>2020</c:v>
                </c:pt>
              </c:numCache>
            </c:numRef>
          </c:cat>
          <c:val>
            <c:numRef>
              <c:f>营收分析表!$B$3:$J$3</c:f>
              <c:numCache>
                <c:formatCode>0.00_);[Red]\(0.00\)</c:formatCode>
                <c:ptCount val="6"/>
                <c:pt idx="0">
                  <c:v>1.32</c:v>
                </c:pt>
                <c:pt idx="1">
                  <c:v>1.75</c:v>
                </c:pt>
                <c:pt idx="2">
                  <c:v>2.21</c:v>
                </c:pt>
                <c:pt idx="3">
                  <c:v>3.1</c:v>
                </c:pt>
                <c:pt idx="4">
                  <c:v>4.37</c:v>
                </c:pt>
                <c:pt idx="5">
                  <c:v>5.22</c:v>
                </c:pt>
              </c:numCache>
            </c:numRef>
          </c:val>
          <c:extLst>
            <c:ext xmlns:c16="http://schemas.microsoft.com/office/drawing/2014/chart" uri="{C3380CC4-5D6E-409C-BE32-E72D297353CC}">
              <c16:uniqueId val="{00000000-5D1A-4807-9740-603D6465A118}"/>
            </c:ext>
          </c:extLst>
        </c:ser>
        <c:ser>
          <c:idx val="2"/>
          <c:order val="1"/>
          <c:tx>
            <c:strRef>
              <c:f>营收分析表!$A$4</c:f>
              <c:strCache>
                <c:ptCount val="1"/>
                <c:pt idx="0">
                  <c:v>护理产品</c:v>
                </c:pt>
              </c:strCache>
            </c:strRef>
          </c:tx>
          <c:spPr>
            <a:solidFill>
              <a:schemeClr val="accent3"/>
            </a:solidFill>
            <a:ln>
              <a:noFill/>
            </a:ln>
            <a:effectLst/>
          </c:spPr>
          <c:invertIfNegative val="0"/>
          <c:cat>
            <c:numRef>
              <c:f>营收分析表!$B$1:$J$1</c:f>
              <c:numCache>
                <c:formatCode>General</c:formatCode>
                <c:ptCount val="6"/>
                <c:pt idx="0">
                  <c:v>2015</c:v>
                </c:pt>
                <c:pt idx="1">
                  <c:v>2016</c:v>
                </c:pt>
                <c:pt idx="2">
                  <c:v>2017</c:v>
                </c:pt>
                <c:pt idx="3">
                  <c:v>2018</c:v>
                </c:pt>
                <c:pt idx="4">
                  <c:v>2019</c:v>
                </c:pt>
                <c:pt idx="5">
                  <c:v>2020</c:v>
                </c:pt>
              </c:numCache>
            </c:numRef>
          </c:cat>
          <c:val>
            <c:numRef>
              <c:f>营收分析表!$B$4:$J$4</c:f>
              <c:numCache>
                <c:formatCode>0.00_);[Red]\(0.00\)</c:formatCode>
                <c:ptCount val="6"/>
                <c:pt idx="0">
                  <c:v>0.31</c:v>
                </c:pt>
                <c:pt idx="1">
                  <c:v>0.45</c:v>
                </c:pt>
                <c:pt idx="2">
                  <c:v>0.68</c:v>
                </c:pt>
                <c:pt idx="3">
                  <c:v>0.83</c:v>
                </c:pt>
                <c:pt idx="4">
                  <c:v>1.07</c:v>
                </c:pt>
                <c:pt idx="5">
                  <c:v>1.55</c:v>
                </c:pt>
              </c:numCache>
            </c:numRef>
          </c:val>
          <c:extLst>
            <c:ext xmlns:c16="http://schemas.microsoft.com/office/drawing/2014/chart" uri="{C3380CC4-5D6E-409C-BE32-E72D297353CC}">
              <c16:uniqueId val="{00000001-5D1A-4807-9740-603D6465A118}"/>
            </c:ext>
          </c:extLst>
        </c:ser>
        <c:ser>
          <c:idx val="3"/>
          <c:order val="2"/>
          <c:tx>
            <c:strRef>
              <c:f>营收分析表!$A$5</c:f>
              <c:strCache>
                <c:ptCount val="1"/>
                <c:pt idx="0">
                  <c:v>普通框架镜销售及其他</c:v>
                </c:pt>
              </c:strCache>
            </c:strRef>
          </c:tx>
          <c:spPr>
            <a:solidFill>
              <a:schemeClr val="accent4"/>
            </a:solidFill>
            <a:ln>
              <a:noFill/>
            </a:ln>
            <a:effectLst/>
          </c:spPr>
          <c:invertIfNegative val="0"/>
          <c:cat>
            <c:numRef>
              <c:f>营收分析表!$B$1:$J$1</c:f>
              <c:numCache>
                <c:formatCode>General</c:formatCode>
                <c:ptCount val="6"/>
                <c:pt idx="0">
                  <c:v>2015</c:v>
                </c:pt>
                <c:pt idx="1">
                  <c:v>2016</c:v>
                </c:pt>
                <c:pt idx="2">
                  <c:v>2017</c:v>
                </c:pt>
                <c:pt idx="3">
                  <c:v>2018</c:v>
                </c:pt>
                <c:pt idx="4">
                  <c:v>2019</c:v>
                </c:pt>
                <c:pt idx="5">
                  <c:v>2020</c:v>
                </c:pt>
              </c:numCache>
            </c:numRef>
          </c:cat>
          <c:val>
            <c:numRef>
              <c:f>营收分析表!$B$5:$J$5</c:f>
              <c:numCache>
                <c:formatCode>0.00_);[Red]\(0.00\)</c:formatCode>
                <c:ptCount val="6"/>
                <c:pt idx="0">
                  <c:v>7.0000000000000007E-2</c:v>
                </c:pt>
                <c:pt idx="1">
                  <c:v>0.08</c:v>
                </c:pt>
                <c:pt idx="2">
                  <c:v>0.14000000000000001</c:v>
                </c:pt>
                <c:pt idx="3">
                  <c:v>0.55000000000000004</c:v>
                </c:pt>
                <c:pt idx="4">
                  <c:v>0.85</c:v>
                </c:pt>
                <c:pt idx="5">
                  <c:v>1.06</c:v>
                </c:pt>
              </c:numCache>
            </c:numRef>
          </c:val>
          <c:extLst>
            <c:ext xmlns:c16="http://schemas.microsoft.com/office/drawing/2014/chart" uri="{C3380CC4-5D6E-409C-BE32-E72D297353CC}">
              <c16:uniqueId val="{00000002-5D1A-4807-9740-603D6465A118}"/>
            </c:ext>
          </c:extLst>
        </c:ser>
        <c:ser>
          <c:idx val="4"/>
          <c:order val="3"/>
          <c:tx>
            <c:strRef>
              <c:f>营收分析表!$A$6</c:f>
              <c:strCache>
                <c:ptCount val="1"/>
                <c:pt idx="0">
                  <c:v>普通角膜接触镜(日戴维)</c:v>
                </c:pt>
              </c:strCache>
            </c:strRef>
          </c:tx>
          <c:spPr>
            <a:solidFill>
              <a:schemeClr val="accent5"/>
            </a:solidFill>
            <a:ln>
              <a:noFill/>
            </a:ln>
            <a:effectLst/>
          </c:spPr>
          <c:invertIfNegative val="0"/>
          <c:cat>
            <c:numRef>
              <c:f>营收分析表!$B$1:$J$1</c:f>
              <c:numCache>
                <c:formatCode>General</c:formatCode>
                <c:ptCount val="6"/>
                <c:pt idx="0">
                  <c:v>2015</c:v>
                </c:pt>
                <c:pt idx="1">
                  <c:v>2016</c:v>
                </c:pt>
                <c:pt idx="2">
                  <c:v>2017</c:v>
                </c:pt>
                <c:pt idx="3">
                  <c:v>2018</c:v>
                </c:pt>
                <c:pt idx="4">
                  <c:v>2019</c:v>
                </c:pt>
                <c:pt idx="5">
                  <c:v>2020</c:v>
                </c:pt>
              </c:numCache>
            </c:numRef>
          </c:cat>
          <c:val>
            <c:numRef>
              <c:f>营收分析表!$B$6:$J$6</c:f>
              <c:numCache>
                <c:formatCode>0.00_);[Red]\(0.00\)</c:formatCode>
                <c:ptCount val="6"/>
                <c:pt idx="0">
                  <c:v>0.05</c:v>
                </c:pt>
                <c:pt idx="1">
                  <c:v>7.0000000000000007E-2</c:v>
                </c:pt>
                <c:pt idx="2">
                  <c:v>0.08</c:v>
                </c:pt>
                <c:pt idx="3">
                  <c:v>0.09</c:v>
                </c:pt>
                <c:pt idx="4">
                  <c:v>0.15</c:v>
                </c:pt>
                <c:pt idx="5">
                  <c:v>0.2</c:v>
                </c:pt>
              </c:numCache>
            </c:numRef>
          </c:val>
          <c:extLst>
            <c:ext xmlns:c16="http://schemas.microsoft.com/office/drawing/2014/chart" uri="{C3380CC4-5D6E-409C-BE32-E72D297353CC}">
              <c16:uniqueId val="{00000003-5D1A-4807-9740-603D6465A118}"/>
            </c:ext>
          </c:extLst>
        </c:ser>
        <c:ser>
          <c:idx val="5"/>
          <c:order val="4"/>
          <c:tx>
            <c:strRef>
              <c:f>营收分析表!$A$7</c:f>
              <c:strCache>
                <c:ptCount val="1"/>
                <c:pt idx="0">
                  <c:v>医疗服务</c:v>
                </c:pt>
              </c:strCache>
            </c:strRef>
          </c:tx>
          <c:spPr>
            <a:solidFill>
              <a:schemeClr val="accent6"/>
            </a:solidFill>
            <a:ln>
              <a:noFill/>
            </a:ln>
            <a:effectLst/>
          </c:spPr>
          <c:invertIfNegative val="0"/>
          <c:cat>
            <c:numRef>
              <c:f>营收分析表!$B$1:$J$1</c:f>
              <c:numCache>
                <c:formatCode>General</c:formatCode>
                <c:ptCount val="6"/>
                <c:pt idx="0">
                  <c:v>2015</c:v>
                </c:pt>
                <c:pt idx="1">
                  <c:v>2016</c:v>
                </c:pt>
                <c:pt idx="2">
                  <c:v>2017</c:v>
                </c:pt>
                <c:pt idx="3">
                  <c:v>2018</c:v>
                </c:pt>
                <c:pt idx="4">
                  <c:v>2019</c:v>
                </c:pt>
                <c:pt idx="5">
                  <c:v>2020</c:v>
                </c:pt>
              </c:numCache>
            </c:numRef>
          </c:cat>
          <c:val>
            <c:numRef>
              <c:f>营收分析表!$B$7:$J$7</c:f>
              <c:numCache>
                <c:formatCode>_(* #,##0.00_);_(* \(#,##0.00\);_(* "-"??_);_(@_)</c:formatCode>
                <c:ptCount val="6"/>
                <c:pt idx="0">
                  <c:v>0</c:v>
                </c:pt>
                <c:pt idx="1">
                  <c:v>0</c:v>
                </c:pt>
                <c:pt idx="2">
                  <c:v>0</c:v>
                </c:pt>
                <c:pt idx="3">
                  <c:v>0</c:v>
                </c:pt>
                <c:pt idx="4">
                  <c:v>0</c:v>
                </c:pt>
                <c:pt idx="5" formatCode="0.00_);[Red]\(0.00\)">
                  <c:v>0.63</c:v>
                </c:pt>
              </c:numCache>
            </c:numRef>
          </c:val>
          <c:extLst>
            <c:ext xmlns:c16="http://schemas.microsoft.com/office/drawing/2014/chart" uri="{C3380CC4-5D6E-409C-BE32-E72D297353CC}">
              <c16:uniqueId val="{00000004-5D1A-4807-9740-603D6465A118}"/>
            </c:ext>
          </c:extLst>
        </c:ser>
        <c:dLbls>
          <c:showLegendKey val="0"/>
          <c:showVal val="0"/>
          <c:showCatName val="0"/>
          <c:showSerName val="0"/>
          <c:showPercent val="0"/>
          <c:showBubbleSize val="0"/>
        </c:dLbls>
        <c:gapWidth val="150"/>
        <c:overlap val="100"/>
        <c:axId val="385239920"/>
        <c:axId val="385240336"/>
      </c:barChart>
      <c:catAx>
        <c:axId val="385239920"/>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5240336"/>
        <c:crosses val="autoZero"/>
        <c:auto val="1"/>
        <c:lblAlgn val="ctr"/>
        <c:lblOffset val="100"/>
        <c:noMultiLvlLbl val="0"/>
      </c:catAx>
      <c:valAx>
        <c:axId val="385240336"/>
        <c:scaling>
          <c:orientation val="minMax"/>
        </c:scaling>
        <c:delete val="0"/>
        <c:axPos val="l"/>
        <c:majorGridlines>
          <c:spPr>
            <a:ln w="9525" cap="flat" cmpd="sng" algn="ctr">
              <a:noFill/>
              <a:round/>
            </a:ln>
            <a:effectLst/>
          </c:spPr>
        </c:majorGridlines>
        <c:numFmt formatCode="0.00_);[Red]\(0.00\)"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523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欧普康视近六年财务指标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营收分析表!$A$2</c:f>
              <c:strCache>
                <c:ptCount val="1"/>
                <c:pt idx="0">
                  <c:v>营业收入</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营收分析表!$B$1:$J$1</c:f>
              <c:numCache>
                <c:formatCode>General</c:formatCode>
                <c:ptCount val="6"/>
                <c:pt idx="0">
                  <c:v>2015</c:v>
                </c:pt>
                <c:pt idx="1">
                  <c:v>2016</c:v>
                </c:pt>
                <c:pt idx="2">
                  <c:v>2017</c:v>
                </c:pt>
                <c:pt idx="3">
                  <c:v>2018</c:v>
                </c:pt>
                <c:pt idx="4">
                  <c:v>2019</c:v>
                </c:pt>
                <c:pt idx="5">
                  <c:v>2020</c:v>
                </c:pt>
              </c:numCache>
            </c:numRef>
          </c:cat>
          <c:val>
            <c:numRef>
              <c:f>营收分析表!$B$2:$J$2</c:f>
              <c:numCache>
                <c:formatCode>0.00_);[Red]\(0.00\)</c:formatCode>
                <c:ptCount val="6"/>
                <c:pt idx="0">
                  <c:v>1.76</c:v>
                </c:pt>
                <c:pt idx="1">
                  <c:v>2.35</c:v>
                </c:pt>
                <c:pt idx="2">
                  <c:v>3.12</c:v>
                </c:pt>
                <c:pt idx="3">
                  <c:v>4.58</c:v>
                </c:pt>
                <c:pt idx="4">
                  <c:v>6.47</c:v>
                </c:pt>
                <c:pt idx="5">
                  <c:v>8.7100000000000009</c:v>
                </c:pt>
              </c:numCache>
            </c:numRef>
          </c:val>
          <c:extLst>
            <c:ext xmlns:c16="http://schemas.microsoft.com/office/drawing/2014/chart" uri="{C3380CC4-5D6E-409C-BE32-E72D297353CC}">
              <c16:uniqueId val="{00000000-EEE6-44A3-BC4A-720D86FBC45C}"/>
            </c:ext>
          </c:extLst>
        </c:ser>
        <c:ser>
          <c:idx val="2"/>
          <c:order val="2"/>
          <c:tx>
            <c:strRef>
              <c:f>营收分析表!$A$9</c:f>
              <c:strCache>
                <c:ptCount val="1"/>
                <c:pt idx="0">
                  <c:v>净利润</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营收分析表!$B$1:$J$1</c:f>
              <c:numCache>
                <c:formatCode>General</c:formatCode>
                <c:ptCount val="6"/>
                <c:pt idx="0">
                  <c:v>2015</c:v>
                </c:pt>
                <c:pt idx="1">
                  <c:v>2016</c:v>
                </c:pt>
                <c:pt idx="2">
                  <c:v>2017</c:v>
                </c:pt>
                <c:pt idx="3">
                  <c:v>2018</c:v>
                </c:pt>
                <c:pt idx="4">
                  <c:v>2019</c:v>
                </c:pt>
                <c:pt idx="5">
                  <c:v>2020</c:v>
                </c:pt>
              </c:numCache>
            </c:numRef>
          </c:cat>
          <c:val>
            <c:numRef>
              <c:f>营收分析表!$B$9:$J$9</c:f>
              <c:numCache>
                <c:formatCode>0.00_);[Red]\(0.00\)</c:formatCode>
                <c:ptCount val="6"/>
                <c:pt idx="0">
                  <c:v>0.89</c:v>
                </c:pt>
                <c:pt idx="1">
                  <c:v>1.1399999999999999</c:v>
                </c:pt>
                <c:pt idx="2">
                  <c:v>1.51</c:v>
                </c:pt>
                <c:pt idx="3">
                  <c:v>2.16</c:v>
                </c:pt>
                <c:pt idx="4">
                  <c:v>3.07</c:v>
                </c:pt>
                <c:pt idx="5">
                  <c:v>4.33</c:v>
                </c:pt>
              </c:numCache>
            </c:numRef>
          </c:val>
          <c:extLst>
            <c:ext xmlns:c16="http://schemas.microsoft.com/office/drawing/2014/chart" uri="{C3380CC4-5D6E-409C-BE32-E72D297353CC}">
              <c16:uniqueId val="{00000001-EEE6-44A3-BC4A-720D86FBC45C}"/>
            </c:ext>
          </c:extLst>
        </c:ser>
        <c:dLbls>
          <c:showLegendKey val="0"/>
          <c:showVal val="0"/>
          <c:showCatName val="0"/>
          <c:showSerName val="0"/>
          <c:showPercent val="0"/>
          <c:showBubbleSize val="0"/>
        </c:dLbls>
        <c:gapWidth val="219"/>
        <c:axId val="189260127"/>
        <c:axId val="61874927"/>
      </c:barChart>
      <c:lineChart>
        <c:grouping val="standard"/>
        <c:varyColors val="0"/>
        <c:ser>
          <c:idx val="1"/>
          <c:order val="1"/>
          <c:tx>
            <c:strRef>
              <c:f>营收分析表!$A$8</c:f>
              <c:strCache>
                <c:ptCount val="1"/>
                <c:pt idx="0">
                  <c:v>营收同比增速</c:v>
                </c:pt>
              </c:strCache>
            </c:strRef>
          </c:tx>
          <c:spPr>
            <a:ln w="28575" cap="rnd">
              <a:solidFill>
                <a:schemeClr val="accent2"/>
              </a:solidFill>
              <a:round/>
            </a:ln>
            <a:effectLst/>
          </c:spPr>
          <c:marker>
            <c:symbol val="none"/>
          </c:marker>
          <c:cat>
            <c:numRef>
              <c:f>营收分析表!$B$1:$J$1</c:f>
              <c:numCache>
                <c:formatCode>General</c:formatCode>
                <c:ptCount val="6"/>
                <c:pt idx="0">
                  <c:v>2015</c:v>
                </c:pt>
                <c:pt idx="1">
                  <c:v>2016</c:v>
                </c:pt>
                <c:pt idx="2">
                  <c:v>2017</c:v>
                </c:pt>
                <c:pt idx="3">
                  <c:v>2018</c:v>
                </c:pt>
                <c:pt idx="4">
                  <c:v>2019</c:v>
                </c:pt>
                <c:pt idx="5">
                  <c:v>2020</c:v>
                </c:pt>
              </c:numCache>
            </c:numRef>
          </c:cat>
          <c:val>
            <c:numRef>
              <c:f>营收分析表!$B$8:$J$8</c:f>
              <c:numCache>
                <c:formatCode>0.00%</c:formatCode>
                <c:ptCount val="6"/>
                <c:pt idx="0">
                  <c:v>0.3569</c:v>
                </c:pt>
                <c:pt idx="1">
                  <c:v>0.33350000000000002</c:v>
                </c:pt>
                <c:pt idx="2">
                  <c:v>0.32600000000000001</c:v>
                </c:pt>
                <c:pt idx="3">
                  <c:v>0.47099999999999997</c:v>
                </c:pt>
                <c:pt idx="4">
                  <c:v>0.41120000000000001</c:v>
                </c:pt>
                <c:pt idx="5">
                  <c:v>0.34589999999999999</c:v>
                </c:pt>
              </c:numCache>
            </c:numRef>
          </c:val>
          <c:smooth val="0"/>
          <c:extLst>
            <c:ext xmlns:c16="http://schemas.microsoft.com/office/drawing/2014/chart" uri="{C3380CC4-5D6E-409C-BE32-E72D297353CC}">
              <c16:uniqueId val="{00000002-EEE6-44A3-BC4A-720D86FBC45C}"/>
            </c:ext>
          </c:extLst>
        </c:ser>
        <c:ser>
          <c:idx val="3"/>
          <c:order val="3"/>
          <c:tx>
            <c:strRef>
              <c:f>营收分析表!$A$10</c:f>
              <c:strCache>
                <c:ptCount val="1"/>
                <c:pt idx="0">
                  <c:v>净利润同比增速</c:v>
                </c:pt>
              </c:strCache>
            </c:strRef>
          </c:tx>
          <c:spPr>
            <a:ln w="28575" cap="rnd">
              <a:solidFill>
                <a:schemeClr val="accent4"/>
              </a:solidFill>
              <a:round/>
            </a:ln>
            <a:effectLst/>
          </c:spPr>
          <c:marker>
            <c:symbol val="none"/>
          </c:marker>
          <c:cat>
            <c:numRef>
              <c:f>营收分析表!$B$1:$J$1</c:f>
              <c:numCache>
                <c:formatCode>General</c:formatCode>
                <c:ptCount val="6"/>
                <c:pt idx="0">
                  <c:v>2015</c:v>
                </c:pt>
                <c:pt idx="1">
                  <c:v>2016</c:v>
                </c:pt>
                <c:pt idx="2">
                  <c:v>2017</c:v>
                </c:pt>
                <c:pt idx="3">
                  <c:v>2018</c:v>
                </c:pt>
                <c:pt idx="4">
                  <c:v>2019</c:v>
                </c:pt>
                <c:pt idx="5">
                  <c:v>2020</c:v>
                </c:pt>
              </c:numCache>
            </c:numRef>
          </c:cat>
          <c:val>
            <c:numRef>
              <c:f>营收分析表!$B$10:$J$10</c:f>
              <c:numCache>
                <c:formatCode>0.00%</c:formatCode>
                <c:ptCount val="6"/>
                <c:pt idx="0">
                  <c:v>0.39100000000000001</c:v>
                </c:pt>
                <c:pt idx="1">
                  <c:v>0.28560000000000002</c:v>
                </c:pt>
                <c:pt idx="2">
                  <c:v>0.32290000000000002</c:v>
                </c:pt>
                <c:pt idx="3">
                  <c:v>0.43340000000000001</c:v>
                </c:pt>
                <c:pt idx="4">
                  <c:v>0.41920000000000002</c:v>
                </c:pt>
                <c:pt idx="5">
                  <c:v>0.41199999999999998</c:v>
                </c:pt>
              </c:numCache>
            </c:numRef>
          </c:val>
          <c:smooth val="0"/>
          <c:extLst>
            <c:ext xmlns:c16="http://schemas.microsoft.com/office/drawing/2014/chart" uri="{C3380CC4-5D6E-409C-BE32-E72D297353CC}">
              <c16:uniqueId val="{00000003-EEE6-44A3-BC4A-720D86FBC45C}"/>
            </c:ext>
          </c:extLst>
        </c:ser>
        <c:dLbls>
          <c:showLegendKey val="0"/>
          <c:showVal val="0"/>
          <c:showCatName val="0"/>
          <c:showSerName val="0"/>
          <c:showPercent val="0"/>
          <c:showBubbleSize val="0"/>
        </c:dLbls>
        <c:marker val="1"/>
        <c:smooth val="0"/>
        <c:axId val="189239327"/>
        <c:axId val="61874511"/>
      </c:lineChart>
      <c:catAx>
        <c:axId val="189260127"/>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74927"/>
        <c:crosses val="autoZero"/>
        <c:auto val="1"/>
        <c:lblAlgn val="ctr"/>
        <c:lblOffset val="100"/>
        <c:noMultiLvlLbl val="0"/>
      </c:catAx>
      <c:valAx>
        <c:axId val="61874927"/>
        <c:scaling>
          <c:orientation val="minMax"/>
        </c:scaling>
        <c:delete val="0"/>
        <c:axPos val="l"/>
        <c:majorGridlines>
          <c:spPr>
            <a:ln w="9525" cap="flat" cmpd="sng" algn="ctr">
              <a:noFill/>
              <a:round/>
            </a:ln>
            <a:effectLst/>
          </c:spPr>
        </c:majorGridlines>
        <c:numFmt formatCode="0.00_);[Red]\(0.00\)"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260127"/>
        <c:crosses val="autoZero"/>
        <c:crossBetween val="between"/>
      </c:valAx>
      <c:valAx>
        <c:axId val="61874511"/>
        <c:scaling>
          <c:orientation val="minMax"/>
        </c:scaling>
        <c:delete val="0"/>
        <c:axPos val="r"/>
        <c:numFmt formatCode="0.00%"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239327"/>
        <c:crosses val="max"/>
        <c:crossBetween val="between"/>
      </c:valAx>
      <c:catAx>
        <c:axId val="189239327"/>
        <c:scaling>
          <c:orientation val="minMax"/>
        </c:scaling>
        <c:delete val="1"/>
        <c:axPos val="b"/>
        <c:numFmt formatCode="General" sourceLinked="1"/>
        <c:majorTickMark val="out"/>
        <c:minorTickMark val="none"/>
        <c:tickLblPos val="nextTo"/>
        <c:crossAx val="6187451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费用率趋势图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营收分析表!$A$21</c:f>
              <c:strCache>
                <c:ptCount val="1"/>
                <c:pt idx="0">
                  <c:v>费用率</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营收分析表!$B$1:$K$1</c:f>
              <c:strCache>
                <c:ptCount val="7"/>
                <c:pt idx="0">
                  <c:v>2015</c:v>
                </c:pt>
                <c:pt idx="1">
                  <c:v>2016</c:v>
                </c:pt>
                <c:pt idx="2">
                  <c:v>2017</c:v>
                </c:pt>
                <c:pt idx="3">
                  <c:v>2018</c:v>
                </c:pt>
                <c:pt idx="4">
                  <c:v>2019</c:v>
                </c:pt>
                <c:pt idx="5">
                  <c:v>2020</c:v>
                </c:pt>
                <c:pt idx="6">
                  <c:v>2021Q1</c:v>
                </c:pt>
              </c:strCache>
            </c:strRef>
          </c:cat>
          <c:val>
            <c:numRef>
              <c:f>营收分析表!$B$21:$K$21</c:f>
              <c:numCache>
                <c:formatCode>0%</c:formatCode>
                <c:ptCount val="7"/>
                <c:pt idx="0">
                  <c:v>0.21647727272727274</c:v>
                </c:pt>
                <c:pt idx="1">
                  <c:v>0.19617021276595742</c:v>
                </c:pt>
                <c:pt idx="2">
                  <c:v>0.22115384615384612</c:v>
                </c:pt>
                <c:pt idx="3">
                  <c:v>0.29475982532751094</c:v>
                </c:pt>
                <c:pt idx="4">
                  <c:v>0.31839258114374036</c:v>
                </c:pt>
                <c:pt idx="5">
                  <c:v>0.28969001148105622</c:v>
                </c:pt>
                <c:pt idx="6">
                  <c:v>0.30623910770303242</c:v>
                </c:pt>
              </c:numCache>
            </c:numRef>
          </c:val>
          <c:smooth val="0"/>
          <c:extLst>
            <c:ext xmlns:c16="http://schemas.microsoft.com/office/drawing/2014/chart" uri="{C3380CC4-5D6E-409C-BE32-E72D297353CC}">
              <c16:uniqueId val="{00000000-A2A0-47DC-950A-21ACCC020FCB}"/>
            </c:ext>
          </c:extLst>
        </c:ser>
        <c:ser>
          <c:idx val="1"/>
          <c:order val="1"/>
          <c:tx>
            <c:strRef>
              <c:f>营收分析表!$A$22</c:f>
              <c:strCache>
                <c:ptCount val="1"/>
                <c:pt idx="0">
                  <c:v>销售费用率</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营收分析表!$B$1:$K$1</c:f>
              <c:strCache>
                <c:ptCount val="7"/>
                <c:pt idx="0">
                  <c:v>2015</c:v>
                </c:pt>
                <c:pt idx="1">
                  <c:v>2016</c:v>
                </c:pt>
                <c:pt idx="2">
                  <c:v>2017</c:v>
                </c:pt>
                <c:pt idx="3">
                  <c:v>2018</c:v>
                </c:pt>
                <c:pt idx="4">
                  <c:v>2019</c:v>
                </c:pt>
                <c:pt idx="5">
                  <c:v>2020</c:v>
                </c:pt>
                <c:pt idx="6">
                  <c:v>2021Q1</c:v>
                </c:pt>
              </c:strCache>
            </c:strRef>
          </c:cat>
          <c:val>
            <c:numRef>
              <c:f>营收分析表!$B$22:$K$22</c:f>
              <c:numCache>
                <c:formatCode>0%</c:formatCode>
                <c:ptCount val="7"/>
                <c:pt idx="0">
                  <c:v>0.13068181818181818</c:v>
                </c:pt>
                <c:pt idx="1">
                  <c:v>0.12340425531914892</c:v>
                </c:pt>
                <c:pt idx="2">
                  <c:v>0.13141025641025639</c:v>
                </c:pt>
                <c:pt idx="3">
                  <c:v>0.16375545851528384</c:v>
                </c:pt>
                <c:pt idx="4">
                  <c:v>0.20200927357032458</c:v>
                </c:pt>
                <c:pt idx="5">
                  <c:v>0.1840413318025258</c:v>
                </c:pt>
                <c:pt idx="6">
                  <c:v>0.18236319275008711</c:v>
                </c:pt>
              </c:numCache>
            </c:numRef>
          </c:val>
          <c:smooth val="0"/>
          <c:extLst>
            <c:ext xmlns:c16="http://schemas.microsoft.com/office/drawing/2014/chart" uri="{C3380CC4-5D6E-409C-BE32-E72D297353CC}">
              <c16:uniqueId val="{00000001-A2A0-47DC-950A-21ACCC020FCB}"/>
            </c:ext>
          </c:extLst>
        </c:ser>
        <c:ser>
          <c:idx val="2"/>
          <c:order val="2"/>
          <c:tx>
            <c:strRef>
              <c:f>营收分析表!$A$23</c:f>
              <c:strCache>
                <c:ptCount val="1"/>
                <c:pt idx="0">
                  <c:v>管理费用率</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营收分析表!$B$1:$K$1</c:f>
              <c:strCache>
                <c:ptCount val="7"/>
                <c:pt idx="0">
                  <c:v>2015</c:v>
                </c:pt>
                <c:pt idx="1">
                  <c:v>2016</c:v>
                </c:pt>
                <c:pt idx="2">
                  <c:v>2017</c:v>
                </c:pt>
                <c:pt idx="3">
                  <c:v>2018</c:v>
                </c:pt>
                <c:pt idx="4">
                  <c:v>2019</c:v>
                </c:pt>
                <c:pt idx="5">
                  <c:v>2020</c:v>
                </c:pt>
                <c:pt idx="6">
                  <c:v>2021Q1</c:v>
                </c:pt>
              </c:strCache>
            </c:strRef>
          </c:cat>
          <c:val>
            <c:numRef>
              <c:f>营收分析表!$B$23:$K$23</c:f>
              <c:numCache>
                <c:formatCode>0%</c:formatCode>
                <c:ptCount val="7"/>
                <c:pt idx="0">
                  <c:v>8.5227272727272721E-2</c:v>
                </c:pt>
                <c:pt idx="1">
                  <c:v>7.2340425531914901E-2</c:v>
                </c:pt>
                <c:pt idx="2">
                  <c:v>6.0897435897435896E-2</c:v>
                </c:pt>
                <c:pt idx="3">
                  <c:v>0.10480349344978165</c:v>
                </c:pt>
                <c:pt idx="4">
                  <c:v>9.2735703245749618E-2</c:v>
                </c:pt>
                <c:pt idx="5">
                  <c:v>8.4523536165327193E-2</c:v>
                </c:pt>
                <c:pt idx="6">
                  <c:v>9.2506099686301843E-2</c:v>
                </c:pt>
              </c:numCache>
            </c:numRef>
          </c:val>
          <c:smooth val="0"/>
          <c:extLst>
            <c:ext xmlns:c16="http://schemas.microsoft.com/office/drawing/2014/chart" uri="{C3380CC4-5D6E-409C-BE32-E72D297353CC}">
              <c16:uniqueId val="{00000002-A2A0-47DC-950A-21ACCC020FCB}"/>
            </c:ext>
          </c:extLst>
        </c:ser>
        <c:dLbls>
          <c:showLegendKey val="0"/>
          <c:showVal val="0"/>
          <c:showCatName val="0"/>
          <c:showSerName val="0"/>
          <c:showPercent val="0"/>
          <c:showBubbleSize val="0"/>
        </c:dLbls>
        <c:smooth val="0"/>
        <c:axId val="59861984"/>
        <c:axId val="59860320"/>
      </c:lineChart>
      <c:catAx>
        <c:axId val="59861984"/>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860320"/>
        <c:crosses val="autoZero"/>
        <c:auto val="1"/>
        <c:lblAlgn val="ctr"/>
        <c:lblOffset val="100"/>
        <c:noMultiLvlLbl val="0"/>
      </c:catAx>
      <c:valAx>
        <c:axId val="59860320"/>
        <c:scaling>
          <c:orientation val="minMax"/>
        </c:scaling>
        <c:delete val="0"/>
        <c:axPos val="l"/>
        <c:majorGridlines>
          <c:spPr>
            <a:ln w="9525" cap="flat" cmpd="sng" algn="ctr">
              <a:noFill/>
              <a:round/>
            </a:ln>
            <a:effectLst/>
          </c:spPr>
        </c:majorGridlines>
        <c:numFmt formatCode="0%"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86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ROE</a:t>
            </a:r>
            <a:r>
              <a:rPr lang="zh-CN" altLang="en-US"/>
              <a:t>拆解分析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营收分析表!$A$12</c:f>
              <c:strCache>
                <c:ptCount val="1"/>
                <c:pt idx="0">
                  <c:v>ROE</c:v>
                </c:pt>
              </c:strCache>
            </c:strRef>
          </c:tx>
          <c:spPr>
            <a:ln w="28575" cap="rnd">
              <a:solidFill>
                <a:schemeClr val="accent1"/>
              </a:solidFill>
              <a:round/>
            </a:ln>
            <a:effectLst/>
          </c:spPr>
          <c:marker>
            <c:symbol val="none"/>
          </c:marker>
          <c:dLbls>
            <c:dLbl>
              <c:idx val="1"/>
              <c:layout>
                <c:manualLayout>
                  <c:x val="-4.3724793436298912E-2"/>
                  <c:y val="-6.61033137539134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133-47E7-8F98-9D1F6AB8234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营收分析表!$B$1:$J$1</c:f>
              <c:numCache>
                <c:formatCode>General</c:formatCode>
                <c:ptCount val="6"/>
                <c:pt idx="0">
                  <c:v>2015</c:v>
                </c:pt>
                <c:pt idx="1">
                  <c:v>2016</c:v>
                </c:pt>
                <c:pt idx="2">
                  <c:v>2017</c:v>
                </c:pt>
                <c:pt idx="3">
                  <c:v>2018</c:v>
                </c:pt>
                <c:pt idx="4">
                  <c:v>2019</c:v>
                </c:pt>
                <c:pt idx="5">
                  <c:v>2020</c:v>
                </c:pt>
              </c:numCache>
            </c:numRef>
          </c:cat>
          <c:val>
            <c:numRef>
              <c:f>营收分析表!$B$12:$J$12</c:f>
              <c:numCache>
                <c:formatCode>0.00%</c:formatCode>
                <c:ptCount val="6"/>
                <c:pt idx="0">
                  <c:v>0.40039999999999998</c:v>
                </c:pt>
                <c:pt idx="1">
                  <c:v>0.3856</c:v>
                </c:pt>
                <c:pt idx="2">
                  <c:v>0.214</c:v>
                </c:pt>
                <c:pt idx="3">
                  <c:v>0.2359</c:v>
                </c:pt>
                <c:pt idx="4">
                  <c:v>0.26129999999999998</c:v>
                </c:pt>
                <c:pt idx="5">
                  <c:v>0.28179999999999999</c:v>
                </c:pt>
              </c:numCache>
            </c:numRef>
          </c:val>
          <c:smooth val="0"/>
          <c:extLst>
            <c:ext xmlns:c16="http://schemas.microsoft.com/office/drawing/2014/chart" uri="{C3380CC4-5D6E-409C-BE32-E72D297353CC}">
              <c16:uniqueId val="{00000001-3133-47E7-8F98-9D1F6AB8234F}"/>
            </c:ext>
          </c:extLst>
        </c:ser>
        <c:ser>
          <c:idx val="1"/>
          <c:order val="1"/>
          <c:tx>
            <c:strRef>
              <c:f>营收分析表!$A$13</c:f>
              <c:strCache>
                <c:ptCount val="1"/>
                <c:pt idx="0">
                  <c:v>销售净利润率</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营收分析表!$B$1:$J$1</c:f>
              <c:numCache>
                <c:formatCode>General</c:formatCode>
                <c:ptCount val="6"/>
                <c:pt idx="0">
                  <c:v>2015</c:v>
                </c:pt>
                <c:pt idx="1">
                  <c:v>2016</c:v>
                </c:pt>
                <c:pt idx="2">
                  <c:v>2017</c:v>
                </c:pt>
                <c:pt idx="3">
                  <c:v>2018</c:v>
                </c:pt>
                <c:pt idx="4">
                  <c:v>2019</c:v>
                </c:pt>
                <c:pt idx="5">
                  <c:v>2020</c:v>
                </c:pt>
              </c:numCache>
            </c:numRef>
          </c:cat>
          <c:val>
            <c:numRef>
              <c:f>营收分析表!$B$13:$J$13</c:f>
              <c:numCache>
                <c:formatCode>0.00%</c:formatCode>
                <c:ptCount val="6"/>
                <c:pt idx="0">
                  <c:v>0.50129999999999997</c:v>
                </c:pt>
                <c:pt idx="1">
                  <c:v>0.48459999999999998</c:v>
                </c:pt>
                <c:pt idx="2">
                  <c:v>0.4768</c:v>
                </c:pt>
                <c:pt idx="3">
                  <c:v>0.45760000000000001</c:v>
                </c:pt>
                <c:pt idx="4">
                  <c:v>0.45579999999999998</c:v>
                </c:pt>
                <c:pt idx="5">
                  <c:v>0.50990000000000002</c:v>
                </c:pt>
              </c:numCache>
            </c:numRef>
          </c:val>
          <c:smooth val="0"/>
          <c:extLst>
            <c:ext xmlns:c16="http://schemas.microsoft.com/office/drawing/2014/chart" uri="{C3380CC4-5D6E-409C-BE32-E72D297353CC}">
              <c16:uniqueId val="{00000002-3133-47E7-8F98-9D1F6AB8234F}"/>
            </c:ext>
          </c:extLst>
        </c:ser>
        <c:dLbls>
          <c:showLegendKey val="0"/>
          <c:showVal val="0"/>
          <c:showCatName val="0"/>
          <c:showSerName val="0"/>
          <c:showPercent val="0"/>
          <c:showBubbleSize val="0"/>
        </c:dLbls>
        <c:marker val="1"/>
        <c:smooth val="0"/>
        <c:axId val="305229920"/>
        <c:axId val="305239904"/>
      </c:lineChart>
      <c:lineChart>
        <c:grouping val="standard"/>
        <c:varyColors val="0"/>
        <c:ser>
          <c:idx val="2"/>
          <c:order val="2"/>
          <c:tx>
            <c:strRef>
              <c:f>营收分析表!$A$14</c:f>
              <c:strCache>
                <c:ptCount val="1"/>
                <c:pt idx="0">
                  <c:v>总资产周转率</c:v>
                </c:pt>
              </c:strCache>
            </c:strRef>
          </c:tx>
          <c:spPr>
            <a:ln w="28575" cap="rnd">
              <a:solidFill>
                <a:schemeClr val="accent3"/>
              </a:solidFill>
              <a:round/>
            </a:ln>
            <a:effectLst/>
          </c:spPr>
          <c:marker>
            <c:symbol val="none"/>
          </c:marker>
          <c:cat>
            <c:numRef>
              <c:f>营收分析表!$B$1:$J$1</c:f>
              <c:numCache>
                <c:formatCode>General</c:formatCode>
                <c:ptCount val="6"/>
                <c:pt idx="0">
                  <c:v>2015</c:v>
                </c:pt>
                <c:pt idx="1">
                  <c:v>2016</c:v>
                </c:pt>
                <c:pt idx="2">
                  <c:v>2017</c:v>
                </c:pt>
                <c:pt idx="3">
                  <c:v>2018</c:v>
                </c:pt>
                <c:pt idx="4">
                  <c:v>2019</c:v>
                </c:pt>
                <c:pt idx="5">
                  <c:v>2020</c:v>
                </c:pt>
              </c:numCache>
            </c:numRef>
          </c:cat>
          <c:val>
            <c:numRef>
              <c:f>营收分析表!$B$14:$J$14</c:f>
              <c:numCache>
                <c:formatCode>0.00_ </c:formatCode>
                <c:ptCount val="6"/>
                <c:pt idx="0">
                  <c:v>0.69499999999999995</c:v>
                </c:pt>
                <c:pt idx="1">
                  <c:v>0.71799999999999997</c:v>
                </c:pt>
                <c:pt idx="2">
                  <c:v>0.48699999999999999</c:v>
                </c:pt>
                <c:pt idx="3">
                  <c:v>0.42599999999999999</c:v>
                </c:pt>
                <c:pt idx="4">
                  <c:v>0.45700000000000002</c:v>
                </c:pt>
                <c:pt idx="5">
                  <c:v>0.45600000000000002</c:v>
                </c:pt>
              </c:numCache>
            </c:numRef>
          </c:val>
          <c:smooth val="0"/>
          <c:extLst>
            <c:ext xmlns:c16="http://schemas.microsoft.com/office/drawing/2014/chart" uri="{C3380CC4-5D6E-409C-BE32-E72D297353CC}">
              <c16:uniqueId val="{00000003-3133-47E7-8F98-9D1F6AB8234F}"/>
            </c:ext>
          </c:extLst>
        </c:ser>
        <c:ser>
          <c:idx val="3"/>
          <c:order val="3"/>
          <c:tx>
            <c:strRef>
              <c:f>营收分析表!$A$15</c:f>
              <c:strCache>
                <c:ptCount val="1"/>
                <c:pt idx="0">
                  <c:v>权益乘数</c:v>
                </c:pt>
              </c:strCache>
            </c:strRef>
          </c:tx>
          <c:spPr>
            <a:ln w="28575" cap="rnd">
              <a:solidFill>
                <a:schemeClr val="accent4"/>
              </a:solidFill>
              <a:round/>
            </a:ln>
            <a:effectLst/>
          </c:spPr>
          <c:marker>
            <c:symbol val="none"/>
          </c:marker>
          <c:cat>
            <c:numRef>
              <c:f>营收分析表!$B$1:$J$1</c:f>
              <c:numCache>
                <c:formatCode>General</c:formatCode>
                <c:ptCount val="6"/>
                <c:pt idx="0">
                  <c:v>2015</c:v>
                </c:pt>
                <c:pt idx="1">
                  <c:v>2016</c:v>
                </c:pt>
                <c:pt idx="2">
                  <c:v>2017</c:v>
                </c:pt>
                <c:pt idx="3">
                  <c:v>2018</c:v>
                </c:pt>
                <c:pt idx="4">
                  <c:v>2019</c:v>
                </c:pt>
                <c:pt idx="5">
                  <c:v>2020</c:v>
                </c:pt>
              </c:numCache>
            </c:numRef>
          </c:cat>
          <c:val>
            <c:numRef>
              <c:f>营收分析表!$B$15:$J$15</c:f>
              <c:numCache>
                <c:formatCode>0.00_ </c:formatCode>
                <c:ptCount val="6"/>
                <c:pt idx="0">
                  <c:v>1.171</c:v>
                </c:pt>
                <c:pt idx="1">
                  <c:v>1.1319999999999999</c:v>
                </c:pt>
                <c:pt idx="2">
                  <c:v>1.1359999999999999</c:v>
                </c:pt>
                <c:pt idx="3">
                  <c:v>1.1339999999999999</c:v>
                </c:pt>
                <c:pt idx="4">
                  <c:v>1.117</c:v>
                </c:pt>
                <c:pt idx="5">
                  <c:v>1.111</c:v>
                </c:pt>
              </c:numCache>
            </c:numRef>
          </c:val>
          <c:smooth val="0"/>
          <c:extLst>
            <c:ext xmlns:c16="http://schemas.microsoft.com/office/drawing/2014/chart" uri="{C3380CC4-5D6E-409C-BE32-E72D297353CC}">
              <c16:uniqueId val="{00000004-3133-47E7-8F98-9D1F6AB8234F}"/>
            </c:ext>
          </c:extLst>
        </c:ser>
        <c:dLbls>
          <c:showLegendKey val="0"/>
          <c:showVal val="0"/>
          <c:showCatName val="0"/>
          <c:showSerName val="0"/>
          <c:showPercent val="0"/>
          <c:showBubbleSize val="0"/>
        </c:dLbls>
        <c:marker val="1"/>
        <c:smooth val="0"/>
        <c:axId val="885958848"/>
        <c:axId val="885962592"/>
      </c:lineChart>
      <c:catAx>
        <c:axId val="305229920"/>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5239904"/>
        <c:crosses val="autoZero"/>
        <c:auto val="1"/>
        <c:lblAlgn val="ctr"/>
        <c:lblOffset val="100"/>
        <c:noMultiLvlLbl val="0"/>
      </c:catAx>
      <c:valAx>
        <c:axId val="305239904"/>
        <c:scaling>
          <c:orientation val="minMax"/>
          <c:min val="8.0000000000000016E-2"/>
        </c:scaling>
        <c:delete val="0"/>
        <c:axPos val="l"/>
        <c:majorGridlines>
          <c:spPr>
            <a:ln w="9525" cap="flat" cmpd="sng" algn="ctr">
              <a:noFill/>
              <a:round/>
            </a:ln>
            <a:effectLst/>
          </c:spPr>
        </c:majorGridlines>
        <c:numFmt formatCode="0.00%"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5229920"/>
        <c:crosses val="autoZero"/>
        <c:crossBetween val="between"/>
      </c:valAx>
      <c:valAx>
        <c:axId val="885962592"/>
        <c:scaling>
          <c:orientation val="minMax"/>
        </c:scaling>
        <c:delete val="0"/>
        <c:axPos val="r"/>
        <c:numFmt formatCode="0.00_ "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5958848"/>
        <c:crosses val="max"/>
        <c:crossBetween val="between"/>
      </c:valAx>
      <c:catAx>
        <c:axId val="885958848"/>
        <c:scaling>
          <c:orientation val="minMax"/>
        </c:scaling>
        <c:delete val="1"/>
        <c:axPos val="b"/>
        <c:numFmt formatCode="General" sourceLinked="1"/>
        <c:majorTickMark val="out"/>
        <c:minorTickMark val="none"/>
        <c:tickLblPos val="nextTo"/>
        <c:crossAx val="8859625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营收分析表!$A$30</c:f>
              <c:strCache>
                <c:ptCount val="1"/>
                <c:pt idx="0">
                  <c:v>存货周转天数</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营收分析表!$B$1:$K$1</c:f>
              <c:strCache>
                <c:ptCount val="7"/>
                <c:pt idx="0">
                  <c:v>2015</c:v>
                </c:pt>
                <c:pt idx="1">
                  <c:v>2016</c:v>
                </c:pt>
                <c:pt idx="2">
                  <c:v>2017</c:v>
                </c:pt>
                <c:pt idx="3">
                  <c:v>2018</c:v>
                </c:pt>
                <c:pt idx="4">
                  <c:v>2019</c:v>
                </c:pt>
                <c:pt idx="5">
                  <c:v>2020</c:v>
                </c:pt>
                <c:pt idx="6">
                  <c:v>2021Q1</c:v>
                </c:pt>
              </c:strCache>
            </c:strRef>
          </c:cat>
          <c:val>
            <c:numRef>
              <c:f>营收分析表!$B$30:$K$30</c:f>
              <c:numCache>
                <c:formatCode>General</c:formatCode>
                <c:ptCount val="7"/>
                <c:pt idx="0">
                  <c:v>70.599999999999994</c:v>
                </c:pt>
                <c:pt idx="1">
                  <c:v>71.23</c:v>
                </c:pt>
                <c:pt idx="2">
                  <c:v>78.05</c:v>
                </c:pt>
                <c:pt idx="3">
                  <c:v>121.3</c:v>
                </c:pt>
                <c:pt idx="4">
                  <c:v>132</c:v>
                </c:pt>
                <c:pt idx="5">
                  <c:v>121.3</c:v>
                </c:pt>
                <c:pt idx="6">
                  <c:v>106.9</c:v>
                </c:pt>
              </c:numCache>
            </c:numRef>
          </c:val>
          <c:smooth val="0"/>
          <c:extLst>
            <c:ext xmlns:c16="http://schemas.microsoft.com/office/drawing/2014/chart" uri="{C3380CC4-5D6E-409C-BE32-E72D297353CC}">
              <c16:uniqueId val="{00000000-9279-47F4-8637-5E3CA779B0F1}"/>
            </c:ext>
          </c:extLst>
        </c:ser>
        <c:ser>
          <c:idx val="1"/>
          <c:order val="1"/>
          <c:tx>
            <c:strRef>
              <c:f>营收分析表!$A$31</c:f>
              <c:strCache>
                <c:ptCount val="1"/>
                <c:pt idx="0">
                  <c:v>应收账款周转天数</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营收分析表!$B$1:$K$1</c:f>
              <c:strCache>
                <c:ptCount val="7"/>
                <c:pt idx="0">
                  <c:v>2015</c:v>
                </c:pt>
                <c:pt idx="1">
                  <c:v>2016</c:v>
                </c:pt>
                <c:pt idx="2">
                  <c:v>2017</c:v>
                </c:pt>
                <c:pt idx="3">
                  <c:v>2018</c:v>
                </c:pt>
                <c:pt idx="4">
                  <c:v>2019</c:v>
                </c:pt>
                <c:pt idx="5">
                  <c:v>2020</c:v>
                </c:pt>
                <c:pt idx="6">
                  <c:v>2021Q1</c:v>
                </c:pt>
              </c:strCache>
            </c:strRef>
          </c:cat>
          <c:val>
            <c:numRef>
              <c:f>营收分析表!$B$31:$K$31</c:f>
              <c:numCache>
                <c:formatCode>General</c:formatCode>
                <c:ptCount val="7"/>
                <c:pt idx="0">
                  <c:v>31.25</c:v>
                </c:pt>
                <c:pt idx="1">
                  <c:v>32.5</c:v>
                </c:pt>
                <c:pt idx="2">
                  <c:v>35.65</c:v>
                </c:pt>
                <c:pt idx="3">
                  <c:v>44.65</c:v>
                </c:pt>
                <c:pt idx="4">
                  <c:v>49.17</c:v>
                </c:pt>
                <c:pt idx="5">
                  <c:v>50.55</c:v>
                </c:pt>
                <c:pt idx="6">
                  <c:v>46.86</c:v>
                </c:pt>
              </c:numCache>
            </c:numRef>
          </c:val>
          <c:smooth val="0"/>
          <c:extLst>
            <c:ext xmlns:c16="http://schemas.microsoft.com/office/drawing/2014/chart" uri="{C3380CC4-5D6E-409C-BE32-E72D297353CC}">
              <c16:uniqueId val="{00000001-9279-47F4-8637-5E3CA779B0F1}"/>
            </c:ext>
          </c:extLst>
        </c:ser>
        <c:dLbls>
          <c:showLegendKey val="0"/>
          <c:showVal val="0"/>
          <c:showCatName val="0"/>
          <c:showSerName val="0"/>
          <c:showPercent val="0"/>
          <c:showBubbleSize val="0"/>
        </c:dLbls>
        <c:marker val="1"/>
        <c:smooth val="0"/>
        <c:axId val="381275824"/>
        <c:axId val="381276240"/>
      </c:lineChart>
      <c:catAx>
        <c:axId val="381275824"/>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1276240"/>
        <c:crosses val="autoZero"/>
        <c:auto val="1"/>
        <c:lblAlgn val="ctr"/>
        <c:lblOffset val="100"/>
        <c:noMultiLvlLbl val="0"/>
      </c:catAx>
      <c:valAx>
        <c:axId val="381276240"/>
        <c:scaling>
          <c:orientation val="minMax"/>
          <c:min val="20"/>
        </c:scaling>
        <c:delete val="0"/>
        <c:axPos val="l"/>
        <c:majorGridlines>
          <c:spPr>
            <a:ln w="9525" cap="flat" cmpd="sng" algn="ctr">
              <a:noFill/>
              <a:round/>
            </a:ln>
            <a:effectLst/>
          </c:spPr>
        </c:majorGridlines>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1275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应收账款及票据占收入比重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营收分析表!$A$27</c:f>
              <c:strCache>
                <c:ptCount val="1"/>
                <c:pt idx="0">
                  <c:v>占收入比重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营收分析表!$B$1:$J$1</c:f>
              <c:numCache>
                <c:formatCode>General</c:formatCode>
                <c:ptCount val="6"/>
                <c:pt idx="0">
                  <c:v>2015</c:v>
                </c:pt>
                <c:pt idx="1">
                  <c:v>2016</c:v>
                </c:pt>
                <c:pt idx="2">
                  <c:v>2017</c:v>
                </c:pt>
                <c:pt idx="3">
                  <c:v>2018</c:v>
                </c:pt>
                <c:pt idx="4">
                  <c:v>2019</c:v>
                </c:pt>
                <c:pt idx="5">
                  <c:v>2020</c:v>
                </c:pt>
              </c:numCache>
            </c:numRef>
          </c:cat>
          <c:val>
            <c:numRef>
              <c:f>营收分析表!$B$27:$J$27</c:f>
              <c:numCache>
                <c:formatCode>0.0%</c:formatCode>
                <c:ptCount val="6"/>
                <c:pt idx="0">
                  <c:v>0.10227272727272727</c:v>
                </c:pt>
                <c:pt idx="1">
                  <c:v>0.10212765957446808</c:v>
                </c:pt>
                <c:pt idx="2">
                  <c:v>0.12179487179487179</c:v>
                </c:pt>
                <c:pt idx="3">
                  <c:v>0.16593886462882096</c:v>
                </c:pt>
                <c:pt idx="4">
                  <c:v>0.15610510046367854</c:v>
                </c:pt>
                <c:pt idx="5">
                  <c:v>0.16532721010332949</c:v>
                </c:pt>
              </c:numCache>
            </c:numRef>
          </c:val>
          <c:smooth val="0"/>
          <c:extLst>
            <c:ext xmlns:c16="http://schemas.microsoft.com/office/drawing/2014/chart" uri="{C3380CC4-5D6E-409C-BE32-E72D297353CC}">
              <c16:uniqueId val="{00000000-08EA-44CF-B0C7-62D2F4ECC251}"/>
            </c:ext>
          </c:extLst>
        </c:ser>
        <c:dLbls>
          <c:showLegendKey val="0"/>
          <c:showVal val="0"/>
          <c:showCatName val="0"/>
          <c:showSerName val="0"/>
          <c:showPercent val="0"/>
          <c:showBubbleSize val="0"/>
        </c:dLbls>
        <c:marker val="1"/>
        <c:smooth val="0"/>
        <c:axId val="1740379776"/>
        <c:axId val="1740380192"/>
      </c:lineChart>
      <c:catAx>
        <c:axId val="1740379776"/>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0380192"/>
        <c:crosses val="autoZero"/>
        <c:auto val="1"/>
        <c:lblAlgn val="ctr"/>
        <c:lblOffset val="100"/>
        <c:noMultiLvlLbl val="0"/>
      </c:catAx>
      <c:valAx>
        <c:axId val="1740380192"/>
        <c:scaling>
          <c:orientation val="minMax"/>
          <c:min val="8.0000000000000016E-2"/>
        </c:scaling>
        <c:delete val="0"/>
        <c:axPos val="l"/>
        <c:majorGridlines>
          <c:spPr>
            <a:ln w="9525" cap="flat" cmpd="sng" algn="ctr">
              <a:noFill/>
              <a:round/>
            </a:ln>
            <a:effectLst/>
          </c:spPr>
        </c:majorGridlines>
        <c:numFmt formatCode="0.0%"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40379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39C366-6BFD-4B84-BDB0-A7BBB56B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1799</Words>
  <Characters>10256</Characters>
  <Application>Microsoft Office Word</Application>
  <DocSecurity>0</DocSecurity>
  <Lines>85</Lines>
  <Paragraphs>24</Paragraphs>
  <ScaleCrop>false</ScaleCrop>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琛 王</dc:creator>
  <cp:lastModifiedBy>琛 王</cp:lastModifiedBy>
  <cp:revision>277</cp:revision>
  <cp:lastPrinted>2021-06-21T09:02:00Z</cp:lastPrinted>
  <dcterms:created xsi:type="dcterms:W3CDTF">2021-06-18T11:13:00Z</dcterms:created>
  <dcterms:modified xsi:type="dcterms:W3CDTF">2021-06-21T09:02:00Z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