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7E63B" w14:textId="764B130B" w:rsidR="001935B3" w:rsidRDefault="00F1275A" w:rsidP="00F1275A">
      <w:pPr>
        <w:pStyle w:val="1"/>
        <w:jc w:val="center"/>
      </w:pPr>
      <w:r>
        <w:rPr>
          <w:rFonts w:hint="eastAsia"/>
        </w:rPr>
        <w:t>3</w:t>
      </w:r>
      <w:r>
        <w:t>00009</w:t>
      </w:r>
      <w:r>
        <w:rPr>
          <w:rFonts w:hint="eastAsia"/>
        </w:rPr>
        <w:t>—安科生物研究记录</w:t>
      </w:r>
    </w:p>
    <w:p w14:paraId="39268C00" w14:textId="0F0617CA" w:rsidR="003B46C0" w:rsidRPr="00CF4E52" w:rsidRDefault="003B46C0" w:rsidP="003B46C0">
      <w:pPr>
        <w:jc w:val="center"/>
        <w:rPr>
          <w:rFonts w:ascii="楷体" w:eastAsia="楷体" w:hAnsi="楷体"/>
          <w:sz w:val="24"/>
          <w:szCs w:val="28"/>
        </w:rPr>
      </w:pPr>
      <w:r w:rsidRPr="00CF4E52">
        <w:rPr>
          <w:rFonts w:ascii="楷体" w:eastAsia="楷体" w:hAnsi="楷体" w:hint="eastAsia"/>
          <w:sz w:val="24"/>
          <w:szCs w:val="28"/>
        </w:rPr>
        <w:t>王 琛</w:t>
      </w:r>
    </w:p>
    <w:p w14:paraId="77CB640A" w14:textId="553CA51F" w:rsidR="003B46C0" w:rsidRPr="003B46C0" w:rsidRDefault="003B46C0" w:rsidP="003B46C0">
      <w:pPr>
        <w:jc w:val="center"/>
        <w:rPr>
          <w:rFonts w:ascii="楷体" w:eastAsia="楷体" w:hAnsi="楷体" w:hint="eastAsia"/>
        </w:rPr>
      </w:pPr>
      <w:r>
        <w:rPr>
          <w:rFonts w:ascii="楷体" w:eastAsia="楷体" w:hAnsi="楷体"/>
        </w:rPr>
        <w:t>2021</w:t>
      </w:r>
      <w:r>
        <w:rPr>
          <w:rFonts w:ascii="楷体" w:eastAsia="楷体" w:hAnsi="楷体" w:hint="eastAsia"/>
        </w:rPr>
        <w:t>年5月2</w:t>
      </w:r>
      <w:r>
        <w:rPr>
          <w:rFonts w:ascii="楷体" w:eastAsia="楷体" w:hAnsi="楷体"/>
        </w:rPr>
        <w:t>7</w:t>
      </w:r>
      <w:r>
        <w:rPr>
          <w:rFonts w:ascii="楷体" w:eastAsia="楷体" w:hAnsi="楷体" w:hint="eastAsia"/>
        </w:rPr>
        <w:t>日</w:t>
      </w:r>
    </w:p>
    <w:p w14:paraId="23C4E6E9" w14:textId="0E98CC4B" w:rsidR="00F1275A" w:rsidRDefault="002162E7" w:rsidP="00814F42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2162E7">
        <w:rPr>
          <w:rFonts w:ascii="仿宋" w:eastAsia="仿宋" w:hAnsi="仿宋" w:hint="eastAsia"/>
        </w:rPr>
        <w:t>背景</w:t>
      </w:r>
    </w:p>
    <w:p w14:paraId="04872A67" w14:textId="40BF0DD0" w:rsidR="002162E7" w:rsidRPr="00127791" w:rsidRDefault="002162E7" w:rsidP="006771FD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 w:rsidRPr="00127791">
        <w:rPr>
          <w:rFonts w:ascii="仿宋" w:eastAsia="仿宋" w:hAnsi="仿宋"/>
          <w:sz w:val="28"/>
          <w:szCs w:val="28"/>
        </w:rPr>
        <w:t>2021年5月21日，长春高新和安科生物纷纷创出近期股价新高，恰好金磊坚持39亿元，市场出现一份广东的集采文件，而生长激素赫然在列，造成两只股份股价当日跌停，又连日大跌。5月27日长春高新股价为416元，而安科生物为15元，离高点大跌了约20%。</w:t>
      </w:r>
    </w:p>
    <w:p w14:paraId="6A72AD09" w14:textId="1BFF4AAC" w:rsidR="006771FD" w:rsidRDefault="002162E7" w:rsidP="006771FD">
      <w:pPr>
        <w:ind w:firstLineChars="200" w:firstLine="560"/>
        <w:rPr>
          <w:rFonts w:ascii="仿宋" w:eastAsia="仿宋" w:hAnsi="仿宋" w:hint="eastAsia"/>
          <w:sz w:val="28"/>
          <w:szCs w:val="28"/>
        </w:rPr>
      </w:pPr>
      <w:r w:rsidRPr="00127791">
        <w:rPr>
          <w:rFonts w:ascii="仿宋" w:eastAsia="仿宋" w:hAnsi="仿宋" w:hint="eastAsia"/>
          <w:sz w:val="28"/>
          <w:szCs w:val="28"/>
        </w:rPr>
        <w:t>恰好，近期安科生物董秘也表示：“</w:t>
      </w:r>
      <w:r w:rsidRPr="00127791">
        <w:rPr>
          <w:rFonts w:ascii="仿宋" w:eastAsia="仿宋" w:hAnsi="仿宋"/>
          <w:sz w:val="28"/>
          <w:szCs w:val="28"/>
        </w:rPr>
        <w:t>2021年一季度的生长激素销量已超过去年全年的销售收入</w:t>
      </w:r>
      <w:r w:rsidR="00FC7CCF">
        <w:rPr>
          <w:rFonts w:ascii="仿宋" w:eastAsia="仿宋" w:hAnsi="仿宋" w:hint="eastAsia"/>
          <w:sz w:val="28"/>
          <w:szCs w:val="28"/>
        </w:rPr>
        <w:t>，不存在缺货情况，且产能充足”。因为本身持有长春高兴，所以</w:t>
      </w:r>
      <w:r w:rsidRPr="00127791">
        <w:rPr>
          <w:rFonts w:ascii="仿宋" w:eastAsia="仿宋" w:hAnsi="仿宋"/>
          <w:sz w:val="28"/>
          <w:szCs w:val="28"/>
        </w:rPr>
        <w:t>引起了我的注意，因此特意将安科生物也作一番研究</w:t>
      </w:r>
      <w:r w:rsidR="00D227C0">
        <w:rPr>
          <w:rFonts w:ascii="仿宋" w:eastAsia="仿宋" w:hAnsi="仿宋" w:hint="eastAsia"/>
          <w:sz w:val="28"/>
          <w:szCs w:val="28"/>
        </w:rPr>
        <w:t>，是为记录</w:t>
      </w:r>
      <w:r w:rsidRPr="00127791">
        <w:rPr>
          <w:rFonts w:ascii="仿宋" w:eastAsia="仿宋" w:hAnsi="仿宋" w:hint="eastAsia"/>
          <w:sz w:val="28"/>
          <w:szCs w:val="28"/>
        </w:rPr>
        <w:t>。</w:t>
      </w:r>
    </w:p>
    <w:p w14:paraId="5C015AAB" w14:textId="549BD0DB" w:rsidR="006771FD" w:rsidRDefault="006771FD" w:rsidP="00814F42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6771FD">
        <w:rPr>
          <w:rFonts w:ascii="仿宋" w:eastAsia="仿宋" w:hAnsi="仿宋" w:hint="eastAsia"/>
        </w:rPr>
        <w:t>业务内容庞杂、生物制品为核心</w:t>
      </w:r>
    </w:p>
    <w:p w14:paraId="78A851B9" w14:textId="1DD14473" w:rsidR="00814F42" w:rsidRDefault="00814F42" w:rsidP="00814F42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814F42">
        <w:rPr>
          <w:rFonts w:ascii="仿宋" w:eastAsia="仿宋" w:hAnsi="仿宋" w:hint="eastAsia"/>
          <w:sz w:val="28"/>
          <w:szCs w:val="28"/>
        </w:rPr>
        <w:t>安科生物的业务内容很复杂，大类包括：生物制品、中成药、化学合成药、原料药和技术服务等内容。</w:t>
      </w:r>
    </w:p>
    <w:p w14:paraId="003BACEC" w14:textId="079C59DC" w:rsidR="00814F42" w:rsidRDefault="00814F42" w:rsidP="00814F42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 wp14:anchorId="4987CF8F" wp14:editId="4AD8BF8A">
            <wp:extent cx="5274945" cy="567880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F16A" w14:textId="6F3DD02F" w:rsidR="00814F42" w:rsidRDefault="00814F42" w:rsidP="00814F42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814F42">
        <w:rPr>
          <w:rFonts w:ascii="仿宋" w:eastAsia="仿宋" w:hAnsi="仿宋" w:hint="eastAsia"/>
          <w:sz w:val="28"/>
          <w:szCs w:val="28"/>
        </w:rPr>
        <w:t>生物制品业务为当前核心主业，贡献公司</w:t>
      </w:r>
      <w:r w:rsidRPr="00814F42">
        <w:rPr>
          <w:rFonts w:ascii="仿宋" w:eastAsia="仿宋" w:hAnsi="仿宋"/>
          <w:sz w:val="28"/>
          <w:szCs w:val="28"/>
        </w:rPr>
        <w:t>75%净利润。近年来，公司产品线不断丰富，拓宽了收入和利润渠道，但最主要收入和毛利来源仍为生物制品</w:t>
      </w:r>
      <w:r w:rsidRPr="004038B7">
        <w:rPr>
          <w:rFonts w:ascii="仿宋" w:eastAsia="仿宋" w:hAnsi="仿宋"/>
          <w:b/>
          <w:bCs/>
          <w:sz w:val="28"/>
          <w:szCs w:val="28"/>
        </w:rPr>
        <w:t>（包括重组人干扰素α2b“安达芬”系列和重组人生产激素“安苏萌”）</w:t>
      </w:r>
      <w:r w:rsidRPr="00814F42">
        <w:rPr>
          <w:rFonts w:ascii="仿宋" w:eastAsia="仿宋" w:hAnsi="仿宋"/>
          <w:sz w:val="28"/>
          <w:szCs w:val="28"/>
        </w:rPr>
        <w:t>。2019 年，公司生物制品收入占比达50.3%，毛利润占比达到 56.9%，净利润占比约 75%。近年来生物制品净利润占比一直</w:t>
      </w:r>
      <w:r w:rsidRPr="00814F42">
        <w:rPr>
          <w:rFonts w:ascii="仿宋" w:eastAsia="仿宋" w:hAnsi="仿宋" w:hint="eastAsia"/>
          <w:sz w:val="28"/>
          <w:szCs w:val="28"/>
        </w:rPr>
        <w:t>呈现提升趋势。从各业务毛利率来看，生物制药毛利率一直维持在</w:t>
      </w:r>
      <w:r w:rsidRPr="00814F42">
        <w:rPr>
          <w:rFonts w:ascii="仿宋" w:eastAsia="仿宋" w:hAnsi="仿宋"/>
          <w:sz w:val="28"/>
          <w:szCs w:val="28"/>
        </w:rPr>
        <w:t xml:space="preserve"> 90%左右，明显高于公司其他业务的平均毛利率。</w:t>
      </w:r>
    </w:p>
    <w:p w14:paraId="31689057" w14:textId="546E2023" w:rsidR="004038B7" w:rsidRDefault="00A3396F" w:rsidP="00022D11">
      <w:pPr>
        <w:jc w:val="left"/>
        <w:rPr>
          <w:rFonts w:ascii="仿宋" w:eastAsia="仿宋" w:hAnsi="仿宋"/>
          <w:sz w:val="28"/>
          <w:szCs w:val="28"/>
        </w:rPr>
      </w:pPr>
      <w:r w:rsidRPr="00A3396F">
        <w:rPr>
          <w:rFonts w:ascii="仿宋" w:eastAsia="仿宋" w:hAnsi="仿宋"/>
          <w:sz w:val="28"/>
          <w:szCs w:val="28"/>
        </w:rPr>
        <w:lastRenderedPageBreak/>
        <w:drawing>
          <wp:inline distT="0" distB="0" distL="0" distR="0" wp14:anchorId="069177AF" wp14:editId="18CE8435">
            <wp:extent cx="5274310" cy="4319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4C0E" w14:textId="513E6B7C" w:rsidR="00FA6545" w:rsidRDefault="00FA6545" w:rsidP="00FA6545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FA6545">
        <w:rPr>
          <w:rFonts w:ascii="仿宋" w:eastAsia="仿宋" w:hAnsi="仿宋" w:hint="eastAsia"/>
        </w:rPr>
        <w:t>生长激素</w:t>
      </w:r>
      <w:r>
        <w:rPr>
          <w:rFonts w:ascii="仿宋" w:eastAsia="仿宋" w:hAnsi="仿宋" w:hint="eastAsia"/>
        </w:rPr>
        <w:t>目前市场占有率第二</w:t>
      </w:r>
    </w:p>
    <w:p w14:paraId="0203141A" w14:textId="684A7CB8" w:rsidR="00BD061F" w:rsidRPr="00BD061F" w:rsidRDefault="00BD061F" w:rsidP="00E31D9E">
      <w:pPr>
        <w:ind w:firstLineChars="200" w:firstLine="560"/>
        <w:jc w:val="left"/>
        <w:rPr>
          <w:rFonts w:ascii="仿宋" w:eastAsia="仿宋" w:hAnsi="仿宋" w:hint="eastAsia"/>
          <w:sz w:val="28"/>
          <w:szCs w:val="28"/>
        </w:rPr>
      </w:pPr>
      <w:r w:rsidRPr="00BD061F">
        <w:rPr>
          <w:rFonts w:ascii="仿宋" w:eastAsia="仿宋" w:hAnsi="仿宋" w:hint="eastAsia"/>
          <w:sz w:val="28"/>
          <w:szCs w:val="28"/>
        </w:rPr>
        <w:t>长期来看，生长激素市场有望形成金赛药业、安科生物双寡头局面。目前，金赛药业主导国内生长激素市场，安科生物紧随其后</w:t>
      </w:r>
      <w:r w:rsidR="00FA1CCD">
        <w:rPr>
          <w:rFonts w:ascii="仿宋" w:eastAsia="仿宋" w:hAnsi="仿宋" w:hint="eastAsia"/>
          <w:sz w:val="28"/>
          <w:szCs w:val="28"/>
        </w:rPr>
        <w:t>（粉针）</w:t>
      </w:r>
      <w:r w:rsidRPr="00BD061F">
        <w:rPr>
          <w:rFonts w:ascii="仿宋" w:eastAsia="仿宋" w:hAnsi="仿宋" w:hint="eastAsia"/>
          <w:sz w:val="28"/>
          <w:szCs w:val="28"/>
        </w:rPr>
        <w:t>。</w:t>
      </w:r>
      <w:r w:rsidRPr="00BD061F">
        <w:rPr>
          <w:rFonts w:ascii="仿宋" w:eastAsia="仿宋" w:hAnsi="仿宋"/>
          <w:sz w:val="28"/>
          <w:szCs w:val="28"/>
        </w:rPr>
        <w:t>2014 年默克雪莱诺退出国内生长激素市场后，</w:t>
      </w:r>
      <w:r w:rsidRPr="00BD061F">
        <w:rPr>
          <w:rFonts w:ascii="仿宋" w:eastAsia="仿宋" w:hAnsi="仿宋" w:hint="eastAsia"/>
          <w:sz w:val="28"/>
          <w:szCs w:val="28"/>
        </w:rPr>
        <w:t>市场份额基本被金赛药业、安科生物和联合赛尔三家企业占有，长期有望被金赛药业和安科生物双寡头垄断。</w:t>
      </w:r>
      <w:r w:rsidRPr="00BD061F">
        <w:rPr>
          <w:rFonts w:ascii="仿宋" w:eastAsia="仿宋" w:hAnsi="仿宋"/>
          <w:sz w:val="28"/>
          <w:szCs w:val="28"/>
        </w:rPr>
        <w:t>2019 年，样本医院生长激素市场金赛药业份额为 75%，安科生</w:t>
      </w:r>
      <w:r w:rsidRPr="00BD061F">
        <w:rPr>
          <w:rFonts w:ascii="仿宋" w:eastAsia="仿宋" w:hAnsi="仿宋" w:hint="eastAsia"/>
          <w:sz w:val="28"/>
          <w:szCs w:val="28"/>
        </w:rPr>
        <w:t>物为</w:t>
      </w:r>
      <w:r w:rsidRPr="00BD061F">
        <w:rPr>
          <w:rFonts w:ascii="仿宋" w:eastAsia="仿宋" w:hAnsi="仿宋"/>
          <w:sz w:val="28"/>
          <w:szCs w:val="28"/>
        </w:rPr>
        <w:t xml:space="preserve"> 14%，联合赛尔为 8%，其他不足 4%。从生产端角度来看，生长激素工艺流程比</w:t>
      </w:r>
      <w:r w:rsidRPr="00BD061F">
        <w:rPr>
          <w:rFonts w:ascii="仿宋" w:eastAsia="仿宋" w:hAnsi="仿宋" w:hint="eastAsia"/>
          <w:sz w:val="28"/>
          <w:szCs w:val="28"/>
        </w:rPr>
        <w:t>较复杂，难以规模化生产，具有较高的技术壁垒；从销售端角度来看，生长激素的使用对于医生和患者均会产生较强粘性（需要不断调整给药剂量、定期</w:t>
      </w:r>
      <w:r w:rsidRPr="00BD061F">
        <w:rPr>
          <w:rFonts w:ascii="仿宋" w:eastAsia="仿宋" w:hAnsi="仿宋" w:hint="eastAsia"/>
          <w:sz w:val="28"/>
          <w:szCs w:val="28"/>
        </w:rPr>
        <w:lastRenderedPageBreak/>
        <w:t>随访并检查各项指标），预计国内市场将长期保持寡头垄断的竞争格局。</w:t>
      </w:r>
      <w:r w:rsidRPr="00BD061F">
        <w:rPr>
          <w:rFonts w:ascii="仿宋" w:eastAsia="仿宋" w:hAnsi="仿宋"/>
          <w:sz w:val="28"/>
          <w:szCs w:val="28"/>
        </w:rPr>
        <w:cr/>
      </w:r>
      <w:r w:rsidRPr="00BD061F">
        <w:drawing>
          <wp:inline distT="0" distB="0" distL="0" distR="0" wp14:anchorId="1CDA28F6" wp14:editId="1B8F61BD">
            <wp:extent cx="5274310" cy="2780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E6F" w14:textId="48B635D7" w:rsidR="00FA6545" w:rsidRDefault="00FA6545" w:rsidP="00FA6545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FA6545">
        <w:rPr>
          <w:rFonts w:ascii="仿宋" w:eastAsia="仿宋" w:hAnsi="仿宋" w:hint="eastAsia"/>
        </w:rPr>
        <w:t>产能大增为公司最大看点</w:t>
      </w:r>
    </w:p>
    <w:p w14:paraId="02998BD0" w14:textId="1702D804" w:rsidR="00FA6545" w:rsidRDefault="00D963B4" w:rsidP="004A1D88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D963B4">
        <w:rPr>
          <w:rFonts w:ascii="仿宋" w:eastAsia="仿宋" w:hAnsi="仿宋" w:hint="eastAsia"/>
          <w:sz w:val="28"/>
          <w:szCs w:val="28"/>
        </w:rPr>
        <w:t>长效水针有望</w:t>
      </w:r>
      <w:r w:rsidRPr="00D963B4">
        <w:rPr>
          <w:rFonts w:ascii="仿宋" w:eastAsia="仿宋" w:hAnsi="仿宋"/>
          <w:sz w:val="28"/>
          <w:szCs w:val="28"/>
        </w:rPr>
        <w:t xml:space="preserve"> 2021 年获批上市，完成产品线全覆盖。公司长效水针 2019 年已完成临</w:t>
      </w:r>
      <w:r w:rsidRPr="00D963B4">
        <w:rPr>
          <w:rFonts w:ascii="仿宋" w:eastAsia="仿宋" w:hAnsi="仿宋" w:hint="eastAsia"/>
          <w:sz w:val="28"/>
          <w:szCs w:val="28"/>
        </w:rPr>
        <w:t>床研究，目前处于待申报生产阶段，预计长效水针有望于</w:t>
      </w:r>
      <w:r w:rsidRPr="00D963B4">
        <w:rPr>
          <w:rFonts w:ascii="仿宋" w:eastAsia="仿宋" w:hAnsi="仿宋"/>
          <w:sz w:val="28"/>
          <w:szCs w:val="28"/>
        </w:rPr>
        <w:t xml:space="preserve"> 2020 年报产，2021年获批，</w:t>
      </w:r>
      <w:r w:rsidRPr="00D963B4">
        <w:rPr>
          <w:rFonts w:ascii="仿宋" w:eastAsia="仿宋" w:hAnsi="仿宋" w:hint="eastAsia"/>
          <w:sz w:val="28"/>
          <w:szCs w:val="28"/>
        </w:rPr>
        <w:t>届时公司将实现生长激素全产品线覆盖，大幅提升竞争优势。</w:t>
      </w:r>
    </w:p>
    <w:p w14:paraId="6325C946" w14:textId="4237AAD7" w:rsidR="004A1D88" w:rsidRDefault="004A1D88" w:rsidP="004A1D88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4A1D88">
        <w:rPr>
          <w:rFonts w:ascii="仿宋" w:eastAsia="仿宋" w:hAnsi="仿宋"/>
          <w:sz w:val="28"/>
          <w:szCs w:val="28"/>
        </w:rPr>
        <w:t>安科生物在北区利用现有一栋厂房建设了年产一条 2000 万支注射用重组人生长激素生产线，目前已经完成 生产线净化厂房和工艺管线的建设，全部生产设备、配套设施已经安装就位，正在进行设备调试和验证确认工作，消防设施和环保设施也同步建设到位，预计今年将报产并获批，生长激素产能将达到 3000 万支</w:t>
      </w:r>
      <w:r w:rsidRPr="004A1D88">
        <w:rPr>
          <w:rFonts w:ascii="仿宋" w:eastAsia="仿宋" w:hAnsi="仿宋" w:hint="eastAsia"/>
          <w:b/>
          <w:bCs/>
          <w:sz w:val="28"/>
          <w:szCs w:val="28"/>
        </w:rPr>
        <w:t>（与金赛相当）</w:t>
      </w:r>
      <w:r>
        <w:rPr>
          <w:rFonts w:ascii="仿宋" w:eastAsia="仿宋" w:hAnsi="仿宋" w:hint="eastAsia"/>
          <w:sz w:val="28"/>
          <w:szCs w:val="28"/>
        </w:rPr>
        <w:t>。</w:t>
      </w:r>
    </w:p>
    <w:p w14:paraId="28E23791" w14:textId="5DF4C689" w:rsidR="004A1D88" w:rsidRPr="004A1D88" w:rsidRDefault="004A1D88" w:rsidP="004A1D88">
      <w:pPr>
        <w:rPr>
          <w:rFonts w:ascii="仿宋" w:eastAsia="仿宋" w:hAnsi="仿宋" w:hint="eastAsia"/>
          <w:sz w:val="28"/>
          <w:szCs w:val="28"/>
        </w:rPr>
      </w:pPr>
      <w:r w:rsidRPr="004A1D88">
        <w:rPr>
          <w:rFonts w:ascii="仿宋" w:eastAsia="仿宋" w:hAnsi="仿宋"/>
          <w:sz w:val="28"/>
          <w:szCs w:val="28"/>
        </w:rPr>
        <w:lastRenderedPageBreak/>
        <w:drawing>
          <wp:inline distT="0" distB="0" distL="0" distR="0" wp14:anchorId="12716B8F" wp14:editId="4FB7DDB1">
            <wp:extent cx="5274310" cy="2806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253F" w14:textId="168DB83C" w:rsidR="00A3396F" w:rsidRDefault="008D0BE5" w:rsidP="008D0BE5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8D0BE5">
        <w:rPr>
          <w:rFonts w:ascii="仿宋" w:eastAsia="仿宋" w:hAnsi="仿宋" w:hint="eastAsia"/>
        </w:rPr>
        <w:t>预计未来2年净利润因生长激素放量而大幅增长</w:t>
      </w:r>
    </w:p>
    <w:p w14:paraId="6950FF7C" w14:textId="35E80FC9" w:rsidR="008D0BE5" w:rsidRPr="008D0BE5" w:rsidRDefault="00320574" w:rsidP="008D0BE5">
      <w:pPr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按券商预计，</w:t>
      </w:r>
      <w:r w:rsidR="008D0BE5" w:rsidRPr="008D0BE5">
        <w:rPr>
          <w:rFonts w:ascii="仿宋" w:eastAsia="仿宋" w:hAnsi="仿宋"/>
          <w:sz w:val="28"/>
          <w:szCs w:val="28"/>
        </w:rPr>
        <w:t>公司 21Q1 归母端利润增速 54%，扣非端 62%，相比此前预告的 40%-60%业绩增长，靠近上限，21Q1 公司业绩高增长的主要动力是生长激素业务</w:t>
      </w:r>
      <w:r w:rsidR="008D0BE5" w:rsidRPr="008D0BE5">
        <w:rPr>
          <w:rFonts w:ascii="仿宋" w:eastAsia="仿宋" w:hAnsi="仿宋" w:hint="eastAsia"/>
          <w:sz w:val="28"/>
          <w:szCs w:val="28"/>
        </w:rPr>
        <w:t>，</w:t>
      </w:r>
      <w:r w:rsidR="008D0BE5" w:rsidRPr="008D0BE5">
        <w:rPr>
          <w:rFonts w:ascii="仿宋" w:eastAsia="仿宋" w:hAnsi="仿宋"/>
          <w:sz w:val="28"/>
          <w:szCs w:val="28"/>
        </w:rPr>
        <w:t>生长激素的测算收入同比增长在 80%-100%的水平，明显高于市场此前的预期。</w:t>
      </w:r>
    </w:p>
    <w:p w14:paraId="55E187A0" w14:textId="09D2F931" w:rsidR="008D0BE5" w:rsidRDefault="008D0BE5" w:rsidP="008D0BE5">
      <w:pPr>
        <w:ind w:firstLineChars="200" w:firstLine="560"/>
        <w:rPr>
          <w:rFonts w:ascii="仿宋" w:eastAsia="仿宋" w:hAnsi="仿宋"/>
          <w:sz w:val="28"/>
          <w:szCs w:val="28"/>
        </w:rPr>
      </w:pPr>
      <w:r w:rsidRPr="008D0BE5">
        <w:rPr>
          <w:rFonts w:ascii="仿宋" w:eastAsia="仿宋" w:hAnsi="仿宋"/>
          <w:sz w:val="28"/>
          <w:szCs w:val="28"/>
        </w:rPr>
        <w:t>预计 2021-2023 年公司归母净利润分别为 5.2，6.9，8.8 亿元， 对应增速 45.3%，31.5%，28.2%</w:t>
      </w:r>
      <w:r>
        <w:rPr>
          <w:rFonts w:ascii="仿宋" w:eastAsia="仿宋" w:hAnsi="仿宋" w:hint="eastAsia"/>
          <w:sz w:val="28"/>
          <w:szCs w:val="28"/>
        </w:rPr>
        <w:t>。</w:t>
      </w:r>
      <w:r w:rsidR="00D80866">
        <w:rPr>
          <w:rFonts w:ascii="仿宋" w:eastAsia="仿宋" w:hAnsi="仿宋" w:hint="eastAsia"/>
          <w:sz w:val="28"/>
          <w:szCs w:val="28"/>
        </w:rPr>
        <w:t>今日股价1</w:t>
      </w:r>
      <w:r w:rsidR="00D80866">
        <w:rPr>
          <w:rFonts w:ascii="仿宋" w:eastAsia="仿宋" w:hAnsi="仿宋"/>
          <w:sz w:val="28"/>
          <w:szCs w:val="28"/>
        </w:rPr>
        <w:t>5</w:t>
      </w:r>
      <w:r w:rsidR="00D80866">
        <w:rPr>
          <w:rFonts w:ascii="仿宋" w:eastAsia="仿宋" w:hAnsi="仿宋" w:hint="eastAsia"/>
          <w:sz w:val="28"/>
          <w:szCs w:val="28"/>
        </w:rPr>
        <w:t>元对应2</w:t>
      </w:r>
      <w:r w:rsidR="00D80866">
        <w:rPr>
          <w:rFonts w:ascii="仿宋" w:eastAsia="仿宋" w:hAnsi="仿宋"/>
          <w:sz w:val="28"/>
          <w:szCs w:val="28"/>
        </w:rPr>
        <w:t>021</w:t>
      </w:r>
      <w:r w:rsidR="00D80866">
        <w:rPr>
          <w:rFonts w:ascii="仿宋" w:eastAsia="仿宋" w:hAnsi="仿宋" w:hint="eastAsia"/>
          <w:sz w:val="28"/>
          <w:szCs w:val="28"/>
        </w:rPr>
        <w:t>年预计EPS</w:t>
      </w:r>
      <w:r w:rsidR="00D80866">
        <w:rPr>
          <w:rFonts w:ascii="仿宋" w:eastAsia="仿宋" w:hAnsi="仿宋"/>
          <w:sz w:val="28"/>
          <w:szCs w:val="28"/>
        </w:rPr>
        <w:t xml:space="preserve"> 0.38</w:t>
      </w:r>
      <w:r w:rsidR="00D80866">
        <w:rPr>
          <w:rFonts w:ascii="仿宋" w:eastAsia="仿宋" w:hAnsi="仿宋" w:hint="eastAsia"/>
          <w:sz w:val="28"/>
          <w:szCs w:val="28"/>
        </w:rPr>
        <w:t>元为3</w:t>
      </w:r>
      <w:r w:rsidR="00D80866">
        <w:rPr>
          <w:rFonts w:ascii="仿宋" w:eastAsia="仿宋" w:hAnsi="仿宋"/>
          <w:sz w:val="28"/>
          <w:szCs w:val="28"/>
        </w:rPr>
        <w:t>9</w:t>
      </w:r>
      <w:r w:rsidR="00D80866">
        <w:rPr>
          <w:rFonts w:ascii="仿宋" w:eastAsia="仿宋" w:hAnsi="仿宋" w:hint="eastAsia"/>
          <w:sz w:val="28"/>
          <w:szCs w:val="28"/>
        </w:rPr>
        <w:t>倍，PEG=</w:t>
      </w:r>
      <w:r w:rsidR="00D80866">
        <w:rPr>
          <w:rFonts w:ascii="仿宋" w:eastAsia="仿宋" w:hAnsi="仿宋"/>
          <w:sz w:val="28"/>
          <w:szCs w:val="28"/>
        </w:rPr>
        <w:t>1</w:t>
      </w:r>
      <w:r w:rsidR="00D80866">
        <w:rPr>
          <w:rFonts w:ascii="仿宋" w:eastAsia="仿宋" w:hAnsi="仿宋" w:hint="eastAsia"/>
          <w:sz w:val="28"/>
          <w:szCs w:val="28"/>
        </w:rPr>
        <w:t>属于比较合理的价格，因此安科的股价也表现的比金赛更加坚挺，目前已经止跌了。</w:t>
      </w:r>
    </w:p>
    <w:p w14:paraId="1FDDA8A7" w14:textId="2F816DCF" w:rsidR="003A790C" w:rsidRDefault="003A790C" w:rsidP="003A790C">
      <w:pPr>
        <w:pStyle w:val="2"/>
        <w:numPr>
          <w:ilvl w:val="0"/>
          <w:numId w:val="1"/>
        </w:numPr>
        <w:rPr>
          <w:rFonts w:ascii="仿宋" w:eastAsia="仿宋" w:hAnsi="仿宋"/>
        </w:rPr>
      </w:pPr>
      <w:r w:rsidRPr="003A790C">
        <w:rPr>
          <w:rFonts w:ascii="仿宋" w:eastAsia="仿宋" w:hAnsi="仿宋" w:hint="eastAsia"/>
        </w:rPr>
        <w:t>后续观察跟踪的要点</w:t>
      </w:r>
    </w:p>
    <w:p w14:paraId="135E6EC0" w14:textId="5E9F2E46" w:rsidR="003A790C" w:rsidRDefault="003A790C" w:rsidP="003A790C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28"/>
          <w:szCs w:val="28"/>
        </w:rPr>
      </w:pPr>
      <w:r w:rsidRPr="003A790C">
        <w:rPr>
          <w:rFonts w:ascii="仿宋" w:eastAsia="仿宋" w:hAnsi="仿宋" w:hint="eastAsia"/>
          <w:sz w:val="28"/>
          <w:szCs w:val="28"/>
        </w:rPr>
        <w:t>集采事件的最终发展如何？是否对生长激素的逻辑造成了巨大的影响，按目前个人判断是不会的，因为生长激素的销售主要在公立医院外，另外也仅限于矮小症，占比较小</w:t>
      </w:r>
      <w:r w:rsidR="00E00823">
        <w:rPr>
          <w:rFonts w:ascii="仿宋" w:eastAsia="仿宋" w:hAnsi="仿宋" w:hint="eastAsia"/>
          <w:sz w:val="28"/>
          <w:szCs w:val="28"/>
        </w:rPr>
        <w:t>。</w:t>
      </w:r>
    </w:p>
    <w:p w14:paraId="49CAC168" w14:textId="787663A4" w:rsidR="003A790C" w:rsidRDefault="003A790C" w:rsidP="003A790C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安科水针的销售是否可以保持高速的增长，</w:t>
      </w:r>
      <w:r w:rsidR="00BA3341">
        <w:rPr>
          <w:rFonts w:ascii="仿宋" w:eastAsia="仿宋" w:hAnsi="仿宋" w:hint="eastAsia"/>
          <w:sz w:val="28"/>
          <w:szCs w:val="28"/>
        </w:rPr>
        <w:t>对安科收入的</w:t>
      </w:r>
      <w:r w:rsidR="00D217EB">
        <w:rPr>
          <w:rFonts w:ascii="仿宋" w:eastAsia="仿宋" w:hAnsi="仿宋" w:hint="eastAsia"/>
          <w:sz w:val="28"/>
          <w:szCs w:val="28"/>
        </w:rPr>
        <w:t>贡献</w:t>
      </w:r>
      <w:r w:rsidR="00BA3341">
        <w:rPr>
          <w:rFonts w:ascii="仿宋" w:eastAsia="仿宋" w:hAnsi="仿宋" w:hint="eastAsia"/>
          <w:sz w:val="28"/>
          <w:szCs w:val="28"/>
        </w:rPr>
        <w:t>能从当前5</w:t>
      </w:r>
      <w:r w:rsidR="00BA3341">
        <w:rPr>
          <w:rFonts w:ascii="仿宋" w:eastAsia="仿宋" w:hAnsi="仿宋"/>
          <w:sz w:val="28"/>
          <w:szCs w:val="28"/>
        </w:rPr>
        <w:t>0%</w:t>
      </w:r>
      <w:r w:rsidR="00BA3341">
        <w:rPr>
          <w:rFonts w:ascii="仿宋" w:eastAsia="仿宋" w:hAnsi="仿宋" w:hint="eastAsia"/>
          <w:sz w:val="28"/>
          <w:szCs w:val="28"/>
        </w:rPr>
        <w:t>提到到多少</w:t>
      </w:r>
      <w:r>
        <w:rPr>
          <w:rFonts w:ascii="仿宋" w:eastAsia="仿宋" w:hAnsi="仿宋" w:hint="eastAsia"/>
          <w:sz w:val="28"/>
          <w:szCs w:val="28"/>
        </w:rPr>
        <w:t>？</w:t>
      </w:r>
    </w:p>
    <w:p w14:paraId="34B6EBB9" w14:textId="0A344BAE" w:rsidR="003A790C" w:rsidRDefault="003A790C" w:rsidP="003A790C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安科和金赛之间的竞争关系是否会恶化，例如爆发价格战。</w:t>
      </w:r>
    </w:p>
    <w:p w14:paraId="13480B02" w14:textId="427B460C" w:rsidR="003A790C" w:rsidRPr="003A790C" w:rsidRDefault="00BA3341" w:rsidP="003A790C">
      <w:pPr>
        <w:pStyle w:val="a3"/>
        <w:numPr>
          <w:ilvl w:val="0"/>
          <w:numId w:val="2"/>
        </w:numPr>
        <w:ind w:firstLineChars="0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观察生长激素龙头市场占有率的变化，看看金赛的垄断地位是否受损？</w:t>
      </w:r>
    </w:p>
    <w:sectPr w:rsidR="003A790C" w:rsidRPr="003A79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E337E" w14:textId="77777777" w:rsidR="00680D30" w:rsidRDefault="00680D30" w:rsidP="00814F42">
      <w:r>
        <w:separator/>
      </w:r>
    </w:p>
  </w:endnote>
  <w:endnote w:type="continuationSeparator" w:id="0">
    <w:p w14:paraId="54E6339C" w14:textId="77777777" w:rsidR="00680D30" w:rsidRDefault="00680D30" w:rsidP="00814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42D16" w14:textId="77777777" w:rsidR="00680D30" w:rsidRDefault="00680D30" w:rsidP="00814F42">
      <w:r>
        <w:separator/>
      </w:r>
    </w:p>
  </w:footnote>
  <w:footnote w:type="continuationSeparator" w:id="0">
    <w:p w14:paraId="5C333108" w14:textId="77777777" w:rsidR="00680D30" w:rsidRDefault="00680D30" w:rsidP="00814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B20FA"/>
    <w:multiLevelType w:val="hybridMultilevel"/>
    <w:tmpl w:val="A82666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CC022A7"/>
    <w:multiLevelType w:val="hybridMultilevel"/>
    <w:tmpl w:val="172C4F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75A"/>
    <w:rsid w:val="00022D11"/>
    <w:rsid w:val="00127791"/>
    <w:rsid w:val="001935B3"/>
    <w:rsid w:val="002162E7"/>
    <w:rsid w:val="00320574"/>
    <w:rsid w:val="003A790C"/>
    <w:rsid w:val="003B46C0"/>
    <w:rsid w:val="004038B7"/>
    <w:rsid w:val="004A1D88"/>
    <w:rsid w:val="006771FD"/>
    <w:rsid w:val="00680D30"/>
    <w:rsid w:val="00814F42"/>
    <w:rsid w:val="008D0BE5"/>
    <w:rsid w:val="009F0B22"/>
    <w:rsid w:val="00A3396F"/>
    <w:rsid w:val="00BA3341"/>
    <w:rsid w:val="00BD061F"/>
    <w:rsid w:val="00CF4E52"/>
    <w:rsid w:val="00D217EB"/>
    <w:rsid w:val="00D227C0"/>
    <w:rsid w:val="00D80866"/>
    <w:rsid w:val="00D963B4"/>
    <w:rsid w:val="00E00823"/>
    <w:rsid w:val="00E31D9E"/>
    <w:rsid w:val="00F1275A"/>
    <w:rsid w:val="00FA1CCD"/>
    <w:rsid w:val="00FA6545"/>
    <w:rsid w:val="00FC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6B8F0"/>
  <w15:chartTrackingRefBased/>
  <w15:docId w15:val="{CAC59F0F-F6BC-4DB8-B572-200D8F89F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27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62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275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62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14F4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14F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14F4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14F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14F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琛 王</dc:creator>
  <cp:keywords/>
  <dc:description/>
  <cp:lastModifiedBy>琛 王</cp:lastModifiedBy>
  <cp:revision>24</cp:revision>
  <cp:lastPrinted>2021-05-27T08:05:00Z</cp:lastPrinted>
  <dcterms:created xsi:type="dcterms:W3CDTF">2021-05-27T07:41:00Z</dcterms:created>
  <dcterms:modified xsi:type="dcterms:W3CDTF">2021-05-27T08:10:00Z</dcterms:modified>
</cp:coreProperties>
</file>