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96B0D7">
      <w:pPr>
        <w:jc w:val="right"/>
        <w:rPr>
          <w:b/>
          <w:bCs/>
        </w:rPr>
      </w:pPr>
      <w:r>
        <w:rPr>
          <w:b/>
          <w:bCs/>
          <w:sz w:val="32"/>
          <w:szCs w:val="32"/>
        </w:rPr>
        <w:drawing>
          <wp:anchor distT="0" distB="0" distL="0" distR="0" simplePos="0" relativeHeight="251660288" behindDoc="0" locked="0" layoutInCell="1" allowOverlap="1">
            <wp:simplePos x="0" y="0"/>
            <wp:positionH relativeFrom="page">
              <wp:posOffset>937895</wp:posOffset>
            </wp:positionH>
            <wp:positionV relativeFrom="paragraph">
              <wp:posOffset>-3810</wp:posOffset>
            </wp:positionV>
            <wp:extent cx="791210" cy="77660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91289" cy="776699"/>
                    </a:xfrm>
                    <a:prstGeom prst="rect">
                      <a:avLst/>
                    </a:prstGeom>
                  </pic:spPr>
                </pic:pic>
              </a:graphicData>
            </a:graphic>
          </wp:anchor>
        </w:drawing>
      </w:r>
      <w:r>
        <w:rPr>
          <w:b/>
          <w:bCs/>
          <w:sz w:val="32"/>
          <w:szCs w:val="32"/>
        </w:rPr>
        <w:t>PROPOSAL</w:t>
      </w:r>
      <w:r>
        <w:rPr>
          <w:b/>
          <w:bCs/>
          <w:spacing w:val="-17"/>
          <w:sz w:val="32"/>
          <w:szCs w:val="32"/>
        </w:rPr>
        <w:t xml:space="preserve"> </w:t>
      </w:r>
      <w:r>
        <w:rPr>
          <w:b/>
          <w:bCs/>
          <w:spacing w:val="-2"/>
          <w:sz w:val="32"/>
          <w:szCs w:val="32"/>
        </w:rPr>
        <w:t>PROYEK</w:t>
      </w:r>
    </w:p>
    <w:p w14:paraId="5E0ACB65">
      <w:pPr>
        <w:jc w:val="right"/>
        <w:rPr>
          <w:b/>
          <w:bCs/>
        </w:rPr>
      </w:pPr>
      <w:r>
        <w:rPr>
          <w:b/>
          <w:bCs/>
          <w:sz w:val="32"/>
          <w:szCs w:val="32"/>
        </w:rPr>
        <w:t>AKHIR</w:t>
      </w:r>
    </w:p>
    <w:p w14:paraId="5F29D0BC">
      <w:pPr>
        <w:pStyle w:val="7"/>
        <w:jc w:val="left"/>
        <w:rPr>
          <w:b/>
          <w:sz w:val="24"/>
        </w:rPr>
      </w:pPr>
    </w:p>
    <w:p w14:paraId="62399D7A">
      <w:pPr>
        <w:pStyle w:val="7"/>
        <w:jc w:val="left"/>
        <w:rPr>
          <w:b/>
          <w:sz w:val="24"/>
        </w:rPr>
      </w:pPr>
    </w:p>
    <w:p w14:paraId="575B41B6">
      <w:pPr>
        <w:pStyle w:val="7"/>
        <w:spacing w:before="23"/>
        <w:jc w:val="left"/>
        <w:rPr>
          <w:b/>
          <w:sz w:val="24"/>
        </w:rPr>
      </w:pPr>
    </w:p>
    <w:p w14:paraId="334A39D5">
      <w:pPr>
        <w:pStyle w:val="7"/>
        <w:jc w:val="center"/>
        <w:rPr>
          <w:b/>
          <w:bCs/>
          <w:sz w:val="24"/>
          <w:szCs w:val="24"/>
        </w:rPr>
      </w:pPr>
      <w:r>
        <w:rPr>
          <w:rFonts w:hint="default"/>
          <w:b/>
          <w:bCs/>
          <w:sz w:val="24"/>
          <w:szCs w:val="24"/>
          <w:lang w:val="en-US"/>
        </w:rPr>
        <w:t>CROSS-DATASET EVALUATION OF IOT/IIOT INTRUSION DETECTION MODEL GENERALIZATION ON CIC IIOT 2025</w:t>
      </w:r>
    </w:p>
    <w:p w14:paraId="1D2EAE9E">
      <w:pPr>
        <w:pStyle w:val="7"/>
        <w:jc w:val="left"/>
        <w:rPr>
          <w:b/>
          <w:sz w:val="24"/>
        </w:rPr>
      </w:pPr>
    </w:p>
    <w:p w14:paraId="24326870">
      <w:pPr>
        <w:pStyle w:val="7"/>
        <w:jc w:val="left"/>
        <w:rPr>
          <w:b/>
          <w:sz w:val="24"/>
        </w:rPr>
      </w:pPr>
    </w:p>
    <w:p w14:paraId="3CDD443D">
      <w:pPr>
        <w:pStyle w:val="7"/>
        <w:jc w:val="left"/>
        <w:rPr>
          <w:b/>
          <w:sz w:val="24"/>
        </w:rPr>
      </w:pPr>
    </w:p>
    <w:p w14:paraId="0F8FB0CE">
      <w:pPr>
        <w:pStyle w:val="7"/>
        <w:spacing w:before="132"/>
        <w:jc w:val="left"/>
        <w:rPr>
          <w:b/>
          <w:sz w:val="24"/>
        </w:rPr>
      </w:pPr>
    </w:p>
    <w:p w14:paraId="167E7DBE">
      <w:pPr>
        <w:jc w:val="center"/>
        <w:rPr>
          <w:rFonts w:hint="default"/>
          <w:b/>
          <w:bCs/>
          <w:sz w:val="20"/>
          <w:szCs w:val="20"/>
          <w:lang w:val="en-US"/>
        </w:rPr>
      </w:pPr>
      <w:r>
        <w:rPr>
          <w:rFonts w:hint="default"/>
          <w:b/>
          <w:bCs/>
          <w:sz w:val="20"/>
          <w:szCs w:val="20"/>
          <w:lang w:val="en-US"/>
        </w:rPr>
        <w:t>Wahyu Ikbal Maulana</w:t>
      </w:r>
    </w:p>
    <w:p w14:paraId="0DAAB0A0">
      <w:pPr>
        <w:pStyle w:val="7"/>
        <w:spacing w:before="34"/>
        <w:ind w:left="149" w:right="6"/>
        <w:jc w:val="center"/>
      </w:pPr>
      <w:r>
        <w:t>NRP.</w:t>
      </w:r>
      <w:r>
        <w:rPr>
          <w:spacing w:val="-6"/>
        </w:rPr>
        <w:t xml:space="preserve"> </w:t>
      </w:r>
      <w:r>
        <w:rPr>
          <w:spacing w:val="-2"/>
        </w:rPr>
        <w:t>3323600050</w:t>
      </w:r>
    </w:p>
    <w:p w14:paraId="6846B25B">
      <w:pPr>
        <w:pStyle w:val="7"/>
        <w:jc w:val="left"/>
      </w:pPr>
    </w:p>
    <w:p w14:paraId="7B352ACA">
      <w:pPr>
        <w:pStyle w:val="7"/>
        <w:jc w:val="left"/>
      </w:pPr>
    </w:p>
    <w:p w14:paraId="41B79080">
      <w:pPr>
        <w:pStyle w:val="7"/>
        <w:spacing w:before="9"/>
        <w:jc w:val="left"/>
      </w:pPr>
    </w:p>
    <w:p w14:paraId="3A2F67ED">
      <w:pPr>
        <w:jc w:val="center"/>
        <w:rPr>
          <w:b/>
          <w:bCs/>
          <w:sz w:val="18"/>
          <w:szCs w:val="18"/>
        </w:rPr>
      </w:pPr>
      <w:r>
        <w:rPr>
          <w:b/>
          <w:bCs/>
          <w:sz w:val="20"/>
          <w:szCs w:val="20"/>
        </w:rPr>
        <w:t>DOSEN</w:t>
      </w:r>
      <w:r>
        <w:rPr>
          <w:b/>
          <w:bCs/>
          <w:spacing w:val="-8"/>
          <w:sz w:val="20"/>
          <w:szCs w:val="20"/>
        </w:rPr>
        <w:t xml:space="preserve"> </w:t>
      </w:r>
      <w:r>
        <w:rPr>
          <w:b/>
          <w:bCs/>
          <w:sz w:val="20"/>
          <w:szCs w:val="20"/>
        </w:rPr>
        <w:t>PEMBIMBING</w:t>
      </w:r>
    </w:p>
    <w:p w14:paraId="47B2B861">
      <w:pPr>
        <w:pStyle w:val="7"/>
        <w:spacing w:before="6"/>
        <w:jc w:val="left"/>
        <w:rPr>
          <w:b/>
        </w:rPr>
      </w:pPr>
    </w:p>
    <w:p w14:paraId="358C239F">
      <w:pPr>
        <w:pStyle w:val="7"/>
        <w:jc w:val="center"/>
        <w:rPr>
          <w:rFonts w:hint="default"/>
          <w:b/>
          <w:bCs/>
          <w:sz w:val="20"/>
          <w:szCs w:val="20"/>
        </w:rPr>
      </w:pPr>
      <w:r>
        <w:rPr>
          <w:rFonts w:hint="default"/>
          <w:b/>
          <w:bCs/>
          <w:sz w:val="20"/>
          <w:szCs w:val="20"/>
        </w:rPr>
        <w:t>Dr. Ferry Astika Saputra, S.T., M.Sc..</w:t>
      </w:r>
    </w:p>
    <w:p w14:paraId="259976D5">
      <w:pPr>
        <w:pStyle w:val="7"/>
        <w:jc w:val="center"/>
        <w:rPr>
          <w:rFonts w:hint="default"/>
          <w:b w:val="0"/>
          <w:bCs w:val="0"/>
          <w:sz w:val="20"/>
          <w:szCs w:val="20"/>
        </w:rPr>
      </w:pPr>
      <w:r>
        <w:rPr>
          <w:rFonts w:hint="default"/>
          <w:b w:val="0"/>
          <w:bCs w:val="0"/>
          <w:sz w:val="20"/>
          <w:szCs w:val="20"/>
          <w:lang w:val="en-US"/>
        </w:rPr>
        <w:t xml:space="preserve">NIP. </w:t>
      </w:r>
      <w:r>
        <w:rPr>
          <w:rFonts w:hint="default"/>
          <w:b w:val="0"/>
          <w:bCs w:val="0"/>
          <w:sz w:val="20"/>
          <w:szCs w:val="20"/>
        </w:rPr>
        <w:t>197708232001121002</w:t>
      </w:r>
    </w:p>
    <w:p w14:paraId="0B376D38">
      <w:pPr>
        <w:pStyle w:val="7"/>
        <w:jc w:val="center"/>
        <w:rPr>
          <w:rFonts w:hint="default"/>
          <w:b/>
          <w:bCs/>
          <w:sz w:val="20"/>
          <w:szCs w:val="20"/>
        </w:rPr>
      </w:pPr>
    </w:p>
    <w:p w14:paraId="22F03B85">
      <w:pPr>
        <w:pStyle w:val="7"/>
        <w:jc w:val="center"/>
        <w:rPr>
          <w:rFonts w:hint="default"/>
          <w:b/>
          <w:bCs/>
          <w:sz w:val="20"/>
          <w:szCs w:val="20"/>
        </w:rPr>
      </w:pPr>
      <w:r>
        <w:rPr>
          <w:rFonts w:hint="default"/>
          <w:b/>
          <w:bCs/>
          <w:sz w:val="20"/>
          <w:szCs w:val="20"/>
        </w:rPr>
        <w:t>Dr Tita Karlita S.Kom., M.Kom</w:t>
      </w:r>
    </w:p>
    <w:p w14:paraId="0000001B">
      <w:pPr>
        <w:pStyle w:val="7"/>
        <w:jc w:val="center"/>
        <w:rPr>
          <w:b w:val="0"/>
          <w:bCs w:val="0"/>
          <w:sz w:val="20"/>
          <w:szCs w:val="20"/>
        </w:rPr>
      </w:pPr>
      <w:r>
        <w:rPr>
          <w:rFonts w:hint="default"/>
          <w:b w:val="0"/>
          <w:bCs w:val="0"/>
          <w:sz w:val="20"/>
          <w:szCs w:val="20"/>
          <w:lang w:val="en-US"/>
        </w:rPr>
        <w:t xml:space="preserve">NIP. </w:t>
      </w:r>
      <w:r>
        <w:rPr>
          <w:rFonts w:hint="default"/>
          <w:b w:val="0"/>
          <w:bCs w:val="0"/>
          <w:sz w:val="20"/>
          <w:szCs w:val="20"/>
        </w:rPr>
        <w:t>197910142002122002</w:t>
      </w:r>
    </w:p>
    <w:p w14:paraId="044F202F">
      <w:pPr>
        <w:pStyle w:val="7"/>
        <w:jc w:val="left"/>
      </w:pPr>
    </w:p>
    <w:p w14:paraId="5FA424BD">
      <w:pPr>
        <w:pStyle w:val="7"/>
        <w:jc w:val="left"/>
      </w:pPr>
    </w:p>
    <w:p w14:paraId="37224C57">
      <w:pPr>
        <w:pStyle w:val="7"/>
        <w:jc w:val="left"/>
      </w:pPr>
    </w:p>
    <w:p w14:paraId="39D76BBD">
      <w:pPr>
        <w:pStyle w:val="7"/>
        <w:jc w:val="left"/>
      </w:pPr>
    </w:p>
    <w:p w14:paraId="184D0C1A">
      <w:pPr>
        <w:pStyle w:val="7"/>
        <w:spacing w:before="12"/>
        <w:jc w:val="left"/>
      </w:pPr>
    </w:p>
    <w:p w14:paraId="76E630EC">
      <w:pPr>
        <w:pStyle w:val="7"/>
        <w:spacing w:before="12"/>
        <w:jc w:val="left"/>
      </w:pPr>
    </w:p>
    <w:p w14:paraId="1EDA744B">
      <w:pPr>
        <w:pStyle w:val="7"/>
        <w:spacing w:before="12"/>
        <w:jc w:val="left"/>
      </w:pPr>
    </w:p>
    <w:p w14:paraId="0A536F4E">
      <w:pPr>
        <w:pStyle w:val="7"/>
        <w:spacing w:before="12"/>
        <w:jc w:val="left"/>
      </w:pPr>
    </w:p>
    <w:p w14:paraId="5FE9F1A7">
      <w:pPr>
        <w:pStyle w:val="7"/>
        <w:spacing w:before="12"/>
        <w:jc w:val="left"/>
      </w:pPr>
    </w:p>
    <w:p w14:paraId="2AC3645F">
      <w:pPr>
        <w:pStyle w:val="7"/>
        <w:spacing w:before="12"/>
        <w:jc w:val="left"/>
      </w:pPr>
    </w:p>
    <w:p w14:paraId="6F7C7D9C">
      <w:pPr>
        <w:pStyle w:val="7"/>
        <w:spacing w:before="12"/>
        <w:jc w:val="left"/>
      </w:pPr>
    </w:p>
    <w:p w14:paraId="5ED5FE23">
      <w:pPr>
        <w:jc w:val="center"/>
        <w:rPr>
          <w:b/>
          <w:bCs/>
          <w:sz w:val="20"/>
          <w:szCs w:val="20"/>
        </w:rPr>
      </w:pPr>
      <w:r>
        <w:rPr>
          <w:b/>
          <w:bCs/>
          <w:sz w:val="20"/>
          <w:szCs w:val="20"/>
        </w:rPr>
        <w:t>PROGRAM</w:t>
      </w:r>
      <w:r>
        <w:rPr>
          <w:b/>
          <w:bCs/>
          <w:spacing w:val="-7"/>
          <w:sz w:val="20"/>
          <w:szCs w:val="20"/>
        </w:rPr>
        <w:t xml:space="preserve"> </w:t>
      </w:r>
      <w:r>
        <w:rPr>
          <w:b/>
          <w:bCs/>
          <w:sz w:val="20"/>
          <w:szCs w:val="20"/>
        </w:rPr>
        <w:t>STUDI</w:t>
      </w:r>
      <w:r>
        <w:rPr>
          <w:b/>
          <w:bCs/>
          <w:spacing w:val="-4"/>
          <w:sz w:val="20"/>
          <w:szCs w:val="20"/>
        </w:rPr>
        <w:t xml:space="preserve"> </w:t>
      </w:r>
      <w:r>
        <w:rPr>
          <w:b/>
          <w:bCs/>
          <w:sz w:val="20"/>
          <w:szCs w:val="20"/>
        </w:rPr>
        <w:t>SARJANA</w:t>
      </w:r>
      <w:r>
        <w:rPr>
          <w:b/>
          <w:bCs/>
          <w:spacing w:val="-6"/>
          <w:sz w:val="20"/>
          <w:szCs w:val="20"/>
        </w:rPr>
        <w:t xml:space="preserve"> </w:t>
      </w:r>
      <w:r>
        <w:rPr>
          <w:b/>
          <w:bCs/>
          <w:sz w:val="20"/>
          <w:szCs w:val="20"/>
        </w:rPr>
        <w:t>TERAPAN</w:t>
      </w:r>
      <w:r>
        <w:rPr>
          <w:b/>
          <w:bCs/>
          <w:spacing w:val="-3"/>
          <w:sz w:val="20"/>
          <w:szCs w:val="20"/>
        </w:rPr>
        <w:t xml:space="preserve"> </w:t>
      </w:r>
      <w:r>
        <w:rPr>
          <w:b/>
          <w:bCs/>
          <w:sz w:val="20"/>
          <w:szCs w:val="20"/>
        </w:rPr>
        <w:t>SAINS</w:t>
      </w:r>
      <w:r>
        <w:rPr>
          <w:b/>
          <w:bCs/>
          <w:spacing w:val="-7"/>
          <w:sz w:val="20"/>
          <w:szCs w:val="20"/>
        </w:rPr>
        <w:t xml:space="preserve"> </w:t>
      </w:r>
      <w:r>
        <w:rPr>
          <w:b/>
          <w:bCs/>
          <w:sz w:val="20"/>
          <w:szCs w:val="20"/>
        </w:rPr>
        <w:t>DATA</w:t>
      </w:r>
      <w:r>
        <w:rPr>
          <w:b/>
          <w:bCs/>
          <w:spacing w:val="-6"/>
          <w:sz w:val="20"/>
          <w:szCs w:val="20"/>
        </w:rPr>
        <w:t xml:space="preserve"> </w:t>
      </w:r>
      <w:r>
        <w:rPr>
          <w:b/>
          <w:bCs/>
          <w:sz w:val="20"/>
          <w:szCs w:val="20"/>
        </w:rPr>
        <w:t xml:space="preserve">TERAPAN </w:t>
      </w:r>
      <w:r>
        <w:rPr>
          <w:rFonts w:hint="default"/>
          <w:b/>
          <w:bCs/>
          <w:sz w:val="20"/>
          <w:szCs w:val="20"/>
          <w:lang w:val="en-US"/>
        </w:rPr>
        <w:t xml:space="preserve">JURUSAN </w:t>
      </w:r>
      <w:r>
        <w:rPr>
          <w:b/>
          <w:bCs/>
          <w:sz w:val="20"/>
          <w:szCs w:val="20"/>
        </w:rPr>
        <w:t>TEKNIK INFORMATIKA DAN KOMPUTER POLITEKNIK ELEKTRONIKA NEGERI SURABAYA</w:t>
      </w:r>
    </w:p>
    <w:p w14:paraId="52836380">
      <w:pPr>
        <w:spacing w:before="1"/>
        <w:ind w:left="149"/>
        <w:jc w:val="center"/>
        <w:rPr>
          <w:b/>
          <w:sz w:val="20"/>
        </w:rPr>
      </w:pPr>
      <w:r>
        <w:rPr>
          <w:b/>
          <w:spacing w:val="-4"/>
          <w:sz w:val="20"/>
        </w:rPr>
        <w:t>2026</w:t>
      </w:r>
    </w:p>
    <w:p w14:paraId="4BFB6A5F">
      <w:pPr>
        <w:jc w:val="center"/>
        <w:rPr>
          <w:b/>
          <w:sz w:val="20"/>
        </w:rPr>
        <w:sectPr>
          <w:footerReference r:id="rId4" w:type="first"/>
          <w:footerReference r:id="rId3" w:type="default"/>
          <w:type w:val="continuous"/>
          <w:pgSz w:w="8400" w:h="11910"/>
          <w:pgMar w:top="940" w:right="992" w:bottom="920" w:left="1133" w:header="0" w:footer="739" w:gutter="0"/>
          <w:pgNumType w:fmt="lowerRoman" w:start="1"/>
          <w:cols w:space="720" w:num="1"/>
          <w:docGrid w:linePitch="299" w:charSpace="0"/>
        </w:sectPr>
      </w:pPr>
    </w:p>
    <w:p w14:paraId="4CB90584">
      <w:pPr>
        <w:pStyle w:val="2"/>
        <w:ind w:left="1906"/>
      </w:pPr>
      <w:bookmarkStart w:id="0" w:name="_bookmark0"/>
      <w:bookmarkEnd w:id="0"/>
      <w:bookmarkStart w:id="1" w:name="_Toc232668776"/>
      <w:r>
        <w:t xml:space="preserve">BAB 1 </w:t>
      </w:r>
      <w:r>
        <w:rPr>
          <w:spacing w:val="-2"/>
        </w:rPr>
        <w:t>PENDAHULUAN</w:t>
      </w:r>
      <w:bookmarkEnd w:id="1"/>
    </w:p>
    <w:p w14:paraId="71157FE7">
      <w:pPr>
        <w:pStyle w:val="7"/>
        <w:spacing w:before="8"/>
        <w:jc w:val="left"/>
        <w:rPr>
          <w:b/>
          <w:sz w:val="24"/>
        </w:rPr>
      </w:pPr>
    </w:p>
    <w:p w14:paraId="60D8B0C9">
      <w:pPr>
        <w:pStyle w:val="3"/>
        <w:numPr>
          <w:ilvl w:val="1"/>
          <w:numId w:val="1"/>
        </w:numPr>
        <w:tabs>
          <w:tab w:val="left" w:pos="686"/>
        </w:tabs>
        <w:ind w:left="686" w:hanging="401"/>
      </w:pPr>
      <w:bookmarkStart w:id="2" w:name="_bookmark1"/>
      <w:bookmarkEnd w:id="2"/>
      <w:bookmarkStart w:id="3" w:name="_Toc232668777"/>
      <w:r>
        <w:t>LATAR</w:t>
      </w:r>
      <w:r>
        <w:rPr>
          <w:spacing w:val="-11"/>
        </w:rPr>
        <w:t xml:space="preserve"> </w:t>
      </w:r>
      <w:r>
        <w:rPr>
          <w:spacing w:val="-2"/>
        </w:rPr>
        <w:t>BELAKANG</w:t>
      </w:r>
      <w:bookmarkEnd w:id="3"/>
    </w:p>
    <w:p w14:paraId="30D80ADE">
      <w:pPr>
        <w:pStyle w:val="7"/>
        <w:spacing w:before="154" w:line="276" w:lineRule="auto"/>
        <w:ind w:left="285" w:right="136" w:firstLine="427"/>
      </w:pPr>
      <w:r>
        <w:t>Perkembangan Internet of Things (IoT) dan Industrial Internet of Things (IIoT) telah mendorong adopsi perangkat terhubung secara masif di berbagai sektor, mulai dari konsumen rumahan hingga infrastruktur industri kritis. Ekspansi ini membuka permukaan serangan yang luas bagi penyerang siber, sementara karakteristik domain yang berbeda — IoT yang bersifat consumer-focused dan IIoT yang bersifat industri-focused — menambahkan kompleksitas dalam perancangan sistem keamanan jaringan. Untuk menjawab tantangan ini, komunitas riset telah menghasilkan dataset benchmark seperti CICIoT2023 dan DataSense (CIC IIoT 2025) guna memfasilitasi pengembangan dan evaluasi IDS berbasis machine learning.</w:t>
      </w:r>
    </w:p>
    <w:p w14:paraId="583A4B30">
      <w:pPr>
        <w:pStyle w:val="7"/>
        <w:spacing w:before="154" w:line="276" w:lineRule="auto"/>
        <w:ind w:left="285" w:right="136" w:firstLine="427"/>
      </w:pPr>
      <w:r>
        <w:t>CICIoT2023 dirancang sebagai dataset serangan IoT berskala besar yang dibangun di atas topologi nyata dengan 105 perangkat dan 33 skenario serangan dalam tujuh kategori. Dataset ini telah menjadi benchmark utama bagi berbagai penelitian IDS berbasis machine learning yang menghasilkan berbagai model IDS terpublikasi dengan performa kompetitif [8], [10], [11]. Di sisi lain, DataSense sebagai CIC IIoT 2025 menghadirkan testbed IIoT yang realistis di laboratorium CIC-UNB, meliputi sensor industri berbasis Arduino MKR WiFi 1010 (cuaca, air, tanah, uap, gas, suara, getar, ultrasonik, cahaya, akselerometer, gerak, RFID, dan api), kamera pengawas, smart plug, serta MQTT broker berbasis Raspberry Pi, dan mengintegrasikan data sensor serta jaringan yang disinkronkan dengan pendekatan multi-objective feature selection [1]. Kombinasi kedua dataset ini menjadikan studi cross-dataset menarik untuk dieksplorasi lebih lanjut.</w:t>
      </w:r>
    </w:p>
    <w:p w14:paraId="46D6DBF0">
      <w:pPr>
        <w:pStyle w:val="7"/>
        <w:spacing w:before="154" w:line="276" w:lineRule="auto"/>
        <w:ind w:left="285" w:right="136" w:firstLine="427"/>
      </w:pPr>
      <w:r>
        <w:t>Berdasarkan celah tersebut, penelitian ini bertujuan melakukan evaluasi cross-dataset terhadap generalisasi model deteksi intrusi IoT/IIoT, dengan menggunakan model-model yang telah dipublikasikan dari CICIoT2023 dan mengujinya pada dataset DataSense (CIC IIoT 2025). Penelitian ini akan menganalisis karakteristik kedua dataset secara mendalam, mengevaluasi performa berbagai keluarga algoritma machine learning — meliputi tree-based, ensemble, dan deep learning — lintas domain, mengidentifikasi fitur yang paling robust, serta menghasilkan rekomendasi praktis bagi peneliti yang ingin menerapkan machine learning pada dataset CIC IIoT 2025 sebagai rujukan foundational.</w:t>
      </w:r>
    </w:p>
    <w:p w14:paraId="6A64EEB0">
      <w:pPr>
        <w:pStyle w:val="7"/>
        <w:spacing w:before="12"/>
        <w:jc w:val="left"/>
      </w:pPr>
    </w:p>
    <w:p w14:paraId="3D25B3AC">
      <w:pPr>
        <w:pStyle w:val="3"/>
        <w:numPr>
          <w:ilvl w:val="1"/>
          <w:numId w:val="1"/>
        </w:numPr>
        <w:tabs>
          <w:tab w:val="left" w:pos="687"/>
        </w:tabs>
      </w:pPr>
      <w:bookmarkStart w:id="4" w:name="_bookmark2"/>
      <w:bookmarkEnd w:id="4"/>
      <w:bookmarkStart w:id="5" w:name="_Toc232668778"/>
      <w:r>
        <w:rPr>
          <w:spacing w:val="-2"/>
        </w:rPr>
        <w:t>PERMASALAHAN</w:t>
      </w:r>
      <w:bookmarkEnd w:id="5"/>
    </w:p>
    <w:p w14:paraId="76996A23">
      <w:pPr>
        <w:pStyle w:val="7"/>
        <w:spacing w:before="154" w:line="276" w:lineRule="auto"/>
        <w:ind w:left="285" w:right="140" w:firstLine="427"/>
        <w:rPr>
          <w:lang w:val="sv-SE"/>
        </w:rPr>
      </w:pPr>
      <w:r>
        <w:rPr>
          <w:lang w:val="sv-SE"/>
        </w:rPr>
        <w:t>Penelitian ini berangkat dari permasalahan bahwa model intrusion detection berbasis machine learning yang dilatih pada dataset IoT sering kali menunjukkan performa tinggi secara in-dataset, namun belum terbukti mampu mempertahankan performa yang sama ketika diterapkan pada lingkungan IIoT yang memiliki karakteristik berbeda. Perbedaan jenis perangkat, protokol, pola trafik, dan kondisi operasional antara CICIoT2023 dan DataSense (CIC IIoT 2025) berpotensi menimbulkan domain shift yang signifikan sehingga menurunkan kemampuan generalisasi model [1], [2].</w:t>
      </w:r>
    </w:p>
    <w:p w14:paraId="5B5D6B5E">
      <w:pPr>
        <w:pStyle w:val="7"/>
        <w:spacing w:before="10"/>
        <w:jc w:val="left"/>
      </w:pPr>
    </w:p>
    <w:p w14:paraId="29ECEAB6">
      <w:pPr>
        <w:pStyle w:val="3"/>
        <w:numPr>
          <w:ilvl w:val="1"/>
          <w:numId w:val="1"/>
        </w:numPr>
        <w:tabs>
          <w:tab w:val="left" w:pos="687"/>
        </w:tabs>
        <w:jc w:val="both"/>
      </w:pPr>
      <w:bookmarkStart w:id="6" w:name="_bookmark3"/>
      <w:bookmarkEnd w:id="6"/>
      <w:bookmarkStart w:id="7" w:name="_Toc232668779"/>
      <w:r>
        <w:rPr>
          <w:spacing w:val="-2"/>
        </w:rPr>
        <w:t>TUJUAN</w:t>
      </w:r>
      <w:bookmarkEnd w:id="7"/>
    </w:p>
    <w:p w14:paraId="3E8C51BC">
      <w:pPr>
        <w:pStyle w:val="7"/>
        <w:spacing w:before="156" w:line="276" w:lineRule="auto"/>
        <w:ind w:left="285" w:right="136" w:firstLine="427"/>
      </w:pPr>
      <w:r>
        <w:t>Penelitian proyek akhir ini mengajukan suatu kerangka evaluasi baru untuk mengatasi permasalahan generalisasi model intrusion detection berbasis machine learning lintas domain IoT dan IIoT, dengan menggunakan pendekatan evaluasi cross-dataset yang secara sistematis menguji model-model yang dikembangkan pada CICIoT2023 terhadap dataset DataSense (CIC IIoT 2025).</w:t>
      </w:r>
    </w:p>
    <w:p w14:paraId="4DEBAF3D">
      <w:pPr>
        <w:pStyle w:val="7"/>
        <w:spacing w:before="156" w:line="276" w:lineRule="auto"/>
        <w:ind w:left="285" w:right="136" w:firstLine="427"/>
      </w:pPr>
      <w:r>
        <w:t>Kerangka evaluasi yang diajukan memiliki beberapa keunggulan unik. Pertama, penelitian ini merupakan studi pertama yang secara eksplisit mengukur generalization gap antara domain IoT konsumen (CICIoT2023) dan domain IIoT industri (DataSense), sehingga menghasilkan pemahaman kuantitatif tentang seberapa jauh model yang bekerja baik secara in-dataset mampu bertahan di lingkungan yang berbeda. Kedua, evaluasi dilakukan secara komparatif terhadap tiga algoritma dengan tingkat kompleksitas ensemble yang berbeda — Decision Tree (model pohon tunggal yang interpretable), Random Forest (ensemble bagging), dan XGBoost (ensemble boosting) sehingga menghasilkan gambaran tentang bagaimana peningkatan kompleksitas ensemble memengaruhi kemampuan generalisasi lintas domain. Ketiga, penelitian ini menganalisis ketahanan fitur (feature robustness) secara lintas domain dengan mengidentifikasi subset fitur dari CICIoT2023 yang mempertahankan daya prediktif ketika diterapkan pada DataSense. Keempat, hasil penelitian dikemas sebagai rekomendasi praktis yang dapat langsung digunakan oleh peneliti yang ingin menjadikan DataSense sebagai titik awal pengembangan sistem IDS berbasis ML untuk lingkungan IIoT.</w:t>
      </w:r>
    </w:p>
    <w:p w14:paraId="2813E0D3">
      <w:pPr>
        <w:pStyle w:val="7"/>
        <w:spacing w:before="12"/>
        <w:jc w:val="left"/>
      </w:pPr>
    </w:p>
    <w:p w14:paraId="1DA4D160">
      <w:pPr>
        <w:pStyle w:val="3"/>
        <w:numPr>
          <w:ilvl w:val="1"/>
          <w:numId w:val="1"/>
        </w:numPr>
        <w:tabs>
          <w:tab w:val="left" w:pos="687"/>
        </w:tabs>
        <w:spacing w:before="1"/>
        <w:jc w:val="both"/>
      </w:pPr>
      <w:bookmarkStart w:id="8" w:name="_bookmark4"/>
      <w:bookmarkEnd w:id="8"/>
      <w:bookmarkStart w:id="9" w:name="_Toc232668780"/>
      <w:r>
        <w:rPr>
          <w:spacing w:val="-2"/>
        </w:rPr>
        <w:t>MANFAAT</w:t>
      </w:r>
      <w:bookmarkEnd w:id="9"/>
    </w:p>
    <w:p w14:paraId="688A9304">
      <w:pPr>
        <w:pStyle w:val="7"/>
        <w:spacing w:before="154" w:line="276" w:lineRule="auto"/>
        <w:ind w:left="285" w:right="138" w:firstLine="427"/>
      </w:pPr>
      <w:r>
        <w:t>Penelitian ini memberikan kontribusi yang dapat dirasakan oleh beberapa pihak. Bagi komunitas riset keamanan jaringan IoT/IIoT, penelitian ini mengisi celah literatur yang selama ini belum ditangani, yaitu studi cross-dataset yang mengukur kemampuan generalisasi model IDS dari domain IoT konsumen ke domain IIoT industri. Hasil evaluasi kuantitatif yang dihasilkan dapat menjadi referensi dalam perancangan eksperimen penelitian sejenis di masa mendatang.</w:t>
      </w:r>
    </w:p>
    <w:p w14:paraId="212D613A">
      <w:pPr>
        <w:pStyle w:val="7"/>
        <w:spacing w:before="154" w:line="276" w:lineRule="auto"/>
        <w:ind w:left="285" w:right="138" w:firstLine="427"/>
      </w:pPr>
      <w:r>
        <w:t>Bagi peneliti yang ingin bekerja dengan dataset DataSense (CIC IIoT 2025), penelitian ini berfungsi sebagai foundational reference — menyediakan pemahaman awal tentang karakteristik dataset, distribusi kelas, dan performa baseline berbagai algoritma, sehingga peneliti berikutnya tidak perlu memulai dari nol. Bagi praktisi dan pengembang sistem keamanan IoT/IIoT, penelitian ini memberikan panduan empiris tentang keluarga algoritma dan konfigurasi fitur yang paling layak dipertimbangkan untuk skenario deployment lintas domain, sekaligus mengingatkan risiko overfitting terhadap karakteristik satu dataset spesifik yang kerap terjadi dalam pengembangan IDS berbasis ML.</w:t>
      </w:r>
    </w:p>
    <w:p w14:paraId="4DF5AE81">
      <w:pPr>
        <w:pStyle w:val="7"/>
        <w:spacing w:before="154" w:line="276" w:lineRule="auto"/>
        <w:ind w:left="285" w:right="138" w:firstLine="427"/>
      </w:pPr>
    </w:p>
    <w:p w14:paraId="6E28ED49">
      <w:pPr>
        <w:pStyle w:val="3"/>
        <w:numPr>
          <w:ilvl w:val="1"/>
          <w:numId w:val="1"/>
        </w:numPr>
        <w:tabs>
          <w:tab w:val="left" w:pos="687"/>
        </w:tabs>
        <w:spacing w:before="67"/>
      </w:pPr>
      <w:bookmarkStart w:id="10" w:name="_Toc232668781"/>
      <w:r>
        <w:rPr>
          <w:spacing w:val="-2"/>
        </w:rPr>
        <w:t>SISTEMATIKA</w:t>
      </w:r>
      <w:r>
        <w:rPr>
          <w:spacing w:val="4"/>
        </w:rPr>
        <w:t xml:space="preserve"> </w:t>
      </w:r>
      <w:r>
        <w:rPr>
          <w:spacing w:val="-2"/>
        </w:rPr>
        <w:t>PENULISAN</w:t>
      </w:r>
      <w:bookmarkEnd w:id="10"/>
    </w:p>
    <w:p w14:paraId="33240B5F">
      <w:pPr>
        <w:pStyle w:val="4"/>
        <w:spacing w:before="156"/>
        <w:ind w:left="285" w:firstLine="0"/>
      </w:pPr>
      <w:bookmarkStart w:id="11" w:name="_Toc232532419"/>
      <w:bookmarkStart w:id="12" w:name="_Toc232668782"/>
      <w:r>
        <w:t>Bab</w:t>
      </w:r>
      <w:r>
        <w:rPr>
          <w:spacing w:val="-2"/>
        </w:rPr>
        <w:t xml:space="preserve"> </w:t>
      </w:r>
      <w:r>
        <w:t>1</w:t>
      </w:r>
      <w:r>
        <w:rPr>
          <w:spacing w:val="68"/>
        </w:rPr>
        <w:t xml:space="preserve">   </w:t>
      </w:r>
      <w:r>
        <w:rPr>
          <w:spacing w:val="-2"/>
        </w:rPr>
        <w:t>Pendahuluan</w:t>
      </w:r>
      <w:bookmarkEnd w:id="11"/>
      <w:bookmarkEnd w:id="12"/>
    </w:p>
    <w:p w14:paraId="08D50D1D">
      <w:pPr>
        <w:pStyle w:val="7"/>
        <w:spacing w:before="154" w:line="276" w:lineRule="auto"/>
        <w:ind w:left="1137" w:right="138"/>
      </w:pPr>
      <w:r>
        <w:t>Berisi uraian latar belakang permasalahan data di CV. Edmond Auto Garage, tiga permasalahan utama beserta justifikasi kebutuhan DSS pada masing-masing permasalahan, tujuan dan manfaat penelitian, serta sistematika penulisan.</w:t>
      </w:r>
    </w:p>
    <w:p w14:paraId="7064BD97">
      <w:pPr>
        <w:pStyle w:val="4"/>
        <w:spacing w:before="119"/>
        <w:ind w:left="285" w:firstLine="0"/>
      </w:pPr>
      <w:bookmarkStart w:id="13" w:name="_Toc232532420"/>
      <w:bookmarkStart w:id="14" w:name="_Toc232668783"/>
      <w:r>
        <w:t>Bab</w:t>
      </w:r>
      <w:r>
        <w:rPr>
          <w:spacing w:val="-2"/>
        </w:rPr>
        <w:t xml:space="preserve"> </w:t>
      </w:r>
      <w:r>
        <w:t>2</w:t>
      </w:r>
      <w:r>
        <w:rPr>
          <w:spacing w:val="67"/>
        </w:rPr>
        <w:t xml:space="preserve">   </w:t>
      </w:r>
      <w:r>
        <w:t>Kajian</w:t>
      </w:r>
      <w:r>
        <w:rPr>
          <w:spacing w:val="-2"/>
        </w:rPr>
        <w:t xml:space="preserve"> Pustaka</w:t>
      </w:r>
      <w:bookmarkEnd w:id="13"/>
      <w:bookmarkEnd w:id="14"/>
    </w:p>
    <w:p w14:paraId="63CA4290">
      <w:pPr>
        <w:pStyle w:val="7"/>
        <w:spacing w:before="154" w:line="276" w:lineRule="auto"/>
        <w:ind w:left="1137" w:right="135"/>
      </w:pPr>
      <w:r>
        <w:t>Membahas landasan teoritis yang mencakup Business Intelligence dan DSS, pipeline ETL dengan Star Schema PostgreSQL, K-Means Clustering berbasis RFM, komparasi ARIMA dan Prophet, serta platform Streamlit sebagai antarmuka terpadu, dilengkapi kajian penelitian terdahulu dan identifikasi celah penelitian.</w:t>
      </w:r>
    </w:p>
    <w:p w14:paraId="61688020">
      <w:pPr>
        <w:pStyle w:val="4"/>
        <w:spacing w:before="121"/>
        <w:ind w:left="285" w:firstLine="0"/>
      </w:pPr>
      <w:bookmarkStart w:id="15" w:name="_Toc232532421"/>
      <w:bookmarkStart w:id="16" w:name="_Toc232668784"/>
      <w:r>
        <w:t>Bab</w:t>
      </w:r>
      <w:r>
        <w:rPr>
          <w:spacing w:val="-3"/>
        </w:rPr>
        <w:t xml:space="preserve"> </w:t>
      </w:r>
      <w:r>
        <w:t>3</w:t>
      </w:r>
      <w:r>
        <w:rPr>
          <w:spacing w:val="67"/>
        </w:rPr>
        <w:t xml:space="preserve">   </w:t>
      </w:r>
      <w:r>
        <w:t>Desain</w:t>
      </w:r>
      <w:r>
        <w:rPr>
          <w:spacing w:val="-2"/>
        </w:rPr>
        <w:t xml:space="preserve"> Sistem</w:t>
      </w:r>
      <w:bookmarkEnd w:id="15"/>
      <w:bookmarkEnd w:id="16"/>
    </w:p>
    <w:p w14:paraId="01084876">
      <w:pPr>
        <w:pStyle w:val="7"/>
        <w:spacing w:before="157" w:line="276" w:lineRule="auto"/>
        <w:ind w:left="1137" w:right="141"/>
      </w:pPr>
      <w:r>
        <w:t>Berisi rancangan solusi secara argumentatif dan teknis, mencakup desain formulir input berbasis Streamlit, pipeline data ke PostgreSQL, modul analitik K-Means RFM, modul Pipeline Tindak Lanjut Nota Pengecekan, dan Prophet Forecasting, serta rancangan modul-modul dashboard Streamlit sebagai antarmuka DSS.</w:t>
      </w:r>
    </w:p>
    <w:p w14:paraId="35D07B82">
      <w:pPr>
        <w:pStyle w:val="4"/>
        <w:spacing w:before="120"/>
        <w:ind w:left="285" w:firstLine="0"/>
      </w:pPr>
      <w:bookmarkStart w:id="17" w:name="_Toc232532422"/>
      <w:bookmarkStart w:id="18" w:name="_Toc232668785"/>
      <w:r>
        <w:t>Bab</w:t>
      </w:r>
      <w:r>
        <w:rPr>
          <w:spacing w:val="-5"/>
        </w:rPr>
        <w:t xml:space="preserve"> </w:t>
      </w:r>
      <w:r>
        <w:t>4</w:t>
      </w:r>
      <w:r>
        <w:rPr>
          <w:spacing w:val="65"/>
        </w:rPr>
        <w:t xml:space="preserve">   </w:t>
      </w:r>
      <w:r>
        <w:t>Eksperimen dan</w:t>
      </w:r>
      <w:r>
        <w:rPr>
          <w:spacing w:val="-2"/>
        </w:rPr>
        <w:t xml:space="preserve"> Analisis</w:t>
      </w:r>
      <w:bookmarkEnd w:id="17"/>
      <w:bookmarkEnd w:id="18"/>
    </w:p>
    <w:p w14:paraId="1A1EFD40">
      <w:pPr>
        <w:pStyle w:val="7"/>
        <w:spacing w:before="154" w:line="276" w:lineRule="auto"/>
        <w:ind w:left="1137" w:right="137"/>
      </w:pPr>
      <w:r>
        <w:t>Menyajikan hasil implementasi sistem, evaluasi kualitas data ETL dari nota historis, hasil klasterisasi K-Means RFM, perbandingan akurasi Prophet vs. ARIMA pada subset data tersedia menggunakan metrik MAE, RMSE, dan MAPE, serta analisis nilai tambah dashboard bagi pengambilan keputusan.</w:t>
      </w:r>
    </w:p>
    <w:p w14:paraId="31E64915">
      <w:pPr>
        <w:pStyle w:val="4"/>
        <w:spacing w:before="120"/>
        <w:ind w:left="285" w:firstLine="0"/>
      </w:pPr>
      <w:bookmarkStart w:id="19" w:name="_Toc232668786"/>
      <w:bookmarkStart w:id="20" w:name="_Toc232532423"/>
      <w:r>
        <w:t>Bab</w:t>
      </w:r>
      <w:r>
        <w:rPr>
          <w:spacing w:val="-2"/>
        </w:rPr>
        <w:t xml:space="preserve"> </w:t>
      </w:r>
      <w:r>
        <w:t>5</w:t>
      </w:r>
      <w:r>
        <w:rPr>
          <w:spacing w:val="68"/>
        </w:rPr>
        <w:t xml:space="preserve">   </w:t>
      </w:r>
      <w:r>
        <w:rPr>
          <w:spacing w:val="-2"/>
        </w:rPr>
        <w:t>Penutup</w:t>
      </w:r>
      <w:bookmarkEnd w:id="19"/>
      <w:bookmarkEnd w:id="20"/>
    </w:p>
    <w:p w14:paraId="6A8E7362">
      <w:pPr>
        <w:pStyle w:val="7"/>
        <w:spacing w:before="154" w:line="278" w:lineRule="auto"/>
        <w:ind w:left="1137" w:right="141"/>
      </w:pPr>
      <w:r>
        <w:t>Berisi kesimpulan dari seluruh penelitian dan saran pengembangan sistem ke depan, termasuk potensi integrasi real-time dan adopsi teknik deep learning untuk peramalan deret waktu yang lebih kompleks.</w:t>
      </w:r>
    </w:p>
    <w:p w14:paraId="75ED5EC0">
      <w:pPr>
        <w:pStyle w:val="7"/>
        <w:spacing w:line="278" w:lineRule="auto"/>
        <w:sectPr>
          <w:footerReference r:id="rId5" w:type="default"/>
          <w:pgSz w:w="8400" w:h="11910"/>
          <w:pgMar w:top="1060" w:right="992" w:bottom="920" w:left="1133" w:header="0" w:footer="739" w:gutter="0"/>
          <w:pgNumType w:start="1"/>
          <w:cols w:space="720" w:num="1"/>
        </w:sectPr>
      </w:pPr>
    </w:p>
    <w:p w14:paraId="55176949">
      <w:pPr>
        <w:pStyle w:val="2"/>
        <w:ind w:left="1774"/>
      </w:pPr>
      <w:bookmarkStart w:id="21" w:name="_bookmark6"/>
      <w:bookmarkEnd w:id="21"/>
      <w:bookmarkStart w:id="22" w:name="_bookmark5"/>
      <w:bookmarkEnd w:id="22"/>
      <w:bookmarkStart w:id="23" w:name="_Toc232668787"/>
      <w:r>
        <w:t>BAB</w:t>
      </w:r>
      <w:r>
        <w:rPr>
          <w:spacing w:val="-1"/>
        </w:rPr>
        <w:t xml:space="preserve"> </w:t>
      </w:r>
      <w:r>
        <w:t xml:space="preserve">2 KAJIAN </w:t>
      </w:r>
      <w:r>
        <w:rPr>
          <w:spacing w:val="-2"/>
        </w:rPr>
        <w:t>PUSTAKA</w:t>
      </w:r>
      <w:bookmarkEnd w:id="23"/>
    </w:p>
    <w:p w14:paraId="7E2F04EF">
      <w:pPr>
        <w:pStyle w:val="7"/>
        <w:spacing w:before="8"/>
        <w:jc w:val="left"/>
        <w:rPr>
          <w:b/>
          <w:sz w:val="24"/>
        </w:rPr>
      </w:pPr>
    </w:p>
    <w:p w14:paraId="6CDD48D8">
      <w:pPr>
        <w:pStyle w:val="3"/>
        <w:numPr>
          <w:ilvl w:val="1"/>
          <w:numId w:val="2"/>
        </w:numPr>
        <w:tabs>
          <w:tab w:val="left" w:pos="687"/>
        </w:tabs>
        <w:ind w:left="687" w:hanging="402"/>
      </w:pPr>
      <w:bookmarkStart w:id="24" w:name="_bookmark7"/>
      <w:bookmarkEnd w:id="24"/>
      <w:bookmarkStart w:id="25" w:name="_Toc232668788"/>
      <w:r>
        <w:rPr>
          <w:spacing w:val="-2"/>
        </w:rPr>
        <w:t>DESKRIPSI</w:t>
      </w:r>
      <w:r>
        <w:rPr>
          <w:spacing w:val="5"/>
        </w:rPr>
        <w:t xml:space="preserve"> </w:t>
      </w:r>
      <w:r>
        <w:rPr>
          <w:spacing w:val="-2"/>
        </w:rPr>
        <w:t>PERMASALAHAN</w:t>
      </w:r>
      <w:bookmarkEnd w:id="25"/>
    </w:p>
    <w:p w14:paraId="75A04CE3">
      <w:pPr>
        <w:pStyle w:val="7"/>
        <w:spacing w:before="154" w:line="276" w:lineRule="auto"/>
        <w:ind w:left="285" w:right="137" w:firstLine="427"/>
        <w:rPr>
          <w:lang w:val="sv-SE"/>
        </w:rPr>
      </w:pPr>
      <w:r>
        <w:rPr>
          <w:lang w:val="sv-SE"/>
        </w:rPr>
        <w:t>Perkembangan ekosistem Internet of Things (IoT) dan Industrial Internet of Things (IIoT) menghadirkan tantangan keamanan yang fundamental. Perangkat IoT umumnya bersifat resource-constrained — memiliki daya komputasi, memori, dan kapasitas baterai yang terbatas — sehingga mekanisme keamanan konvensional yang dirancang untuk sistem komputasi umum tidak dapat diterapkan secara langsung [3], [11]. Di sisi IIoT, lingkungan industri menambahkan lapisan kompleksitas berupa heterogenitas perangkat, campuran protokol komunikasi yang sebagian terstandarisasi dan sebagian proprietary, serta tuntutan ketersediaan layanan yang tidak boleh terganggu oleh proses deteksi ancaman [1].</w:t>
      </w:r>
    </w:p>
    <w:p w14:paraId="549A5F42">
      <w:pPr>
        <w:pStyle w:val="7"/>
        <w:spacing w:before="154" w:line="276" w:lineRule="auto"/>
        <w:ind w:left="285" w:right="137" w:firstLine="427"/>
        <w:rPr>
          <w:lang w:val="sv-SE"/>
        </w:rPr>
      </w:pPr>
      <w:r>
        <w:rPr>
          <w:lang w:val="sv-SE"/>
        </w:rPr>
        <w:t>Permasalahan utama yang dihadapi dalam penelitian ini adalah kesenjangan generalisasi model deteksi intrusi lintas domain. Model machine learning yang dilatih dan diuji pada dataset IoT konsumen (CICIoT2023) kerap menunjukkan akurasi tinggi secara in-dataset, namun belum terbukti mampu mempertahankan performa yang setara ketika diterapkan pada lingkungan IIoT industri yang berbeda secara statistik maupun operasional. Perbedaan jenis perangkat, topologi jaringan, distribusi kelas serangan, dan karakteristik trafik antara kedua domain berpotensi menyebabkan domain shift yang signifikan sehingga menurunkan kemampuan generalisasi model [1], [2].</w:t>
      </w:r>
    </w:p>
    <w:p w14:paraId="64C305CE">
      <w:pPr>
        <w:pStyle w:val="7"/>
        <w:spacing w:before="154" w:line="276" w:lineRule="auto"/>
        <w:ind w:left="285" w:right="137" w:firstLine="427"/>
        <w:rPr>
          <w:lang w:val="sv-SE"/>
        </w:rPr>
      </w:pPr>
      <w:r>
        <w:rPr>
          <w:lang w:val="sv-SE"/>
        </w:rPr>
        <w:t>Secara konkret, CICIoT2023 mencakup 33 jenis serangan yang dibangkitkan oleh 105 perangkat IoT konsumen dalam topologi terkontrol dengan lebih dari 46 juta rekaman dan 48 fitur jaringan [2], [11]. Sementara itu, DataSense (CIC IIoT 2025) mencakup 50 skenario serangan pada sensor industri berbasis Arduino dan perangkat IoT komersial yang terhubung melalui MQTT broker, dengan data sensor yang tersinkronisasi dengan data trafik jaringan dalam pendekatan multi-objective feature selection [1]. Kombinasi perbedaan skala, ruang fitur, dan karakteristik domain ini menjadikan evaluasi cross-dataset sebagai tantangan teknis yang perlu dikaji secara sistematis.</w:t>
      </w:r>
    </w:p>
    <w:p w14:paraId="50504E3F">
      <w:pPr>
        <w:pStyle w:val="3"/>
        <w:numPr>
          <w:ilvl w:val="1"/>
          <w:numId w:val="2"/>
        </w:numPr>
        <w:tabs>
          <w:tab w:val="left" w:pos="687"/>
        </w:tabs>
        <w:ind w:left="687" w:hanging="402"/>
      </w:pPr>
      <w:bookmarkStart w:id="26" w:name="_bookmark8"/>
      <w:bookmarkEnd w:id="26"/>
      <w:bookmarkStart w:id="27" w:name="_Toc232668789"/>
      <w:r>
        <w:t>TEORI</w:t>
      </w:r>
      <w:r>
        <w:rPr>
          <w:spacing w:val="-10"/>
        </w:rPr>
        <w:t xml:space="preserve"> </w:t>
      </w:r>
      <w:r>
        <w:rPr>
          <w:spacing w:val="-2"/>
        </w:rPr>
        <w:t>PENUNJANG</w:t>
      </w:r>
      <w:bookmarkEnd w:id="27"/>
    </w:p>
    <w:p w14:paraId="33D6A200">
      <w:pPr>
        <w:pStyle w:val="7"/>
        <w:spacing w:before="5"/>
        <w:jc w:val="left"/>
        <w:rPr>
          <w:b/>
        </w:rPr>
      </w:pPr>
    </w:p>
    <w:p w14:paraId="4C11AF0B">
      <w:pPr>
        <w:pStyle w:val="4"/>
        <w:numPr>
          <w:ilvl w:val="2"/>
          <w:numId w:val="2"/>
        </w:numPr>
        <w:tabs>
          <w:tab w:val="left" w:pos="835"/>
        </w:tabs>
        <w:spacing w:before="1"/>
        <w:ind w:left="835" w:hanging="550"/>
      </w:pPr>
      <w:bookmarkStart w:id="28" w:name="_bookmark9"/>
      <w:bookmarkEnd w:id="28"/>
      <w:r>
        <w:t>Internet of Things (IoT)</w:t>
      </w:r>
    </w:p>
    <w:p w14:paraId="74CC95F4">
      <w:pPr>
        <w:pStyle w:val="7"/>
        <w:spacing w:before="154" w:line="276" w:lineRule="auto"/>
        <w:ind w:left="285" w:right="136" w:firstLine="566"/>
        <w:rPr>
          <w:lang w:val="sv-SE"/>
        </w:rPr>
      </w:pPr>
      <w:r>
        <w:rPr>
          <w:lang w:val="sv-SE"/>
        </w:rPr>
        <w:t>Internet of Things (IoT) adalah paradigma jaringan yang menghubungkan perangkat fisik maupun virtual — sensor, aktuator, kamera, dan berbagai perangkat cerdas lainnya — ke internet, memungkinkan komunikasi mesin-ke-mesin (M2M) tanpa intervensi manusia [3], [11]. Konsep ini sudah diterapkan luas di berbagai sektor, mulai dari pertanian, rumah tangga pintar, layanan kesehatan, transportasi, hingga otomasi industri [3], [4]. Menurut Dzaki et al. [11], pada akhir tahun 2020 terdapat 11,3 miliar perangkat IoT yang terhubung dan diperkirakan akan mencapai 27,1 miliar pada tahun 2025, didorong oleh kemudahan pengumpulan data dan otomasi proses yang ditawarkan teknologi ini.</w:t>
      </w:r>
    </w:p>
    <w:p w14:paraId="46E262AD">
      <w:pPr>
        <w:pStyle w:val="7"/>
        <w:spacing w:before="154" w:line="276" w:lineRule="auto"/>
        <w:ind w:right="136"/>
        <w:rPr>
          <w:rFonts w:hint="default"/>
          <w:lang w:val="en-US"/>
        </w:rPr>
      </w:pPr>
      <w:r>
        <w:rPr>
          <w:rFonts w:hint="default"/>
          <w:lang w:val="en-US"/>
        </w:rPr>
        <w:tab/>
      </w:r>
    </w:p>
    <w:p w14:paraId="4416639B">
      <w:pPr>
        <w:pStyle w:val="7"/>
        <w:spacing w:before="154" w:line="276" w:lineRule="auto"/>
        <w:ind w:left="285" w:right="136" w:firstLine="566"/>
        <w:rPr>
          <w:lang w:val="sv-SE"/>
        </w:rPr>
      </w:pPr>
      <w:r>
        <w:rPr>
          <w:lang w:val="sv-SE"/>
        </w:rPr>
        <w:t>Karakteristik utama perangkat IoT yang membedakannya dari perangkat komputasi konvensional adalah keterbatasan sumber daya: kapasitas penyimpanan rendah, daya komputasi terbatas, dan konsumsi energi minimal [3], [11]. Menurut Alsamiri dan Alsubhi [3], perangkat IoT umumnya terhubung tanpa intervensi manusia dalam jangka waktu panjang, sehingga dibutuhkan solusi keamanan berbasis jaringan yang cerdas — bukan solusi konvensional berkapasitas tinggi yang tidak cocok untuk lingkungan IoT. Perluasan ekosistem IoT inilah yang sekaligus memperbesar attack surface bagi pelaku ancaman siber.</w:t>
      </w:r>
    </w:p>
    <w:p w14:paraId="4766C0F8">
      <w:pPr>
        <w:pStyle w:val="7"/>
        <w:spacing w:before="6"/>
        <w:jc w:val="left"/>
      </w:pPr>
    </w:p>
    <w:p w14:paraId="4C05B5D9">
      <w:pPr>
        <w:pStyle w:val="4"/>
        <w:numPr>
          <w:ilvl w:val="2"/>
          <w:numId w:val="2"/>
        </w:numPr>
        <w:tabs>
          <w:tab w:val="left" w:pos="835"/>
        </w:tabs>
        <w:ind w:left="835" w:hanging="550"/>
      </w:pPr>
      <w:bookmarkStart w:id="29" w:name="_bookmark10"/>
      <w:bookmarkEnd w:id="29"/>
      <w:bookmarkStart w:id="30" w:name="_Toc232668791"/>
      <w:r>
        <w:t>Pipeline ETL dan Data Warehousing dengan Star Schema</w:t>
      </w:r>
      <w:bookmarkEnd w:id="30"/>
    </w:p>
    <w:p w14:paraId="7AA95F60">
      <w:pPr>
        <w:pStyle w:val="7"/>
        <w:spacing w:before="154" w:line="276" w:lineRule="auto"/>
        <w:ind w:left="285" w:right="139" w:firstLine="566"/>
        <w:rPr>
          <w:lang w:val="sv-SE"/>
        </w:rPr>
      </w:pPr>
      <w:r>
        <w:rPr>
          <w:lang w:val="sv-SE"/>
        </w:rPr>
        <w:t>Industrial Internet of Things (IIoT) merupakan perluasan konsep IoT pada lingkungan industri, mengintegrasikan sensor industri, mesin, dan infrastruktur jaringan untuk mengoptimalkan proses produksi serta mendukung pengambilan keputusan berbasis data secara real-time [1]. Firouzi et al. [1] menjabarkan penerapan IIoT di berbagai sektor kritis:</w:t>
      </w:r>
    </w:p>
    <w:p w14:paraId="497659B4">
      <w:pPr>
        <w:pStyle w:val="7"/>
        <w:spacing w:before="154" w:line="276" w:lineRule="auto"/>
        <w:ind w:left="285" w:right="139" w:firstLine="566"/>
        <w:rPr>
          <w:lang w:val="sv-SE"/>
        </w:rPr>
      </w:pPr>
      <w:r>
        <w:rPr>
          <w:lang w:val="sv-SE"/>
        </w:rPr>
        <w:t>Gambar 2.1 mengilustrasikan arsitektur testbed IIoT yang digunakan Firouzi et al. [1] dalam membangun dataset DataSense, yang terdiri dari lima lapisan utama: IIoT/IoT Layer, Network Infrastructure, Edge Layer, Cloud Layer, dan Attacker Layer.</w:t>
      </w:r>
    </w:p>
    <w:p w14:paraId="05FB3AE7">
      <w:pPr>
        <w:pStyle w:val="7"/>
        <w:spacing w:before="154" w:line="276" w:lineRule="auto"/>
        <w:ind w:left="285" w:right="139" w:firstLine="566"/>
        <w:rPr>
          <w:lang w:val="sv-SE"/>
        </w:rPr>
      </w:pPr>
      <w:r>
        <w:rPr>
          <w:lang w:val="sv-SE"/>
        </w:rPr>
        <w:t>Sumber: Firouzi et al., DataSense, Electronics 2025 [1]</w:t>
      </w:r>
    </w:p>
    <w:p w14:paraId="29841CDF">
      <w:pPr>
        <w:pStyle w:val="7"/>
        <w:spacing w:before="154" w:line="276" w:lineRule="auto"/>
        <w:ind w:left="285" w:right="139" w:firstLine="566"/>
        <w:rPr>
          <w:lang w:val="sv-SE"/>
        </w:rPr>
      </w:pPr>
      <w:r>
        <w:rPr>
          <w:lang w:val="sv-SE"/>
        </w:rPr>
        <w:t>Gambar 2.1. Arsitektur testbed IIoT DataSense di CIC-UNB</w:t>
      </w:r>
    </w:p>
    <w:p w14:paraId="5C5901B2">
      <w:pPr>
        <w:pStyle w:val="7"/>
        <w:spacing w:before="154" w:line="276" w:lineRule="auto"/>
        <w:ind w:left="285" w:right="139" w:firstLine="566"/>
        <w:rPr>
          <w:lang w:val="sv-SE"/>
        </w:rPr>
      </w:pPr>
      <w:r>
        <w:rPr>
          <w:lang w:val="sv-SE"/>
        </w:rPr>
        <w:t>Tantangan keamanan IIoT jauh lebih kompleks dari IoT konsumen. IDS konvensional yang dirancang untuk jaringan IT tradisional tidak mampu menangani heterogenitas perangkat, volume data real-time yang masif, serta tuntutan latensi dan keandalan ekstrem pada lingkungan industri [1]. Perbedaan protokol komunikasi (sebagian standar, sebagian proprietary) dan konteks operasional yang sangat spesifik menyebabkan IDS konvensional sulit membedakan variasi operasional normal dari ancaman nyata [1].</w:t>
      </w:r>
    </w:p>
    <w:p w14:paraId="37D0BB95">
      <w:pPr>
        <w:pStyle w:val="4"/>
        <w:numPr>
          <w:ilvl w:val="2"/>
          <w:numId w:val="2"/>
        </w:numPr>
        <w:tabs>
          <w:tab w:val="left" w:pos="835"/>
        </w:tabs>
        <w:spacing w:before="203" w:line="273" w:lineRule="auto"/>
        <w:ind w:left="285" w:right="791" w:firstLine="0"/>
      </w:pPr>
      <w:bookmarkStart w:id="31" w:name="_bookmark11"/>
      <w:bookmarkEnd w:id="31"/>
      <w:r>
        <w:t>Intrusion Detection System (IDS)</w:t>
      </w:r>
    </w:p>
    <w:p w14:paraId="21700C1F">
      <w:pPr>
        <w:pStyle w:val="7"/>
        <w:spacing w:before="124" w:line="276" w:lineRule="auto"/>
        <w:ind w:left="285" w:right="133" w:firstLine="566"/>
      </w:pPr>
      <w:r>
        <w:t>Intrusion Detection System (IDS) adalah alat keamanan jaringan yang memantau lalu lintas dan perangkat untuk mendeteksi aktivitas berbahaya, perilaku mencurigakan, atau pelanggaran kebijakan keamanan [11]. Churcher et al. [4] membedakan dua pendekatan mendasar dalam IDS:</w:t>
      </w:r>
    </w:p>
    <w:p w14:paraId="7FE5D927">
      <w:pPr>
        <w:pStyle w:val="7"/>
        <w:spacing w:before="124" w:line="276" w:lineRule="auto"/>
        <w:ind w:left="285" w:right="133" w:firstLine="566"/>
      </w:pPr>
      <w:r>
        <w:t>Signature-Based IDS (SIDS) bekerja dengan mencocokkan lalu lintas masuk terhadap basis data fingerprint serangan yang telah diketahui. Pendekatan ini efektif untuk mendeteksi ancaman yang sudah terdokumentasi, namun memiliki kelemahan fundamental: SIDS selalu rentan terhadap zero-day attacks atau serangan yang dimodifikasi untuk menghindari basis data signature [4].</w:t>
      </w:r>
    </w:p>
    <w:p w14:paraId="68C93696">
      <w:pPr>
        <w:pStyle w:val="7"/>
        <w:spacing w:before="124" w:line="276" w:lineRule="auto"/>
        <w:ind w:left="285" w:right="133" w:firstLine="566"/>
      </w:pPr>
      <w:r>
        <w:t>Anomaly Detection IDS (AD IDS) membangun model perilaku normal jaringan menggunakan pendekatan statistik, berbasis pengetahuan, atau machine learning, lalu menandai deviasi signifikan sebagai potensi serangan [11]. Keunggulan utama AD IDS adalah kemampuannya mendeteksi pola serangan baru yang belum pernah dilihat sebelumnya, menjadikannya sangat cocok untuk lingkungan IoT yang terus berkembang. Namun, AD IDS memerlukan pelatihan model yang baik untuk meminimalkan false positive yang berpotensi membuat IDS tidak dapat digunakan dalam praktik [4].</w:t>
      </w:r>
    </w:p>
    <w:p w14:paraId="3D0DF0D1">
      <w:pPr>
        <w:pStyle w:val="7"/>
        <w:spacing w:before="124" w:line="276" w:lineRule="auto"/>
        <w:ind w:left="285" w:right="133" w:firstLine="566"/>
      </w:pPr>
      <w:r>
        <w:t>Machine learning telah menjadi tulang punggung AD IDS modern. Dengan kemampuan beradaptasi dan meningkatkan performa seiring bertambahnya data pelatihan, ML menjadi solusi ideal untuk menangani pola serangan yang terus berevolusi [11].</w:t>
      </w:r>
    </w:p>
    <w:p w14:paraId="446B8D8F">
      <w:pPr>
        <w:pStyle w:val="4"/>
        <w:numPr>
          <w:ilvl w:val="2"/>
          <w:numId w:val="2"/>
        </w:numPr>
        <w:tabs>
          <w:tab w:val="left" w:pos="835"/>
        </w:tabs>
        <w:spacing w:before="203"/>
        <w:ind w:left="835" w:hanging="550"/>
      </w:pPr>
      <w:bookmarkStart w:id="32" w:name="_bookmark12"/>
      <w:bookmarkEnd w:id="32"/>
      <w:r>
        <w:rPr>
          <w:spacing w:val="-2"/>
        </w:rPr>
        <w:t>Decision Tree</w:t>
      </w:r>
    </w:p>
    <w:p w14:paraId="267A1FD9">
      <w:pPr>
        <w:pStyle w:val="7"/>
        <w:spacing w:before="152" w:line="276" w:lineRule="auto"/>
        <w:ind w:left="285" w:right="136" w:firstLine="566"/>
      </w:pPr>
      <w:r>
        <w:t>ARIMA (Autoregressive Integrated Moving Average) adalah kerangka statistik klasik untuk pemodelan deret waktu yang dirumuskan oleh Box dan Jenkins [10]. Model ini dibangun dari tiga parameter, yaitu orde autoregressive p, orde differencing d, dan orde moving average q.</w:t>
      </w:r>
    </w:p>
    <w:p w14:paraId="253578A6">
      <w:pPr>
        <w:pStyle w:val="7"/>
        <w:tabs>
          <w:tab w:val="left" w:pos="5670"/>
        </w:tabs>
        <w:spacing w:before="152" w:line="276" w:lineRule="auto"/>
        <w:ind w:left="285" w:right="136" w:firstLine="1983"/>
      </w:pPr>
      <m:oMath>
        <m:r>
          <m:rPr/>
          <w:rPr>
            <w:rFonts w:ascii="Cambria Math" w:hAnsi="Cambria Math"/>
          </w:rPr>
          <m:t>ϕ</m:t>
        </m:r>
        <m:d>
          <m:dPr>
            <m:ctrlPr>
              <w:rPr>
                <w:rFonts w:ascii="Cambria Math" w:hAnsi="Cambria Math"/>
              </w:rPr>
            </m:ctrlPr>
          </m:dPr>
          <m:e>
            <m:r>
              <m:rPr/>
              <w:rPr>
                <w:rFonts w:ascii="Cambria Math" w:hAnsi="Cambria Math"/>
              </w:rPr>
              <m:t>B</m:t>
            </m:r>
            <m:ctrlPr>
              <w:rPr>
                <w:rFonts w:ascii="Cambria Math" w:hAnsi="Cambria Math"/>
              </w:rPr>
            </m:ctrlPr>
          </m:e>
        </m:d>
        <m:r>
          <m:rPr/>
          <w:rPr>
            <w:rFonts w:ascii="Cambria Math" w:hAnsi="Cambria Math"/>
          </w:rPr>
          <m:t> </m:t>
        </m:r>
        <m:sSup>
          <m:sSupPr>
            <m:ctrlPr>
              <w:rPr>
                <w:rFonts w:ascii="Cambria Math" w:hAnsi="Cambria Math"/>
              </w:rPr>
            </m:ctrlPr>
          </m:sSupPr>
          <m:e>
            <m:d>
              <m:dPr>
                <m:ctrlPr>
                  <w:rPr>
                    <w:rFonts w:ascii="Cambria Math" w:hAnsi="Cambria Math"/>
                  </w:rPr>
                </m:ctrlPr>
              </m:dPr>
              <m:e>
                <m:r>
                  <m:rPr/>
                  <w:rPr>
                    <w:rFonts w:ascii="Cambria Math" w:hAnsi="Cambria Math"/>
                  </w:rPr>
                  <m:t>1−B</m:t>
                </m:r>
                <m:ctrlPr>
                  <w:rPr>
                    <w:rFonts w:ascii="Cambria Math" w:hAnsi="Cambria Math"/>
                  </w:rPr>
                </m:ctrlPr>
              </m:e>
            </m:d>
            <m:ctrlPr>
              <w:rPr>
                <w:rFonts w:ascii="Cambria Math" w:hAnsi="Cambria Math"/>
              </w:rPr>
            </m:ctrlPr>
          </m:e>
          <m:sup>
            <m:r>
              <m:rPr/>
              <w:rPr>
                <w:rFonts w:ascii="Cambria Math" w:hAnsi="Cambria Math"/>
              </w:rPr>
              <m:t>d</m:t>
            </m:r>
            <m:ctrlPr>
              <w:rPr>
                <w:rFonts w:ascii="Cambria Math" w:hAnsi="Cambria Math"/>
              </w:rPr>
            </m:ctrlPr>
          </m:sup>
        </m:sSup>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=θ</m:t>
        </m:r>
        <m:d>
          <m:dPr>
            <m:ctrlPr>
              <w:rPr>
                <w:rFonts w:ascii="Cambria Math" w:hAnsi="Cambria Math"/>
              </w:rPr>
            </m:ctrlPr>
          </m:dPr>
          <m:e>
            <m:r>
              <m:rPr/>
              <w:rPr>
                <w:rFonts w:ascii="Cambria Math" w:hAnsi="Cambria Math"/>
              </w:rPr>
              <m:t>B</m:t>
            </m:r>
            <m:ctrlPr>
              <w:rPr>
                <w:rFonts w:ascii="Cambria Math" w:hAnsi="Cambria Math"/>
              </w:rPr>
            </m:ctrlPr>
          </m:e>
        </m:d>
        <m:r>
          <m:rPr/>
          <w:rPr>
            <w:rFonts w:ascii="Cambria Math" w:hAnsi="Cambria Math"/>
          </w:rPr>
          <m:t> </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t</m:t>
            </m:r>
            <m:ctrlPr>
              <w:rPr>
                <w:rFonts w:ascii="Cambria Math" w:hAnsi="Cambria Math"/>
              </w:rPr>
            </m:ctrlPr>
          </m:sub>
        </m:sSub>
      </m:oMath>
      <w:r>
        <w:tab/>
      </w:r>
      <w:r>
        <w:t>(2.4)</w:t>
      </w:r>
    </w:p>
    <w:p w14:paraId="16BD16B3">
      <w:pPr>
        <w:pStyle w:val="7"/>
        <w:spacing w:before="152" w:line="276" w:lineRule="auto"/>
        <w:ind w:left="285" w:right="136" w:firstLine="566"/>
        <w:rPr>
          <w:lang w:val="sv-SE"/>
        </w:rPr>
      </w:pPr>
      <w:r>
        <w:rPr>
          <w:lang w:val="sv-SE"/>
        </w:rPr>
        <w:t>Decision Tree (DT) adalah algoritma supervised learning yang membangun model klasifikasi dalam bentuk struktur pohon hierarkis. Setiap internal node merepresentasikan pengujian pada satu atribut, setiap branch merepresentasikan hasil pengujian, dan setiap leaf node merepresentasikan label kelas [4]. Churcher et al. [4] menjelaskan bahwa pemilihan node akar dan node-node berikutnya dilakukan berdasarkan kriteria seperti entropy, yang mengukur probabilitas suatu titik data diklasifikasikan secara salah jika dipilih secara acak</w:t>
      </w:r>
    </w:p>
    <w:p w14:paraId="4F28DE5F">
      <w:pPr>
        <w:pStyle w:val="7"/>
        <w:spacing w:before="152" w:line="276" w:lineRule="auto"/>
        <w:ind w:left="285" w:right="136" w:firstLine="566"/>
        <w:rPr>
          <w:rFonts w:hint="default"/>
          <w:lang w:val="en-US"/>
        </w:rPr>
      </w:pPr>
    </w:p>
    <w:p w14:paraId="4032E26D">
      <w:pPr>
        <w:pStyle w:val="7"/>
        <w:spacing w:before="152" w:line="276" w:lineRule="auto"/>
        <w:ind w:left="285" w:right="136" w:firstLine="566"/>
        <w:rPr>
          <w:lang w:val="sv-SE"/>
        </w:rPr>
      </w:pPr>
      <w:r>
        <w:rPr>
          <w:lang w:val="sv-SE"/>
        </w:rPr>
        <w:t>di mana p_i adalah probabilitas data diklasifikasikan ke kelas ke-i dan c adalah jumlah kelas. Atribut dengan entropy terendah dipilih sebagai root node [4].</w:t>
      </w:r>
    </w:p>
    <w:p w14:paraId="027F9702">
      <w:pPr>
        <w:pStyle w:val="7"/>
        <w:spacing w:before="152" w:line="276" w:lineRule="auto"/>
        <w:ind w:left="285" w:right="136" w:firstLine="566"/>
        <w:rPr>
          <w:lang w:val="sv-SE"/>
        </w:rPr>
      </w:pPr>
      <w:r>
        <w:rPr>
          <w:lang w:val="sv-SE"/>
        </w:rPr>
        <w:t>Selain entropy, kriteria Gini Impurity juga umum digunakan dalam implementasi Decision Tree modern. Dzaki et al. [11] menggunakan Gini Impurity berbasis Decision Tree sebagai metode seleksi fitur (Gini Impurity Tree-based) yang terbukti menghasilkan subset fitur terkecil (10 fitur) dengan waktu pemrosesan tercepat (40 detik dari baseline 148 detik), mempercepat pelatihan hingga 63,06% tanpa mengorbankan akurasi 99,4%. Abebe et al. [5] melaporkan Decision Tree mencapai akurasi 98,34% pada CICIoT2023, mengungguli SVM (91,5%), Naive Bayes (92%), dan Logistic Regression (75%).</w:t>
      </w:r>
    </w:p>
    <w:p w14:paraId="0B880331">
      <w:pPr>
        <w:pStyle w:val="7"/>
        <w:spacing w:before="152" w:line="276" w:lineRule="auto"/>
        <w:ind w:left="285" w:right="136" w:firstLine="566"/>
        <w:rPr>
          <w:lang w:val="sv-SE"/>
        </w:rPr>
      </w:pPr>
    </w:p>
    <w:p w14:paraId="2D9B1DD3">
      <w:pPr>
        <w:pStyle w:val="7"/>
        <w:spacing w:before="67" w:line="276" w:lineRule="auto"/>
        <w:ind w:left="285" w:right="137"/>
        <w:rPr>
          <w:rFonts w:hint="default"/>
          <w:lang w:val="en-US"/>
        </w:rPr>
      </w:pPr>
    </w:p>
    <w:p w14:paraId="32D3F701">
      <w:pPr>
        <w:pStyle w:val="4"/>
        <w:numPr>
          <w:ilvl w:val="2"/>
          <w:numId w:val="2"/>
        </w:numPr>
        <w:tabs>
          <w:tab w:val="left" w:pos="835"/>
        </w:tabs>
        <w:spacing w:before="203"/>
        <w:ind w:left="835" w:hanging="550"/>
      </w:pPr>
      <w:bookmarkStart w:id="33" w:name="_bookmark13"/>
      <w:bookmarkEnd w:id="33"/>
      <w:bookmarkStart w:id="34" w:name="_Toc232668794"/>
      <w:r>
        <w:t>Platform Visualisasi Dashboard: Streamlit</w:t>
      </w:r>
      <w:bookmarkEnd w:id="34"/>
    </w:p>
    <w:p w14:paraId="49525EC2">
      <w:pPr>
        <w:pStyle w:val="7"/>
        <w:spacing w:before="154" w:line="276" w:lineRule="auto"/>
        <w:ind w:left="285" w:right="135" w:firstLine="566"/>
      </w:pPr>
      <w:r>
        <w:t>Visualisasi data berfungsi sebagai jembatan antara kompleksitas analitik dengan kemampuan perseptual manusia. Tufte menyatakan bahwa tujuan utama visualisasi kuantitatif adalah menyajikan informasi dengan kepadatan data tertinggi tanpa mengorbankan keterbacaan [13]. Dashboard BI yang berorientasi keputusan harus dirancang dengan hierarki informasi yang jelas, mulai dari ringkasan eksekutif hingga detail transaksional.</w:t>
      </w:r>
    </w:p>
    <w:p w14:paraId="780A07AC">
      <w:pPr>
        <w:pStyle w:val="7"/>
        <w:spacing w:before="154" w:line="276" w:lineRule="auto"/>
        <w:ind w:left="285" w:right="135" w:firstLine="566"/>
      </w:pPr>
      <w:r>
        <w:t>Streamlit adalah framework sumber terbuka Python untuk membangun aplikasi web analitik interaktif secara deklaratif [14]. Berbeda dengan platform drag-and-drop konvensional, Streamlit memungkinkan antarmuka dashboard dibangun dari kode Python yang sama dengan pipeline ETL dan model analitik backend, sehingga tidak diperlukan lapisan konversi data tambahan [14]. Seluruh komponen sistem dalam penelitian ini, mulai dari formulir input transaksi, pipeline ETL, K-Means, hingga Prophet, dibangun dalam satu ekosistem Python, menjadikan Streamlit pilihan yang paling kohesif secara teknis.</w:t>
      </w:r>
    </w:p>
    <w:p w14:paraId="07E3D61D">
      <w:pPr>
        <w:pStyle w:val="7"/>
        <w:spacing w:before="154" w:line="276" w:lineRule="auto"/>
        <w:ind w:left="285" w:right="135" w:firstLine="566"/>
      </w:pPr>
      <w:r>
        <w:t>Dashboard yang dirancang mencakup empat modul, yaitu Executive Summary, Forecasting Pendapatan, Segmentasi Pelanggan, dan Analisis Beban Kerja vs. Kontribusi Pendapatan. Modul terakhir secara khusus dirancang untuk mengangkat fenomena Nota Pengecekan yang selama ini tidak terekap secara finansial, dengan menyandingkan intensitas beban kerja diagnosa terhadap kontribusi pendapatan riil yang dihasilkan setiap mekanik.</w:t>
      </w:r>
    </w:p>
    <w:p w14:paraId="0A720B65">
      <w:pPr>
        <w:pStyle w:val="7"/>
        <w:spacing w:before="12"/>
        <w:jc w:val="left"/>
      </w:pPr>
      <w:bookmarkStart w:id="35" w:name="_bookmark14"/>
      <w:bookmarkEnd w:id="35"/>
    </w:p>
    <w:p w14:paraId="542BDC82">
      <w:pPr>
        <w:pStyle w:val="3"/>
        <w:numPr>
          <w:ilvl w:val="1"/>
          <w:numId w:val="2"/>
        </w:numPr>
        <w:tabs>
          <w:tab w:val="left" w:pos="687"/>
        </w:tabs>
        <w:spacing w:before="1"/>
        <w:ind w:left="687" w:hanging="402"/>
      </w:pPr>
      <w:bookmarkStart w:id="36" w:name="_bookmark15"/>
      <w:bookmarkEnd w:id="36"/>
      <w:bookmarkStart w:id="37" w:name="_Toc232668795"/>
      <w:r>
        <w:rPr>
          <w:spacing w:val="-2"/>
        </w:rPr>
        <w:t>PENELITIAN</w:t>
      </w:r>
      <w:r>
        <w:rPr>
          <w:spacing w:val="5"/>
        </w:rPr>
        <w:t xml:space="preserve"> </w:t>
      </w:r>
      <w:r>
        <w:rPr>
          <w:spacing w:val="-2"/>
        </w:rPr>
        <w:t>TERKAIT</w:t>
      </w:r>
      <w:bookmarkEnd w:id="37"/>
    </w:p>
    <w:p w14:paraId="475415F7">
      <w:pPr>
        <w:pStyle w:val="4"/>
        <w:numPr>
          <w:ilvl w:val="2"/>
          <w:numId w:val="2"/>
        </w:numPr>
        <w:tabs>
          <w:tab w:val="left" w:pos="835"/>
        </w:tabs>
        <w:spacing w:before="204" w:line="273" w:lineRule="auto"/>
        <w:ind w:left="285" w:right="932" w:firstLine="0"/>
      </w:pPr>
      <w:bookmarkStart w:id="38" w:name="_bookmark16"/>
      <w:bookmarkEnd w:id="38"/>
      <w:bookmarkStart w:id="39" w:name="_Toc232668796"/>
      <w:r>
        <w:rPr>
          <w:lang w:val="sv-SE"/>
        </w:rPr>
        <w:t>Implementasi Dashboard BI untuk Monitoring KPI Operasional</w:t>
      </w:r>
      <w:bookmarkEnd w:id="39"/>
    </w:p>
    <w:p w14:paraId="129AA34E">
      <w:pPr>
        <w:spacing w:before="121" w:line="278" w:lineRule="auto"/>
        <w:ind w:left="285" w:right="135" w:firstLine="566"/>
        <w:jc w:val="both"/>
      </w:pPr>
      <w:r>
        <w:rPr>
          <w:sz w:val="20"/>
        </w:rPr>
        <w:t>Kurniawan, Hidayat, dan Fauzan [15] mengimplementasikan dashboard Business Intelligence untuk pemantauan Key Performance Indicators pada perusahaan logistik skala menengah. Penelitian tersebut mendemonstrasikan bahwa penggunaan dashboard interaktif berbasis data secara signifikan meningkatkan kecepatan dan akurasi pengambilan keputusan manajerial dibandingkan pelaporan berbasis lembar kerja konvensional [15]. Hasil ini memberikan validasi empiris terhadap nilai tambah yang diberikan sistem BI dalam konteks bisnis operasional. Keterbatasan penelitian tersebut terletak pada data yang digunakan, yaitu data statis yang telah tersedia dalam format digital sejak awal tanpa tantangan akuisisi data di lapangan.</w:t>
      </w:r>
    </w:p>
    <w:p w14:paraId="5177AD18">
      <w:pPr>
        <w:pStyle w:val="4"/>
        <w:numPr>
          <w:ilvl w:val="2"/>
          <w:numId w:val="2"/>
        </w:numPr>
        <w:tabs>
          <w:tab w:val="left" w:pos="835"/>
        </w:tabs>
        <w:spacing w:before="204" w:line="276" w:lineRule="auto"/>
        <w:ind w:left="285" w:right="237" w:firstLine="0"/>
      </w:pPr>
      <w:bookmarkStart w:id="40" w:name="_bookmark17"/>
      <w:bookmarkEnd w:id="40"/>
      <w:bookmarkStart w:id="41" w:name="_Toc232668797"/>
      <w:r>
        <w:t>Segmentasi Pelanggan Menggunakan RFM dan K-Means Clustering</w:t>
      </w:r>
      <w:bookmarkEnd w:id="41"/>
    </w:p>
    <w:p w14:paraId="5593886A">
      <w:pPr>
        <w:pStyle w:val="7"/>
        <w:spacing w:before="119" w:line="276" w:lineRule="auto"/>
        <w:ind w:left="285" w:right="136" w:firstLine="566"/>
      </w:pPr>
      <w:r>
        <w:t>Pramesti dan Wirawan [16] mendemonstrasikan efektivitas kombinasi analisis RFM dengan K-Means Clustering untuk mengklasifikasikan pelanggan pada bisnis ritel berskala menengah. Penelitian tersebut menghasilkan empat segmen pelanggan yang terdistingkasi secara signifikan dengan implikasi strategi pemasaran yang spesifik per segmen [16]. Pramesti dan Wirawan menegaskan bahwa RFM memberikan dasar kuantitatif yang lebih objektif dibandingkan segmentasi berbasis persepsi subjektif manajerial. Penelitian ini menjadi landasan metodologis bagi modul clustering dalam proyek akhir ini, dengan penyesuaian pada karakteristik unik jasa otomotif yang memiliki segmen B2B dan B2C secara simultan.</w:t>
      </w:r>
    </w:p>
    <w:p w14:paraId="17E536A2">
      <w:pPr>
        <w:pStyle w:val="4"/>
        <w:numPr>
          <w:ilvl w:val="2"/>
          <w:numId w:val="2"/>
        </w:numPr>
        <w:tabs>
          <w:tab w:val="left" w:pos="835"/>
        </w:tabs>
        <w:spacing w:before="201" w:line="276" w:lineRule="auto"/>
        <w:ind w:left="285" w:right="200" w:firstLine="0"/>
      </w:pPr>
      <w:bookmarkStart w:id="42" w:name="_bookmark18"/>
      <w:bookmarkEnd w:id="42"/>
      <w:bookmarkStart w:id="43" w:name="_Toc232668798"/>
      <w:r>
        <w:t>Peramalan Pendapatan dengan Prophet pada Data Tidak Kontinu</w:t>
      </w:r>
      <w:bookmarkEnd w:id="43"/>
    </w:p>
    <w:p w14:paraId="47777060">
      <w:pPr>
        <w:pStyle w:val="7"/>
        <w:spacing w:before="122" w:line="276" w:lineRule="auto"/>
        <w:ind w:left="285" w:right="135" w:firstLine="566"/>
        <w:rPr>
          <w:lang w:val="sv-SE"/>
        </w:rPr>
      </w:pPr>
      <w:r>
        <w:rPr>
          <w:lang w:val="sv-SE"/>
        </w:rPr>
        <w:t>Santoso, Wicaksono, dan Pratama [12] melakukan perbandingan sistematis antara ARIMA dan Prophet pada data penjualan industri manufaktur skala kecil dengan pola musiman tidak teratur. Hasilnya menunjukkan bahwa Prophet memberikan akurasi lebih tinggi dengan selisih MAPE sebesar 3,7 persen dibandingkan ARIMA pada kondisi data tidak lengkap [12]. Raharjo, Nugroho, dan Prasetyo [17] menerapkan Prophet pada data pendapatan sektor jasa yang tidak kontinu akibat periode pandemi dan menemukan bahwa kemampuan changepoint otomatis pada Prophet menghasilkan proyeksi yang jauh lebih andal dibandingkan ARIMA yang gagal beradaptasi terhadap pergeseran tren mendadak [17].</w:t>
      </w:r>
    </w:p>
    <w:p w14:paraId="1225BC93">
      <w:pPr>
        <w:pStyle w:val="7"/>
        <w:spacing w:before="122" w:line="276" w:lineRule="auto"/>
        <w:ind w:left="285" w:right="135" w:firstLine="566"/>
        <w:rPr>
          <w:lang w:val="sv-SE"/>
        </w:rPr>
      </w:pPr>
      <w:r>
        <w:rPr>
          <w:lang w:val="sv-SE"/>
        </w:rPr>
        <w:t>Kedua temuan ini memperkuat argumentasi pemilihan Prophet sebagai algoritma peramalan utama dalam penelitian ini, sekaligus mengonfirmasi bahwa metode berbasis asumsi kontinuitas seperti ARIMA tidak sesuai diterapkan pada data dengan karakteristik serupa. Pada penelitian ini, Prophet dibandingkan terhadap Holt-Winters dan Seasonal Naive sebagai metode pembanding yang lebih sesuai dengan kondisi data yang tersedia.</w:t>
      </w:r>
    </w:p>
    <w:p w14:paraId="4CC00AA0">
      <w:pPr>
        <w:pStyle w:val="4"/>
        <w:numPr>
          <w:ilvl w:val="2"/>
          <w:numId w:val="2"/>
        </w:numPr>
        <w:tabs>
          <w:tab w:val="left" w:pos="835"/>
        </w:tabs>
        <w:spacing w:before="203"/>
        <w:ind w:left="835" w:hanging="550"/>
      </w:pPr>
      <w:bookmarkStart w:id="44" w:name="_bookmark19"/>
      <w:bookmarkEnd w:id="44"/>
      <w:bookmarkStart w:id="45" w:name="_Toc232668799"/>
      <w:r>
        <w:t>Digitalisasi Sistem Informasi Manajemen Bengkel Otomotif</w:t>
      </w:r>
      <w:bookmarkEnd w:id="45"/>
    </w:p>
    <w:p w14:paraId="766FC174">
      <w:pPr>
        <w:spacing w:before="152" w:line="276" w:lineRule="auto"/>
        <w:ind w:left="285" w:right="141" w:firstLine="566"/>
        <w:jc w:val="both"/>
        <w:rPr>
          <w:sz w:val="20"/>
          <w:lang w:val="sv-SE"/>
        </w:rPr>
      </w:pPr>
      <w:r>
        <w:rPr>
          <w:sz w:val="20"/>
        </w:rPr>
        <w:t xml:space="preserve">Rahman, Susanto, dan Anggraeni [18] membangun sistem informasi manajemen bengkel berbasis web untuk menggantikan pencatatan manual pada bengkel umum berskala kecil. </w:t>
      </w:r>
      <w:r>
        <w:rPr>
          <w:sz w:val="20"/>
          <w:lang w:val="sv-SE"/>
        </w:rPr>
        <w:t>Digitalisasi proses pencatatan saja terbukti mampu mengurangi kehilangan data transaksi hingga 94 persen dalam enam bulan pertama implementasi [18].</w:t>
      </w:r>
    </w:p>
    <w:p w14:paraId="385D6395">
      <w:pPr>
        <w:spacing w:before="152" w:line="276" w:lineRule="auto"/>
        <w:ind w:left="285" w:right="141" w:firstLine="566"/>
        <w:jc w:val="both"/>
        <w:rPr>
          <w:sz w:val="20"/>
          <w:lang w:val="sv-SE"/>
        </w:rPr>
      </w:pPr>
      <w:r>
        <w:rPr>
          <w:sz w:val="20"/>
          <w:lang w:val="sv-SE"/>
        </w:rPr>
        <w:t>Keterbatasan penelitian Rahman, Susanto, dan Anggraeni terletak pada fokus implementasinya yang berhenti pada tahap pencatatan transaksi, tanpa pengembangan lebih lanjut ke arah analisis prediktif maupun segmentasi pelanggan. Sistem yang dibangun berfungsi sebagai pengganti pencatatan manual, namun belum menyediakan kemampuan peramalan pendapatan, klasterisasi pelanggan, maupun pelacakan terhadap potensi pendapatan yang belum terealisasi.</w:t>
      </w:r>
    </w:p>
    <w:p w14:paraId="0AAFC60A">
      <w:pPr>
        <w:spacing w:before="152" w:line="276" w:lineRule="auto"/>
        <w:ind w:left="285" w:right="141" w:firstLine="566"/>
        <w:jc w:val="both"/>
        <w:sectPr>
          <w:footerReference r:id="rId6" w:type="default"/>
          <w:pgSz w:w="8400" w:h="11910"/>
          <w:pgMar w:top="1060" w:right="992" w:bottom="920" w:left="1133" w:header="0" w:footer="739" w:gutter="0"/>
          <w:cols w:space="720" w:num="1"/>
        </w:sectPr>
      </w:pPr>
    </w:p>
    <w:p w14:paraId="144D1A98">
      <w:pPr>
        <w:pStyle w:val="2"/>
        <w:ind w:left="1707"/>
      </w:pPr>
      <w:bookmarkStart w:id="46" w:name="_bookmark20"/>
      <w:bookmarkEnd w:id="46"/>
      <w:bookmarkStart w:id="47" w:name="_Toc232668800"/>
      <w:r>
        <w:t>BAB 3 DESKRIPSI</w:t>
      </w:r>
      <w:r>
        <w:rPr>
          <w:spacing w:val="-2"/>
        </w:rPr>
        <w:t xml:space="preserve"> SISTEM</w:t>
      </w:r>
      <w:bookmarkEnd w:id="47"/>
    </w:p>
    <w:p w14:paraId="6D01EC18">
      <w:pPr>
        <w:pStyle w:val="7"/>
        <w:spacing w:before="8"/>
        <w:jc w:val="left"/>
        <w:rPr>
          <w:b/>
          <w:sz w:val="24"/>
        </w:rPr>
      </w:pPr>
    </w:p>
    <w:p w14:paraId="7DCB3B5E">
      <w:pPr>
        <w:pStyle w:val="3"/>
        <w:numPr>
          <w:ilvl w:val="1"/>
          <w:numId w:val="3"/>
        </w:numPr>
        <w:tabs>
          <w:tab w:val="left" w:pos="687"/>
        </w:tabs>
        <w:ind w:left="687" w:hanging="402"/>
      </w:pPr>
      <w:bookmarkStart w:id="48" w:name="_bookmark21"/>
      <w:bookmarkEnd w:id="48"/>
      <w:bookmarkStart w:id="49" w:name="_Toc232668801"/>
      <w:r>
        <w:rPr>
          <w:spacing w:val="-2"/>
        </w:rPr>
        <w:t>DESKRIPSI</w:t>
      </w:r>
      <w:r>
        <w:rPr>
          <w:spacing w:val="5"/>
        </w:rPr>
        <w:t xml:space="preserve"> </w:t>
      </w:r>
      <w:r>
        <w:rPr>
          <w:spacing w:val="-2"/>
        </w:rPr>
        <w:t>SOLUSI</w:t>
      </w:r>
      <w:bookmarkEnd w:id="49"/>
    </w:p>
    <w:p w14:paraId="2C92CCEC">
      <w:pPr>
        <w:pStyle w:val="7"/>
        <w:spacing w:before="154" w:line="276" w:lineRule="auto"/>
        <w:ind w:left="285" w:right="136" w:firstLine="427"/>
        <w:rPr/>
      </w:pPr>
      <w:r>
        <w:t>Penelitian ini mengajukan kerangka evaluasi cross-dataset sebagai solusi terhadap permasalahan yang belum diteliti dalam literatur: sejauh mana model intrusion detection berbasis machine learning yang dilatih pada dataset IoT konsumen (CICIoT2023) mampu mempertahankan performanya ketika diterapkan pada lingkungan IIoT industri (DataSense). Berbeda dari seluruh penelitian terdahulu yang mengevaluasi model dalam satu domain dataset yang sama [lihat Tabel 2.7], kerangka ini secara eksplisit mengukur generalization gap — selisih performa model antara evaluasi in-dataset dan evaluasi lintas domain. Solusi yang ditawarkan memiliki lima fitur utama yang saling melengkapi.</w:t>
      </w:r>
    </w:p>
    <w:p w14:paraId="4F12B779">
      <w:pPr>
        <w:pStyle w:val="7"/>
        <w:spacing w:before="154" w:line="276" w:lineRule="auto"/>
        <w:ind w:left="285" w:right="136" w:firstLine="427"/>
        <w:rPr/>
      </w:pPr>
      <w:r>
        <w:t>Pertama, pemilihan tiga algoritma dengan tingkat kompleksitas ensemble yang berbeda. Ketiga algoritma yang dipilih — Decision Tree, Random Forest, dan XGBoost — merepresentasikan tiga titik dalam spektrum kompleksitas model: model pohon tunggal yang sepenuhnya interpretable (Decision Tree), ensemble berbasis bagging yang memparalelkan banyak pohon acak (Random Forest), dan ensemble berbasis boosting yang membangun model secara sekuensial (XGBoost). Pemilihan ini didukung oleh konsistensi performa ketiganya di seluruh penelitian terkait: Random Forest muncul di 7 dari 15 referensi sebagai top performer [4][8][14][15], XGBoost mengungguli semua model dalam macro F1-score pada dua studi terbaru berbasis CICIoT2023 [8][10], dan Decision Tree terbukti sebagai model paling efisien dengan akurasi 98,34% dan waktu seleksi fitur tercepat [5][11]. Dengan membandingkan tiga algoritma yang berbeda level kompleksitasnya, penelitian ini dapat menjawab pertanyaan: apakah kompleksitas ensemble memberikan keunggulan tambahan saat model harus digeneralisasikan ke domain baru?</w:t>
      </w:r>
    </w:p>
    <w:p w14:paraId="401E25D8">
      <w:pPr>
        <w:pStyle w:val="7"/>
        <w:spacing w:before="154" w:line="276" w:lineRule="auto"/>
        <w:ind w:left="285" w:right="136" w:firstLine="427"/>
        <w:rPr>
          <w:lang w:val="sv-SE"/>
        </w:rPr>
      </w:pPr>
      <w:r>
        <w:rPr>
          <w:lang w:val="sv-SE"/>
        </w:rPr>
        <w:t>Kedua, pipeline preprocessing sistematis yang dirancang untuk menangani karakteristik spesifik CICIoT2023. Dataset CICIoT2023 dengan lebih dari 46 juta baris dan ketidakseimbangan kelas yang ekstrem tidak dapat langsung diproses oleh model ML. Pipeline preprocessing yang dirancang terdiri dari empat tahap berurutan: (1) data cleaning untuk menghapus duplikat, nilai hilang, dan fitur non-informatif; (2) random undersampling untuk menyeimbangkan distribusi kelas tanpa mensintesis data baru — teknik yang terbukti efektif pada CICIoT2023 oleh Firdaus et al. [10] dan Dzaki et al. [11]; (3) Gini Impurity Tree-based feature selection untuk mereduksi 48 fitur menjadi subset minimal tanpa kehilangan akurasi [11]; dan (4) Min-Max normalization ke rentang [0,1] sebagai prasyarat konsistensi skala fitur lintas domain [10][11].</w:t>
      </w:r>
    </w:p>
    <w:p w14:paraId="274A0912">
      <w:pPr>
        <w:pStyle w:val="7"/>
        <w:spacing w:before="154" w:line="276" w:lineRule="auto"/>
        <w:ind w:left="285" w:right="136" w:firstLine="427"/>
        <w:rPr>
          <w:lang w:val="sv-SE"/>
        </w:rPr>
      </w:pPr>
      <w:r>
        <w:rPr>
          <w:lang w:val="sv-SE"/>
        </w:rPr>
        <w:t>Ketiga, pendekatan penyelarasan fitur berbasis interseksi untuk evaluasi lintas domain yang valid. Evaluasi cross-dataset yang valid mensyaratkan bahwa model menerima input yang secara semantik setara dari kedua dataset. Pendekatan yang digunakan adalah membangun feature intersection — hanya fitur yang secara eksplisit tersedia di kedua CICIoT2023 dan DataSense yang dipertahankan sebagai input model. Fitur yang hanya ada di satu dataset dieliminasi dari pipeline evaluasi. Jumlah fitur dalam interseksi ini menjadi indikator langsung seberapa besar perbedaan ruang fitur antara kedua domain dan sekaligus menjadi salah satu temuan analitik penelitian ini.</w:t>
      </w:r>
    </w:p>
    <w:p w14:paraId="1E9DB588">
      <w:pPr>
        <w:pStyle w:val="7"/>
        <w:spacing w:before="154" w:line="276" w:lineRule="auto"/>
        <w:ind w:left="285" w:right="136" w:firstLine="427"/>
        <w:rPr>
          <w:lang w:val="sv-SE"/>
        </w:rPr>
      </w:pPr>
      <w:r>
        <w:rPr>
          <w:lang w:val="sv-SE"/>
        </w:rPr>
        <w:t>Keempat, penyelarasan label kelas ke lima kategori serangan bersama. CICIoT2023 memiliki 8 kelas termasuk Mirai dan Spoofing yang tidak ada di DataSense, sementara DataSense memiliki kategori Man-in-the-Middle dan Malware yang tidak ada di CICIoT2023. Untuk memastikan evaluasi yang apple-to-apple, label dipetakan ke 5 kelas yang tersedia di kedua dataset: DDoS, DoS, Reconnaissance, Brute Force, dan Benign. Kelas yang hanya ada di satu dataset dieliminasi dari evaluasi cross-dataset, meskipun tetap digunakan dalam pelatihan in-dataset pada CICIoT2023.</w:t>
      </w:r>
    </w:p>
    <w:p w14:paraId="6ED335F8">
      <w:pPr>
        <w:pStyle w:val="7"/>
        <w:spacing w:before="154" w:line="276" w:lineRule="auto"/>
        <w:ind w:left="285" w:right="136" w:firstLine="427"/>
        <w:rPr>
          <w:lang w:val="sv-SE"/>
        </w:rPr>
      </w:pPr>
      <w:r>
        <w:rPr>
          <w:lang w:val="sv-SE"/>
        </w:rPr>
        <w:t>Kelima, protokol evaluasi zero-shot cross-dataset dengan metrik generalization gap yang terukur. Model dilatih sepenuhnya pada data training CICIoT2023 tanpa informasi apapun dari DataSense. Seluruh DataSense kemudian digunakan sebagai test set eksternal tanpa retraining atau fine-tuning. Generalization gap dikuantifikasi menggunakan Δ Macro F1 = F1_in-dataset − F1_cross-dataset untuk masing-masing model, dengan Macro F1 dipilih karena memberi bobot setara pada semua kelas termasuk kelas minoritas [8][10]. Model dengan Δ Macro F1 terkecil dianggap paling robust terhadap pergeseran domain IoT ke IIoT.</w:t>
      </w:r>
    </w:p>
    <w:p w14:paraId="57FC2D39">
      <w:pPr>
        <w:pStyle w:val="7"/>
        <w:spacing w:before="154" w:line="276" w:lineRule="auto"/>
        <w:ind w:left="285" w:right="136" w:firstLine="427"/>
        <w:rPr>
          <w:lang w:val="sv-SE"/>
        </w:rPr>
      </w:pPr>
      <w:r>
        <w:rPr>
          <w:lang w:val="sv-SE"/>
        </w:rPr>
        <w:t>Seluruh output ketiga modul analitik disajikan secara terpadu melalui dashboard interaktif berbasis Streamlit dengan empat modul visualisasi. Pendekatan terpadu ini memastikan bahwa proyeksi pendapatan tersedia dalam konteks segmentasi pelanggan, dan segmentasi tersedia berdampingan dengan analisis beban kerja mekanik, sehingga manajemen dapat mengambil keputusan yang lebih terinformasi dibandingkan apabila setiap output analitik disajikan secara terpisah [13].</w:t>
      </w:r>
    </w:p>
    <w:p w14:paraId="005FCC16">
      <w:pPr>
        <w:pStyle w:val="7"/>
        <w:jc w:val="left"/>
      </w:pPr>
    </w:p>
    <w:p w14:paraId="5CF92AF8">
      <w:pPr>
        <w:pStyle w:val="3"/>
        <w:numPr>
          <w:ilvl w:val="1"/>
          <w:numId w:val="3"/>
        </w:numPr>
        <w:tabs>
          <w:tab w:val="left" w:pos="687"/>
        </w:tabs>
        <w:spacing w:before="67"/>
        <w:ind w:left="687" w:hanging="402"/>
        <w:jc w:val="both"/>
      </w:pPr>
      <w:bookmarkStart w:id="50" w:name="_Toc232668802"/>
      <w:r>
        <w:t>DESAIN</w:t>
      </w:r>
      <w:r>
        <w:rPr>
          <w:spacing w:val="-10"/>
        </w:rPr>
        <w:t xml:space="preserve"> </w:t>
      </w:r>
      <w:r>
        <w:rPr>
          <w:spacing w:val="-2"/>
        </w:rPr>
        <w:t>SISTEM</w:t>
      </w:r>
      <w:bookmarkEnd w:id="50"/>
    </w:p>
    <w:p w14:paraId="552D11A8">
      <w:pPr>
        <w:pStyle w:val="7"/>
        <w:spacing w:before="156" w:line="276" w:lineRule="auto"/>
        <w:ind w:left="285" w:right="135" w:firstLine="427"/>
      </w:pPr>
      <w:r>
        <w:t>Desain sistem dari kerangka evaluasi cross-dataset yang diajukan diilustrasikan pada Gambar 3.1. Sistem terdiri dari dua pipeline paralel yang berasal dari dua sumber data berbeda — CICIoT2023 sebagai domain IoT konsumen dan DataSense (CIC IIoT 2025) sebagai domain IIoT industri — yang keduanya bermuara pada satu node evaluasi bersama.</w:t>
      </w:r>
    </w:p>
    <w:p w14:paraId="3493496E">
      <w:pPr>
        <w:pStyle w:val="7"/>
        <w:spacing w:before="156" w:line="276" w:lineRule="auto"/>
        <w:ind w:left="285" w:right="135" w:firstLine="427"/>
        <w:rPr/>
      </w:pPr>
      <w:r>
        <w:t>Secara garis besar, pipeline CICIoT2023 mengalirkan data melalui tahap pemrosesan data, seleksi fitur, dan pelatihan model menggunakan tiga algoritma ML. Model yang telah terlatih kemudian diuji secara bersamaan pada test set CICIoT2023 (evaluasi in-dataset) dan pada DataSense yang telah menjalani pemrosesan dan penyelarasan fitur secara paralel (evaluasi cross-dataset). Node cross dataset evaluation menghasilkan laporan generalization gap yang menjadi keluaran utama penelitian. Umpan balik dari node evaluasi ke tahap seleksi fitur DataSense menunjukkan bahwa analisis fitur mana yang robust lintas domain menginformasikan pemahaman karakteristik DataSense secara iteratif.</w:t>
      </w:r>
    </w:p>
    <w:p w14:paraId="59D5EE7B">
      <w:pPr>
        <w:pStyle w:val="7"/>
        <w:spacing w:before="156" w:line="276" w:lineRule="auto"/>
        <w:ind w:left="285" w:right="135" w:firstLine="427"/>
        <w:rPr/>
      </w:pPr>
    </w:p>
    <w:p w14:paraId="1B2145E6">
      <w:pPr>
        <w:pStyle w:val="7"/>
        <w:spacing w:before="156" w:line="276" w:lineRule="auto"/>
        <w:ind w:left="285" w:right="135" w:firstLine="427"/>
      </w:pPr>
    </w:p>
    <w:p w14:paraId="33E482D0">
      <w:pPr>
        <w:pStyle w:val="7"/>
        <w:jc w:val="left"/>
      </w:pPr>
    </w:p>
    <w:p w14:paraId="41AF166B">
      <w:pPr>
        <w:pStyle w:val="7"/>
        <w:jc w:val="center"/>
        <w:rPr>
          <w:i/>
        </w:rPr>
      </w:pPr>
      <w:r>
        <w:rPr>
          <w:i/>
        </w:rPr>
        <w:drawing>
          <wp:inline distT="0" distB="0" distL="0" distR="0">
            <wp:extent cx="1775460" cy="2019300"/>
            <wp:effectExtent l="0" t="0" r="0" b="0"/>
            <wp:docPr id="22433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39470" name="Picture 1"/>
                    <pic:cNvPicPr>
                      <a:picLocks noChangeAspect="1"/>
                    </pic:cNvPicPr>
                  </pic:nvPicPr>
                  <pic:blipFill>
                    <a:blip r:embed="rId9"/>
                    <a:srcRect t="998"/>
                    <a:stretch>
                      <a:fillRect/>
                    </a:stretch>
                  </pic:blipFill>
                  <pic:spPr>
                    <a:xfrm>
                      <a:off x="0" y="0"/>
                      <a:ext cx="1795120" cy="2042288"/>
                    </a:xfrm>
                    <a:prstGeom prst="rect">
                      <a:avLst/>
                    </a:prstGeom>
                    <a:ln>
                      <a:noFill/>
                    </a:ln>
                  </pic:spPr>
                </pic:pic>
              </a:graphicData>
            </a:graphic>
          </wp:inline>
        </w:drawing>
      </w:r>
    </w:p>
    <w:p w14:paraId="74FBEE32">
      <w:pPr>
        <w:pStyle w:val="7"/>
        <w:spacing w:before="40"/>
        <w:jc w:val="left"/>
        <w:rPr>
          <w:i/>
        </w:rPr>
      </w:pPr>
    </w:p>
    <w:p w14:paraId="7FEDE082">
      <w:pPr>
        <w:pStyle w:val="7"/>
        <w:spacing w:line="276" w:lineRule="auto"/>
        <w:ind w:left="334" w:right="191"/>
        <w:jc w:val="center"/>
      </w:pPr>
      <w:r>
        <w:t>Gambar</w:t>
      </w:r>
      <w:r>
        <w:rPr>
          <w:spacing w:val="-5"/>
        </w:rPr>
        <w:t xml:space="preserve"> </w:t>
      </w:r>
      <w:r>
        <w:t>3.1</w:t>
      </w:r>
      <w:r>
        <w:rPr>
          <w:spacing w:val="-5"/>
        </w:rPr>
        <w:t xml:space="preserve"> </w:t>
      </w:r>
      <w:r>
        <w:t>Diagram Arsitektur Sistem High-Level View</w:t>
      </w:r>
    </w:p>
    <w:p w14:paraId="71794381">
      <w:pPr>
        <w:pStyle w:val="7"/>
        <w:spacing w:line="276" w:lineRule="auto"/>
        <w:ind w:left="334" w:right="191"/>
        <w:jc w:val="both"/>
        <w:rPr>
          <w:rFonts w:hint="default"/>
          <w:lang w:val="en-US"/>
        </w:rPr>
      </w:pPr>
    </w:p>
    <w:p w14:paraId="445EF584">
      <w:pPr>
        <w:pStyle w:val="7"/>
        <w:numPr>
          <w:ilvl w:val="0"/>
          <w:numId w:val="4"/>
        </w:numPr>
        <w:spacing w:before="156" w:line="276" w:lineRule="auto"/>
        <w:ind w:left="851" w:right="135" w:hanging="567"/>
      </w:pPr>
      <w:r>
        <w:rPr>
          <w:b/>
          <w:bCs/>
        </w:rPr>
        <w:t>Tahap Pemrosesan Data</w:t>
      </w:r>
    </w:p>
    <w:p w14:paraId="0D868FF7">
      <w:pPr>
        <w:pStyle w:val="7"/>
        <w:spacing w:before="156" w:line="276" w:lineRule="auto"/>
        <w:ind w:left="284" w:right="135" w:firstLine="567"/>
        <w:rPr>
          <w:lang w:val="sv-SE"/>
        </w:rPr>
      </w:pPr>
      <w:r>
        <w:rPr>
          <w:lang w:val="sv-SE"/>
        </w:rPr>
        <w:t>Pemrosesan data merupakan tahap pertama pada kedua pipeline dan bertujuan mengubah data mentah dari masing-masing dataset ke bentuk yang siap diproses model ML.</w:t>
      </w:r>
    </w:p>
    <w:p w14:paraId="5D4971F9">
      <w:pPr>
        <w:pStyle w:val="7"/>
        <w:spacing w:before="156" w:line="276" w:lineRule="auto"/>
        <w:ind w:left="284" w:right="135" w:firstLine="567"/>
        <w:rPr>
          <w:lang w:val="sv-SE"/>
        </w:rPr>
      </w:pPr>
      <w:r>
        <w:rPr>
          <w:lang w:val="sv-SE"/>
        </w:rPr>
        <w:t>Pada pipeline CICIoT2023, pemrosesan data mencakup empat langkah berurutan. Pertama, data cleaning: menghapus baris duplikat, menangani nilai hilang (missing values) dengan strategi drop-row, dan menghapus fitur non-informatif seperti alamat IP sumber/tujuan, nomor port, dan timestamp yang tidak berkontribusi pada deteksi pola serangan. Kedua, random undersampling: mendistribusikan ulang kelas dengan mengambil sejumlah sampel yang sama dari setiap kelas — mengacu pada distribusi Dzaki et al. [11] yang menggunakan 437.853 sampel per kelas untuk 8 kelas, menurunkan total data dari 46 juta baris menjadi sekitar 3,5 juta baris. Ketiga, Gini Impurity Tree-based feature selection: memilih subset fitur paling relevan dari 48 fitur awal menggunakan algoritma Decision Tree dengan kriteria Gini Impurity, menghasilkan 10 fitur terpilih [11]. Keempat, Min-Max normalization: menskalakan semua nilai fitur ke rentang [0,1] menggunakan parameter minimum dan maksimum yang dihitung eksklusif dari data training.</w:t>
      </w:r>
    </w:p>
    <w:p w14:paraId="730EABA9">
      <w:pPr>
        <w:pStyle w:val="7"/>
        <w:spacing w:before="156" w:line="276" w:lineRule="auto"/>
        <w:ind w:left="284" w:right="135" w:firstLine="567"/>
        <w:rPr>
          <w:lang w:val="sv-SE"/>
        </w:rPr>
      </w:pPr>
      <w:r>
        <w:rPr>
          <w:lang w:val="sv-SE"/>
        </w:rPr>
        <w:t>Pada pipeline DataSense, pemrosesan data mengikuti langkah yang serupa dalam hal cleaning dan normalisasi, namun tidak melibatkan undersampling karena DataSense digunakan seluruhnya sebagai test set. Parameter normalisasi (nilai min dan max per fitur) yang digunakan adalah parameter yang sama yang dihitung dari data training CICIoT2023 — bukan dihitung ulang dari DataSense — untuk memastikan konsistensi transformasi lintas domain dan menghindari kebocoran informasi dari test set ke training.</w:t>
      </w:r>
    </w:p>
    <w:p w14:paraId="068164E6">
      <w:pPr>
        <w:pStyle w:val="7"/>
        <w:numPr>
          <w:ilvl w:val="0"/>
          <w:numId w:val="4"/>
        </w:numPr>
        <w:spacing w:before="156" w:line="276" w:lineRule="auto"/>
        <w:ind w:left="851" w:right="135" w:hanging="567"/>
      </w:pPr>
      <w:r>
        <w:rPr>
          <w:b/>
          <w:bCs/>
        </w:rPr>
        <w:t>Seleksi Fitur dan Penyelarasan Domain</w:t>
      </w:r>
    </w:p>
    <w:p w14:paraId="71E85CDF">
      <w:pPr>
        <w:pStyle w:val="7"/>
        <w:spacing w:before="156" w:line="276" w:lineRule="auto"/>
        <w:ind w:left="284" w:right="135" w:firstLine="567"/>
        <w:rPr/>
      </w:pPr>
      <w:r>
        <w:t>Setelah tahap preprocessing, seleksi fitur pada pipeline CICIoT2023 menghasilkan subset fitur terpilih yang kemudian dicocokkan dengan fitur yang tersedia di DataSense melalui proses feature alignment.</w:t>
      </w:r>
    </w:p>
    <w:p w14:paraId="27DC1C07">
      <w:pPr>
        <w:pStyle w:val="7"/>
        <w:spacing w:before="156" w:line="276" w:lineRule="auto"/>
        <w:ind w:left="284" w:right="135" w:firstLine="567"/>
        <w:rPr/>
      </w:pPr>
      <w:r>
        <w:t>Feature alignment dilakukan dengan membangun interseksi fitur — hanya fitur yang secara eksplisit tersedia di kedua CICIoT2023 dan DataSense yang dipertahankan sebagai input model saat evaluasi cross-dataset. Fitur CICIoT2023 yang tidak memiliki padanan semantik di DataSense dieliminasi dari pipeline evaluasi lintas domain. Jumlah fitur dalam interseksi ini menjadi salah satu variabel analisis utama: semakin kecil interseksi relatif terhadap jumlah fitur awal, semakin besar perbedaan ruang fitur yang harus dihadapi model.</w:t>
      </w:r>
    </w:p>
    <w:p w14:paraId="311B9054">
      <w:pPr>
        <w:pStyle w:val="7"/>
        <w:spacing w:before="156" w:line="276" w:lineRule="auto"/>
        <w:ind w:left="284" w:right="135" w:firstLine="567"/>
        <w:rPr/>
      </w:pPr>
      <w:r>
        <w:t>Penyelarasan label kelas dilakukan bersamaan dengan penyelarasan fitur. Delapan kelas CICIoT2023 — DDoS, DoS, Mirai, Benign, Spoofing, Recon, Web, dan Brute Force — dipetakan ke lima kelas bersama yang tersedia di kedua dataset: DDoS, DoS, Reconnaissance, Brute Force, dan Benign. Kelas Mirai, Spoofing, dan Web-based pada CICIoT2023, serta kelas Man-in-the-Middle dan Malware pada DataSense, dieliminasi dari evaluasi cross-dataset karena tidak memiliki padanan langsung di dataset yang berlawanan. Pemetaan ini memastikan bahwa perbandingan performa model antar domain dilakukan pada basis kelas yang identik.</w:t>
      </w:r>
    </w:p>
    <w:p w14:paraId="5EF5DDC2">
      <w:pPr>
        <w:pStyle w:val="7"/>
        <w:spacing w:before="156" w:line="276" w:lineRule="auto"/>
        <w:ind w:left="284" w:right="135" w:firstLine="567"/>
        <w:rPr>
          <w:b/>
          <w:bCs/>
        </w:rPr>
      </w:pPr>
      <w:r>
        <w:t>Penyelarasan label kelas dilakukan bersamaan dengan penyelarasan fitur. Delapan kelas CICIoT2023 — DDoS, DoS, Mirai, Benign, Spoofing, Recon, Web, dan Brute Force — dipetakan ke lima kelas bersama yang tersedia di kedua dataset: DDoS, DoS, Reconnaissance, Brute Force, dan Benign. Kelas Mirai, Spoofing, dan Web-based pada CICIoT2023, serta kelas Man-in-the-Middle dan Malware pada DataSense, dieliminasi dari evaluasi cross-dataset karena tidak memiliki padanan langsung di dataset yang berlawanan. Pemetaan ini memastikan bahwa perbandingan performa model antar domain dilakukan pada basis kelas yang identik.</w:t>
      </w:r>
    </w:p>
    <w:p w14:paraId="7C2ABBAB">
      <w:pPr>
        <w:pStyle w:val="7"/>
        <w:numPr>
          <w:ilvl w:val="0"/>
          <w:numId w:val="4"/>
        </w:numPr>
        <w:spacing w:before="156" w:line="276" w:lineRule="auto"/>
        <w:ind w:left="851" w:right="135" w:hanging="567"/>
      </w:pPr>
      <w:r>
        <w:rPr>
          <w:b/>
          <w:bCs/>
        </w:rPr>
        <w:t>Pelatihan Model dan Evaluasi Cross-Dataset</w:t>
      </w:r>
    </w:p>
    <w:p w14:paraId="5CD573C1">
      <w:pPr>
        <w:pStyle w:val="7"/>
        <w:spacing w:before="156" w:line="276" w:lineRule="auto"/>
        <w:ind w:left="284" w:right="135" w:firstLine="567"/>
      </w:pPr>
      <w:r>
        <w:t>Pelatihan model dilakukan pada data CICIoT2023 yang telah melewati seluruh tahap preprocessing dan seleksi fitur. Data CICIoT2023 yang telah bersih dibagi menggunakan stratified split 80:20, di mana 80% digunakan untuk training dan 20% digunakan untuk evaluasi in-dataset. Stratified split diterapkan untuk memastikan distribusi kelas yang proporsional di kedua partisi, mengingat data yang dipakai telah melalui random undersampling namun tetap perlu dijaga konsistensi distribusi kelasnya.</w:t>
      </w:r>
    </w:p>
    <w:p w14:paraId="3F32C2EB">
      <w:pPr>
        <w:pStyle w:val="7"/>
        <w:spacing w:before="156" w:line="276" w:lineRule="auto"/>
        <w:ind w:left="284" w:right="135" w:firstLine="567"/>
        <w:rPr/>
      </w:pPr>
      <w:r>
        <w:t>Tiga model dilatih secara independen menggunakan data training yang sama. Decision Tree dilatih dengan kriteria Gini Impurity sebagai model baseline pohon tunggal yang menghasilkan aturan klasifikasi yang sepenuhnya interpretable. Random Forest dilatih menggunakan mekanisme bootstrap aggregating di mana sejumlah pohon keputusan dibangun secara paralel pada subset data dan fitur yang berbeda, kemudian prediksi digabung melalui majority voting. XGBoost dilatih menggunakan gradient boosting sekuensial dengan regularisasi L1 dan L2 bawaan untuk mencegah overfitting, di mana setiap pohon baru difokuskan memperbaiki kesalahan residual model sebelumnya.</w:t>
      </w:r>
    </w:p>
    <w:p w14:paraId="2116C5E8">
      <w:pPr>
        <w:pStyle w:val="7"/>
        <w:spacing w:before="156" w:line="276" w:lineRule="auto"/>
        <w:ind w:left="284" w:right="135" w:firstLine="567"/>
        <w:rPr/>
      </w:pPr>
      <w:r>
        <w:t>Evaluasi dilakukan dalam dua tahap yang menghasilkan dua set metrik berbeda. Evaluasi in-dataset mengaplikasikan ketiga model yang telah terlatih pada 20% test set CICIoT2023 untuk menghasilkan Macro F1, Accuracy, dan Recall per kelas pada domain asal (F1_in, Acc_in, Rec_in). Evaluasi cross-dataset mengaplikasikan model yang sama — tanpa modifikasi atau retraining apapun — pada seluruh DataSense yang telah diselaraskan fitur dan kelasnya, menghasilkan metrik yang setara pada domain target (F1_cross, Acc_cross, Rec_cross).</w:t>
      </w:r>
    </w:p>
    <w:p w14:paraId="19D720C8">
      <w:pPr>
        <w:pStyle w:val="7"/>
        <w:spacing w:before="156" w:line="276" w:lineRule="auto"/>
        <w:ind w:left="284" w:right="135" w:firstLine="567"/>
        <w:rPr/>
      </w:pPr>
    </w:p>
    <w:p w14:paraId="321A8152">
      <w:pPr>
        <w:pStyle w:val="7"/>
        <w:spacing w:before="156" w:line="276" w:lineRule="auto"/>
        <w:ind w:left="284" w:right="135" w:firstLine="567"/>
        <w:rPr>
          <w:lang w:val="sv-SE"/>
        </w:rPr>
      </w:pPr>
      <w:r>
        <w:rPr>
          <w:lang w:val="sv-SE"/>
        </w:rPr>
        <w:t xml:space="preserve">Modul Executive Summary menampilkan KPI utama dalam format kartu metrik besar, meliputi total pendapatan periode berjalan dibandingkan periode sebelumnya, jumlah kendaraan yang ditangani, rata-rata nilai transaksi per kendaraan, dan jumlah Nota Pengecekan yang belum ditindaklanjuti sebagai indikator efektivitas </w:t>
      </w:r>
      <w:r>
        <w:rPr>
          <w:i/>
          <w:iCs/>
          <w:lang w:val="sv-SE"/>
        </w:rPr>
        <w:t>pipeline</w:t>
      </w:r>
      <w:r>
        <w:rPr>
          <w:lang w:val="sv-SE"/>
        </w:rPr>
        <w:t xml:space="preserve"> retensi pelanggan. Modul ini dilengkapi grafik tren pendapatan mingguan beserta daftar kategori layanan teratas berdasarkan kontribusi pendapatan pada periode yang dipilih, sehingga manajemen memperoleh gambaran menyeluruh kondisi operasional bengkel dalam satu tampilan.</w:t>
      </w:r>
    </w:p>
    <w:p w14:paraId="7928FC4E">
      <w:pPr>
        <w:pStyle w:val="7"/>
        <w:spacing w:before="156" w:line="276" w:lineRule="auto"/>
        <w:ind w:left="284" w:right="135" w:firstLine="567"/>
        <w:rPr>
          <w:lang w:val="sv-SE"/>
        </w:rPr>
      </w:pPr>
      <w:r>
        <w:rPr>
          <w:lang w:val="sv-SE"/>
        </w:rPr>
        <w:t>Nilai Δ Macro F1 yang mendekati nol mengindikasikan kemampuan generalisasi yang tinggi, sementara nilai yang besar mengindikasikan adanya domain shift yang signifikan antara CICIoT2023 dan DataSense. Persamaan 3.1 dihitung untuk ketiga model secara terpisah, sehingga menghasilkan perbandingan langsung antara Decision Tree, Random Forest, dan XGBoost dalam hal ketahanan terhadap pergeseran domain. Model dengan Δ Macro F1 terkecil ditetapkan sebagai algoritma yang paling robust untuk skenario evaluasi lintas domain IoT ke IIoT.</w:t>
      </w:r>
    </w:p>
    <w:p w14:paraId="212EB263">
      <w:pPr>
        <w:pStyle w:val="7"/>
        <w:spacing w:before="156" w:line="276" w:lineRule="auto"/>
        <w:ind w:left="284" w:right="135" w:firstLine="567"/>
        <w:rPr>
          <w:rFonts w:hint="default"/>
          <w:lang w:val="en-US"/>
        </w:rPr>
      </w:pPr>
      <w:bookmarkStart w:id="53" w:name="_GoBack"/>
      <w:bookmarkEnd w:id="53"/>
    </w:p>
    <w:p w14:paraId="1DE02AF6">
      <w:pPr>
        <w:pStyle w:val="7"/>
        <w:spacing w:before="156" w:line="276" w:lineRule="auto"/>
        <w:ind w:left="284" w:right="135" w:firstLine="567"/>
        <w:rPr>
          <w:lang w:val="sv-SE"/>
        </w:rPr>
      </w:pPr>
      <w:r>
        <w:rPr>
          <w:lang w:val="sv-SE"/>
        </w:rPr>
        <w:t xml:space="preserve">Modul Analisis Beban Kerja vs. Kontribusi Pendapatan menyajikan dua visualisasi utama. Pertama, </w:t>
      </w:r>
      <w:r>
        <w:rPr>
          <w:i/>
          <w:iCs/>
          <w:lang w:val="sv-SE"/>
        </w:rPr>
        <w:t>scatter plot</w:t>
      </w:r>
      <w:r>
        <w:rPr>
          <w:lang w:val="sv-SE"/>
        </w:rPr>
        <w:t xml:space="preserve"> jenis layanan yang memperlihatkan posisi setiap layanan berdasarkan kompleksitas teknis versus rata-rata pendapatan yang dihasilkan, dengan ukuran titik yang proporsional terhadap frekuensi layanan. Kedua, grafik batang kinerja mekanik yang membandingkan beban kerja aktual setiap mekanik, termasuk waktu diagnosa dari Nota Pengecekan, dengan pendapatan yang dihasilkan dari transaksi berbayar. Perbandingan ini memastikan evaluasi kinerja mekanik menjadi lebih adil dan akurat karena memperhitungkan seluruh kontribusi aktual, termasuk pekerjaan diagnosa yang selama ini tidak terukur secara finansial [13][16].</w:t>
      </w:r>
    </w:p>
    <w:p w14:paraId="7007652F">
      <w:pPr>
        <w:pStyle w:val="7"/>
        <w:spacing w:before="156" w:line="276" w:lineRule="auto"/>
        <w:ind w:left="284" w:right="135" w:firstLine="567"/>
      </w:pPr>
    </w:p>
    <w:p w14:paraId="51AE4853">
      <w:pPr>
        <w:pStyle w:val="7"/>
        <w:spacing w:before="156" w:line="276" w:lineRule="auto"/>
        <w:ind w:left="284" w:right="135" w:firstLine="567"/>
      </w:pPr>
    </w:p>
    <w:p w14:paraId="665E52E1"/>
    <w:p w14:paraId="19EE38F8">
      <w:r>
        <w:br w:type="page"/>
      </w:r>
    </w:p>
    <w:p w14:paraId="686CCBFA">
      <w:pPr>
        <w:pStyle w:val="2"/>
        <w:ind w:right="4"/>
        <w:jc w:val="center"/>
      </w:pPr>
      <w:bookmarkStart w:id="51" w:name="_bookmark23"/>
      <w:bookmarkEnd w:id="51"/>
      <w:bookmarkStart w:id="52" w:name="_Toc232668803"/>
      <w:r>
        <w:t>DAFTAR</w:t>
      </w:r>
      <w:r>
        <w:rPr>
          <w:spacing w:val="-1"/>
        </w:rPr>
        <w:t xml:space="preserve"> </w:t>
      </w:r>
      <w:r>
        <w:rPr>
          <w:spacing w:val="-2"/>
        </w:rPr>
        <w:t>PUSTAKA</w:t>
      </w:r>
      <w:bookmarkEnd w:id="52"/>
    </w:p>
    <w:p w14:paraId="5E7EE332">
      <w:pPr>
        <w:pStyle w:val="18"/>
        <w:numPr>
          <w:numId w:val="0"/>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ightChars="0"/>
        <w:rPr>
          <w:sz w:val="20"/>
        </w:rPr>
      </w:pPr>
    </w:p>
    <w:p w14:paraId="6EF222EA">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Firouzi, A., Dadkhah, S., Maret, S. A., Ghorbani, A. A., DataSense: A Real-Time Sensor-Based Benchmark Dataset for Attack Analysis in IIoT with Multi-Objective Feature Selection, Electronics, Vol. 14, No. 20, 4095, 2025.</w:t>
      </w:r>
    </w:p>
    <w:p w14:paraId="4A45D2CC">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Neto, E. C. P., Dadkhah, S., Ferreira, R., Zohourian, A., Lu, R., Ghorbani, A. A., CICIoT2023: A Real-Time Dataset and Benchmark for Large-Scale Attacks in IoT Environment, Sensors, Vol. 23, No. 13, 5941, 2023.</w:t>
      </w:r>
    </w:p>
    <w:p w14:paraId="44DEE34F">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Alsamiri, J., Alsubhi, K., Internet of Things Cyber Attacks Detection Using Machine Learning, International Journal of Advanced Computer Science and Applications (IJACSA), Vol. 10, No. 12, 2019.</w:t>
      </w:r>
    </w:p>
    <w:p w14:paraId="65D359A9">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Churcher, A., et al., An Experimental Analysis of Attack Classification Using Machine Learning in IoT Networks, Sensors, Vol. 21, No. 2, 446, 2021.</w:t>
      </w:r>
    </w:p>
    <w:p w14:paraId="50BDB963">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Abebe, A., Gebeyehu, S., Alem, A., Internet of Things Attack Detection Using Machine Learning Algorithms, F1000Research, Vol. 14, 230, 2026.</w:t>
      </w:r>
    </w:p>
    <w:p w14:paraId="45990B8A">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Bzai, J., Alam, F., Dhafer, A., Bojovic, M., Altowaijri, S. M., Niazi, I. K., Mehmood, R., Machine Learning-Enabled Internet of Things (IoT): Data, Applications, and Industry Perspective, Electronics, Vol. 11, No. 17, 2676, 2022.</w:t>
      </w:r>
    </w:p>
    <w:p w14:paraId="0855F0CB">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Blali, A., Dargaoui, S., Azrour, M., Guezzaz, A., Amounas, F., Alabdulatif, A., Analysis of Deep Learning-Based Intrusion Detection Systems in IoT Environments, EDPACS, Vol. 70, No. 11, Hal. 18–52, 2025.</w:t>
      </w:r>
    </w:p>
    <w:p w14:paraId="6E1EACB3">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Ntayagabiri, J. P., Bentaleb, Y., Ndikumagenge, J., El Makhtoum, H., A Comparative Analysis of Supervised Machine Learning Algorithms for IoT Attack Detection and Classification, Journal of Computing Theories and Applications, Vol. 2, No. 3, Hal. 395–409, 2025.</w:t>
      </w:r>
    </w:p>
    <w:p w14:paraId="3CFD9BC0">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Saheed, Y. K., Abiodun, A. I., Misra, S., Holone, M. K., Colomo-Palacios, R., A Machine Learning-Based Intrusion Detection for Detecting Internet of Things Network Attacks, Alexandria Engineering Journal, 2022.</w:t>
      </w:r>
    </w:p>
    <w:p w14:paraId="45A21F3A">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Firdaus, F. S., Hatta, P., Basori, B., Evaluating Ensemble Versus Non-Ensemble Machine Learning Performance with Preprocessing Techniques for IoT Intrusion Detection on CICIoT2023, Jurnal Teknik Informatika (JUTIF), Vol. 7, No. 1, Hal. 606–618, 2026.</w:t>
      </w:r>
    </w:p>
    <w:p w14:paraId="6E357E9C">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Dzaki, M. H., Nugraha, A., Luthfiarta, A., Riyanto, A. A. R., Novandian, Y. D., Accelerating Classification for IoT Attack Detection Using Decision Tree Model with Gini Impurity Tree-Based Feature Selection Technique, Jurnal Teknik Informatika (JUTIF), Vol. 6, No. 5, Hal. 3405–3418, 2025.</w:t>
      </w:r>
    </w:p>
    <w:p w14:paraId="6E7B352F">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Sarhan, M., Layeghy, S., Portmann, M., Feature Analysis for Machine Learning-Based IoT Intrusion Detection, arXiv preprint arXiv:2108.12732, 2022.</w:t>
      </w:r>
    </w:p>
    <w:p w14:paraId="27BE7AD2">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Bensaoud, A., Kalita, J., Optimized Detection of Cyber-Attacks on IoT Networks via Hybrid Deep Learning Models, arXiv preprint arXiv:2502.11470, 2025.</w:t>
      </w:r>
    </w:p>
    <w:p w14:paraId="6E8E18D9">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Nourildean, S. W., Ahmed, W. K., Sabri, A. A., Aziz, M., Intrusion Detection System Based Ensemble Machine Learning Model in AIoT Against Cyber Attacks, Prosiding ASET 2025, Dubai, Hal. 1–7, 2025.</w:t>
      </w:r>
    </w:p>
    <w:p w14:paraId="408CCFD8">
      <w:pPr>
        <w:pStyle w:val="18"/>
        <w:numPr>
          <w:ilvl w:val="0"/>
          <w:numId w:val="5"/>
        </w:numPr>
        <w:tabs>
          <w:tab w:val="left" w:pos="852"/>
          <w:tab w:val="left" w:pos="1878"/>
          <w:tab w:val="left" w:pos="2973"/>
          <w:tab w:val="left" w:pos="3024"/>
          <w:tab w:val="left" w:pos="3252"/>
          <w:tab w:val="left" w:pos="4017"/>
          <w:tab w:val="left" w:pos="4123"/>
          <w:tab w:val="left" w:pos="4184"/>
          <w:tab w:val="left" w:pos="5176"/>
          <w:tab w:val="left" w:pos="5287"/>
          <w:tab w:val="left" w:pos="5456"/>
        </w:tabs>
        <w:spacing w:line="276" w:lineRule="auto"/>
        <w:ind w:right="137"/>
        <w:rPr>
          <w:sz w:val="20"/>
        </w:rPr>
      </w:pPr>
      <w:r>
        <w:rPr>
          <w:sz w:val="20"/>
        </w:rPr>
        <w:t>Premalatha, D. V., Ramanujam, S., Ensemble-Based Intrusion Detection for IoT Networks Using the CICIoT2023 Dataset, Journal of Information Systems Engineering and Management (JISEM), Vol. 10, No. 21s, 2025.</w:t>
      </w:r>
    </w:p>
    <w:sectPr>
      <w:pgSz w:w="8400" w:h="11910"/>
      <w:pgMar w:top="1060" w:right="992" w:bottom="920" w:left="1133" w:header="0" w:footer="73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11127">
    <w:pPr>
      <w:pStyle w:val="7"/>
      <w:spacing w:line="14" w:lineRule="auto"/>
      <w:jc w:val="left"/>
    </w:pPr>
    <w:r>
      <mc:AlternateContent>
        <mc:Choice Requires="wps">
          <w:drawing>
            <wp:anchor distT="0" distB="0" distL="0" distR="0" simplePos="0" relativeHeight="251659264" behindDoc="1" locked="0" layoutInCell="1" allowOverlap="1">
              <wp:simplePos x="0" y="0"/>
              <wp:positionH relativeFrom="page">
                <wp:posOffset>2699385</wp:posOffset>
              </wp:positionH>
              <wp:positionV relativeFrom="page">
                <wp:posOffset>6951345</wp:posOffset>
              </wp:positionV>
              <wp:extent cx="14097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40970" cy="165735"/>
                      </a:xfrm>
                      <a:prstGeom prst="rect">
                        <a:avLst/>
                      </a:prstGeom>
                    </wps:spPr>
                    <wps:txbx>
                      <w:txbxContent>
                        <w:p w14:paraId="1AE7EFB6">
                          <w:pPr>
                            <w:pStyle w:val="7"/>
                            <w:spacing w:before="10"/>
                            <w:jc w:val="left"/>
                          </w:pPr>
                        </w:p>
                      </w:txbxContent>
                    </wps:txbx>
                    <wps:bodyPr wrap="square" lIns="0" tIns="0" rIns="0" bIns="0" rtlCol="0">
                      <a:noAutofit/>
                    </wps:bodyPr>
                  </wps:wsp>
                </a:graphicData>
              </a:graphic>
            </wp:anchor>
          </w:drawing>
        </mc:Choice>
        <mc:Fallback>
          <w:pict>
            <v:shape id="Textbox 1" o:spid="_x0000_s1026" o:spt="202" type="#_x0000_t202" style="position:absolute;left:0pt;margin-left:212.55pt;margin-top:547.35pt;height:13.05pt;width:11.1pt;mso-position-horizontal-relative:page;mso-position-vertical-relative:page;z-index:-251657216;mso-width-relative:page;mso-height-relative:page;" filled="f" stroked="f" coordsize="21600,21600" o:gfxdata="UEsDBAoAAAAAAIdO4kAAAAAAAAAAAAAAAAAEAAAAZHJzL1BLAwQUAAAACACHTuJAA7qtMtsAAAAN&#10;AQAADwAAAGRycy9kb3ducmV2LnhtbE2Py07DMBBF90j8gzWV2FE7IfSRxqkQghUSIg0Llk7sJlbj&#10;cYjdB3/PsCrLmXt050yxvbiBncwUrEcJyVwAM9h6bbGT8Fm/3q+AhahQq8GjkfBjAmzL25tC5dqf&#10;sTKnXewYlWDIlYQ+xjHnPLS9cSrM/WiQsr2fnIo0Th3XkzpTuRt4KsSCO2WRLvRqNM+9aQ+7o5Pw&#10;9IXVi/1+bz6qfWXrei3wbXGQ8m6WiA2waC7xCsOfPqlDSU6NP6IObJCQpY8JoRSIdbYERkiWLR+A&#10;NbRKUrECXhb8/xflL1BLAwQUAAAACACHTuJAQoPa9rABAABzAwAADgAAAGRycy9lMm9Eb2MueG1s&#10;rVPBjtMwEL0j8Q+W7zTpwu5C1HQFVCAkxCLt8gGOYzeWYo+ZcZv07xknaRctlz1wccae8Zv33jib&#10;u9H34miQHIRarlelFCZoaF3Y1/LX45c376WgpEKregimlidD8m77+tVmiJW5gg761qBgkEDVEGvZ&#10;pRSroiDdGa9oBdEETlpArxJvcV+0qAZG931xVZY3xQDYRgRtiPh0NyflgogvAQRrnTY70AdvQppR&#10;0fQqsSTqXCS5ndhaa3S6t5ZMEn0tWWmaVm7CcZPXYrtR1R5V7JxeKKiXUHimySsXuOkFaqeSEgd0&#10;/0B5pxEIbFpp8MUsZHKEVazLZ948dCqaSQtbTfFiOv0/WP3j+BOFa/klSBGU54E/mjE1MIp1NmeI&#10;VHHNQ+SqNH6CMRcu58SHWfNo0ecvqxGcZ2tPF2sZS+h86V354ZYzmlPrm+vbt9cZpXi6HJHSVwNe&#10;5KCWyJObDFXH75Tm0nMJ38u05vY5SmMzLpwaaE9MdeCJ1pJ+HxQaKfpvgS3L4z8HeA6ac4Cp/wzT&#10;I8lSAnw8JLBu6pxbzLhLZ57FxH15N3nYf++nqqd/Zfs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7qtMtsAAAANAQAADwAAAAAAAAABACAAAAAiAAAAZHJzL2Rvd25yZXYueG1sUEsBAhQAFAAAAAgA&#10;h07iQEKD2vawAQAAcwMAAA4AAAAAAAAAAQAgAAAAKgEAAGRycy9lMm9Eb2MueG1sUEsFBgAAAAAG&#10;AAYAWQEAAEwFAAAAAA==&#10;">
              <v:fill on="f" focussize="0,0"/>
              <v:stroke on="f"/>
              <v:imagedata o:title=""/>
              <o:lock v:ext="edit" aspectratio="f"/>
              <v:textbox inset="0mm,0mm,0mm,0mm">
                <w:txbxContent>
                  <w:p w14:paraId="1AE7EFB6">
                    <w:pPr>
                      <w:pStyle w:val="7"/>
                      <w:spacing w:before="10"/>
                      <w:jc w:val="left"/>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9667654"/>
      <w:docPartObj>
        <w:docPartGallery w:val="autotext"/>
      </w:docPartObj>
    </w:sdtPr>
    <w:sdtContent>
      <w:p w14:paraId="7A8FD64D">
        <w:pPr>
          <w:pStyle w:val="9"/>
          <w:jc w:val="center"/>
        </w:pPr>
        <w:r>
          <w:fldChar w:fldCharType="begin"/>
        </w:r>
        <w:r>
          <w:instrText xml:space="preserve"> PAGE   \* MERGEFORMAT </w:instrText>
        </w:r>
        <w:r>
          <w:fldChar w:fldCharType="separate"/>
        </w:r>
        <w:r>
          <w:t>2</w:t>
        </w:r>
        <w:r>
          <w:fldChar w:fldCharType="end"/>
        </w:r>
      </w:p>
    </w:sdtContent>
  </w:sdt>
  <w:p w14:paraId="35DC170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56296399"/>
      <w:docPartObj>
        <w:docPartGallery w:val="autotext"/>
      </w:docPartObj>
    </w:sdtPr>
    <w:sdtContent>
      <w:p w14:paraId="77F68EC5">
        <w:pPr>
          <w:pStyle w:val="9"/>
          <w:jc w:val="center"/>
        </w:pPr>
        <w:r>
          <w:fldChar w:fldCharType="begin"/>
        </w:r>
        <w:r>
          <w:instrText xml:space="preserve"> PAGE   \* MERGEFORMAT </w:instrText>
        </w:r>
        <w:r>
          <w:fldChar w:fldCharType="separate"/>
        </w:r>
        <w:r>
          <w:t>2</w:t>
        </w:r>
        <w:r>
          <w:fldChar w:fldCharType="end"/>
        </w:r>
      </w:p>
    </w:sdtContent>
  </w:sdt>
  <w:p w14:paraId="5814922A">
    <w:pPr>
      <w:pStyle w:val="7"/>
      <w:spacing w:line="14" w:lineRule="auto"/>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12BBF">
    <w:pPr>
      <w:pStyle w:val="7"/>
      <w:spacing w:line="14" w:lineRule="auto"/>
      <w:jc w:val="left"/>
    </w:pPr>
    <w:r>
      <mc:AlternateContent>
        <mc:Choice Requires="wps">
          <w:drawing>
            <wp:anchor distT="0" distB="0" distL="0" distR="0" simplePos="0" relativeHeight="251659264" behindDoc="1" locked="0" layoutInCell="1" allowOverlap="1">
              <wp:simplePos x="0" y="0"/>
              <wp:positionH relativeFrom="page">
                <wp:posOffset>2679065</wp:posOffset>
              </wp:positionH>
              <wp:positionV relativeFrom="page">
                <wp:posOffset>6951345</wp:posOffset>
              </wp:positionV>
              <wp:extent cx="153670"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53670" cy="165735"/>
                      </a:xfrm>
                      <a:prstGeom prst="rect">
                        <a:avLst/>
                      </a:prstGeom>
                    </wps:spPr>
                    <wps:txbx>
                      <w:txbxContent>
                        <w:p w14:paraId="16ECF535">
                          <w:pPr>
                            <w:pStyle w:val="7"/>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10.95pt;margin-top:547.35pt;height:13.05pt;width:12.1pt;mso-position-horizontal-relative:page;mso-position-vertical-relative:page;z-index:-251657216;mso-width-relative:page;mso-height-relative:page;" filled="f" stroked="f" coordsize="21600,21600" o:gfxdata="UEsDBAoAAAAAAIdO4kAAAAAAAAAAAAAAAAAEAAAAZHJzL1BLAwQUAAAACACHTuJAbT3PrtoAAAAN&#10;AQAADwAAAGRycy9kb3ducmV2LnhtbE2PTU+EMBCG7yb7H5rZxJvbQgguSNkYoycTI4sHj4V2oVk6&#10;Rdr98N87nvQ48z5555lqd3UTO5slWI8Sko0AZrD32uIg4aN9udsCC1GhVpNHI+HbBNjVq5tKldpf&#10;sDHnfRwYlWAolYQxxrnkPPSjcSps/GyQsoNfnIo0LgPXi7pQuZt4KkTOnbJIF0Y1m6fR9Mf9yUl4&#10;/MTm2X69de/NobFtWwh8zY9S3q4T8QAsmmv8g+FXn9ShJqfOn1AHNknI0qQglAJRZPfACMmyPAHW&#10;0SpJxRZ4XfH/X9Q/UEsDBBQAAAAIAIdO4kD9bVTosAEAAHMDAAAOAAAAZHJzL2Uyb0RvYy54bWyt&#10;U8GO0zAQvSPxD5bvNO1W7aKo6QqoQEgIkHb5AMexG0uxx8y4Tfr3jJOmi5bLHrg4Y8/4zXtvnN3D&#10;4DtxNkgOQiVXi6UUJmhoXDhW8tfT53fvpaCkQqM6CKaSF0PyYf/2za6PpbmDFrrGoGCQQGUfK9mm&#10;FMuiIN0ar2gB0QROWkCvEm/xWDSoekb3XXG3XG6LHrCJCNoQ8elhSsorIr4GEKx12hxAn7wJaUJF&#10;06nEkqh1keR+ZGut0emHtWSS6CrJStO4chOO67wW+50qj6hi6/SVgnoNhReavHKBm96gDiopcUL3&#10;D5R3GoHApoUGX0xCRkdYxWr5wpvHVkUzamGrKd5Mp/8Hq7+ff6JwTSXXUgTleeBPZkg1DGKdzekj&#10;lVzzGLkqDR9h4CcznxMfZs2DRZ+/rEZwnq293KxlLKHzpc16e88ZzanVdnO/3mSU4vlyREpfDHiR&#10;g0oiT240VJ2/UZpK5xK+l2lN7XOUhnq4cq2huTDVnidaSfp9Umik6L4GtiyPfw5wDuo5wNR9gvGR&#10;ZCkBPpwSWDd2zi0m3GtnnsXI/fpu8rD/3o9Vz//K/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t&#10;Pc+u2gAAAA0BAAAPAAAAAAAAAAEAIAAAACIAAABkcnMvZG93bnJldi54bWxQSwECFAAUAAAACACH&#10;TuJA/W1U6LABAABzAwAADgAAAAAAAAABACAAAAApAQAAZHJzL2Uyb0RvYy54bWxQSwUGAAAAAAYA&#10;BgBZAQAASwUAAAAA&#10;">
              <v:fill on="f" focussize="0,0"/>
              <v:stroke on="f"/>
              <v:imagedata o:title=""/>
              <o:lock v:ext="edit" aspectratio="f"/>
              <v:textbox inset="0mm,0mm,0mm,0mm">
                <w:txbxContent>
                  <w:p w14:paraId="16ECF535">
                    <w:pPr>
                      <w:pStyle w:val="7"/>
                      <w:spacing w:before="10"/>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813C18"/>
    <w:multiLevelType w:val="multilevel"/>
    <w:tmpl w:val="1C813C18"/>
    <w:lvl w:ilvl="0" w:tentative="0">
      <w:start w:val="1"/>
      <w:numFmt w:val="decimal"/>
      <w:lvlText w:val="%1"/>
      <w:lvlJc w:val="left"/>
      <w:pPr>
        <w:ind w:left="687" w:hanging="402"/>
      </w:pPr>
      <w:rPr>
        <w:rFonts w:hint="default"/>
        <w:lang w:val="id" w:eastAsia="en-US" w:bidi="ar-SA"/>
      </w:rPr>
    </w:lvl>
    <w:lvl w:ilvl="1" w:tentative="0">
      <w:start w:val="1"/>
      <w:numFmt w:val="decimal"/>
      <w:lvlText w:val="%1.%2"/>
      <w:lvlJc w:val="left"/>
      <w:pPr>
        <w:ind w:left="687" w:hanging="402"/>
      </w:pPr>
      <w:rPr>
        <w:rFonts w:hint="default" w:ascii="Times New Roman" w:hAnsi="Times New Roman" w:eastAsia="Times New Roman" w:cs="Times New Roman"/>
        <w:b/>
        <w:bCs/>
        <w:i w:val="0"/>
        <w:iCs w:val="0"/>
        <w:spacing w:val="0"/>
        <w:w w:val="99"/>
        <w:sz w:val="20"/>
        <w:szCs w:val="20"/>
        <w:lang w:val="id" w:eastAsia="en-US" w:bidi="ar-SA"/>
      </w:rPr>
    </w:lvl>
    <w:lvl w:ilvl="2" w:tentative="0">
      <w:start w:val="0"/>
      <w:numFmt w:val="bullet"/>
      <w:lvlText w:val="•"/>
      <w:lvlJc w:val="left"/>
      <w:pPr>
        <w:ind w:left="1797" w:hanging="402"/>
      </w:pPr>
      <w:rPr>
        <w:rFonts w:hint="default"/>
        <w:lang w:val="id" w:eastAsia="en-US" w:bidi="ar-SA"/>
      </w:rPr>
    </w:lvl>
    <w:lvl w:ilvl="3" w:tentative="0">
      <w:start w:val="0"/>
      <w:numFmt w:val="bullet"/>
      <w:lvlText w:val="•"/>
      <w:lvlJc w:val="left"/>
      <w:pPr>
        <w:ind w:left="2355" w:hanging="402"/>
      </w:pPr>
      <w:rPr>
        <w:rFonts w:hint="default"/>
        <w:lang w:val="id" w:eastAsia="en-US" w:bidi="ar-SA"/>
      </w:rPr>
    </w:lvl>
    <w:lvl w:ilvl="4" w:tentative="0">
      <w:start w:val="0"/>
      <w:numFmt w:val="bullet"/>
      <w:lvlText w:val="•"/>
      <w:lvlJc w:val="left"/>
      <w:pPr>
        <w:ind w:left="2914" w:hanging="402"/>
      </w:pPr>
      <w:rPr>
        <w:rFonts w:hint="default"/>
        <w:lang w:val="id" w:eastAsia="en-US" w:bidi="ar-SA"/>
      </w:rPr>
    </w:lvl>
    <w:lvl w:ilvl="5" w:tentative="0">
      <w:start w:val="0"/>
      <w:numFmt w:val="bullet"/>
      <w:lvlText w:val="•"/>
      <w:lvlJc w:val="left"/>
      <w:pPr>
        <w:ind w:left="3472" w:hanging="402"/>
      </w:pPr>
      <w:rPr>
        <w:rFonts w:hint="default"/>
        <w:lang w:val="id" w:eastAsia="en-US" w:bidi="ar-SA"/>
      </w:rPr>
    </w:lvl>
    <w:lvl w:ilvl="6" w:tentative="0">
      <w:start w:val="0"/>
      <w:numFmt w:val="bullet"/>
      <w:lvlText w:val="•"/>
      <w:lvlJc w:val="left"/>
      <w:pPr>
        <w:ind w:left="4031" w:hanging="402"/>
      </w:pPr>
      <w:rPr>
        <w:rFonts w:hint="default"/>
        <w:lang w:val="id" w:eastAsia="en-US" w:bidi="ar-SA"/>
      </w:rPr>
    </w:lvl>
    <w:lvl w:ilvl="7" w:tentative="0">
      <w:start w:val="0"/>
      <w:numFmt w:val="bullet"/>
      <w:lvlText w:val="•"/>
      <w:lvlJc w:val="left"/>
      <w:pPr>
        <w:ind w:left="4589" w:hanging="402"/>
      </w:pPr>
      <w:rPr>
        <w:rFonts w:hint="default"/>
        <w:lang w:val="id" w:eastAsia="en-US" w:bidi="ar-SA"/>
      </w:rPr>
    </w:lvl>
    <w:lvl w:ilvl="8" w:tentative="0">
      <w:start w:val="0"/>
      <w:numFmt w:val="bullet"/>
      <w:lvlText w:val="•"/>
      <w:lvlJc w:val="left"/>
      <w:pPr>
        <w:ind w:left="5148" w:hanging="402"/>
      </w:pPr>
      <w:rPr>
        <w:rFonts w:hint="default"/>
        <w:lang w:val="id" w:eastAsia="en-US" w:bidi="ar-SA"/>
      </w:rPr>
    </w:lvl>
  </w:abstractNum>
  <w:abstractNum w:abstractNumId="1">
    <w:nsid w:val="24CD7F2F"/>
    <w:multiLevelType w:val="multilevel"/>
    <w:tmpl w:val="24CD7F2F"/>
    <w:lvl w:ilvl="0" w:tentative="0">
      <w:start w:val="2"/>
      <w:numFmt w:val="decimal"/>
      <w:lvlText w:val="%1"/>
      <w:lvlJc w:val="left"/>
      <w:pPr>
        <w:ind w:left="689" w:hanging="404"/>
      </w:pPr>
      <w:rPr>
        <w:rFonts w:hint="default"/>
        <w:lang w:val="id" w:eastAsia="en-US" w:bidi="ar-SA"/>
      </w:rPr>
    </w:lvl>
    <w:lvl w:ilvl="1" w:tentative="0">
      <w:start w:val="1"/>
      <w:numFmt w:val="decimal"/>
      <w:lvlText w:val="%1.%2"/>
      <w:lvlJc w:val="left"/>
      <w:pPr>
        <w:ind w:left="689" w:hanging="404"/>
      </w:pPr>
      <w:rPr>
        <w:rFonts w:hint="default" w:ascii="Times New Roman" w:hAnsi="Times New Roman" w:eastAsia="Times New Roman" w:cs="Times New Roman"/>
        <w:b/>
        <w:bCs/>
        <w:i w:val="0"/>
        <w:iCs w:val="0"/>
        <w:spacing w:val="0"/>
        <w:w w:val="99"/>
        <w:sz w:val="20"/>
        <w:szCs w:val="20"/>
        <w:lang w:val="id" w:eastAsia="en-US" w:bidi="ar-SA"/>
      </w:rPr>
    </w:lvl>
    <w:lvl w:ilvl="2" w:tentative="0">
      <w:start w:val="1"/>
      <w:numFmt w:val="decimal"/>
      <w:lvlText w:val="%1.%2.%3"/>
      <w:lvlJc w:val="left"/>
      <w:pPr>
        <w:ind w:left="837" w:hanging="552"/>
      </w:pPr>
      <w:rPr>
        <w:rFonts w:hint="default" w:ascii="Times New Roman" w:hAnsi="Times New Roman" w:eastAsia="Times New Roman" w:cs="Times New Roman"/>
        <w:b/>
        <w:bCs/>
        <w:i w:val="0"/>
        <w:iCs w:val="0"/>
        <w:spacing w:val="0"/>
        <w:w w:val="99"/>
        <w:sz w:val="20"/>
        <w:szCs w:val="20"/>
        <w:lang w:val="id" w:eastAsia="en-US" w:bidi="ar-SA"/>
      </w:rPr>
    </w:lvl>
    <w:lvl w:ilvl="3" w:tentative="0">
      <w:start w:val="0"/>
      <w:numFmt w:val="bullet"/>
      <w:lvlText w:val="•"/>
      <w:lvlJc w:val="left"/>
      <w:pPr>
        <w:ind w:left="1518" w:hanging="552"/>
      </w:pPr>
      <w:rPr>
        <w:rFonts w:hint="default"/>
        <w:lang w:val="id" w:eastAsia="en-US" w:bidi="ar-SA"/>
      </w:rPr>
    </w:lvl>
    <w:lvl w:ilvl="4" w:tentative="0">
      <w:start w:val="0"/>
      <w:numFmt w:val="bullet"/>
      <w:lvlText w:val="•"/>
      <w:lvlJc w:val="left"/>
      <w:pPr>
        <w:ind w:left="2196" w:hanging="552"/>
      </w:pPr>
      <w:rPr>
        <w:rFonts w:hint="default"/>
        <w:lang w:val="id" w:eastAsia="en-US" w:bidi="ar-SA"/>
      </w:rPr>
    </w:lvl>
    <w:lvl w:ilvl="5" w:tentative="0">
      <w:start w:val="0"/>
      <w:numFmt w:val="bullet"/>
      <w:lvlText w:val="•"/>
      <w:lvlJc w:val="left"/>
      <w:pPr>
        <w:ind w:left="2874" w:hanging="552"/>
      </w:pPr>
      <w:rPr>
        <w:rFonts w:hint="default"/>
        <w:lang w:val="id" w:eastAsia="en-US" w:bidi="ar-SA"/>
      </w:rPr>
    </w:lvl>
    <w:lvl w:ilvl="6" w:tentative="0">
      <w:start w:val="0"/>
      <w:numFmt w:val="bullet"/>
      <w:lvlText w:val="•"/>
      <w:lvlJc w:val="left"/>
      <w:pPr>
        <w:ind w:left="3552" w:hanging="552"/>
      </w:pPr>
      <w:rPr>
        <w:rFonts w:hint="default"/>
        <w:lang w:val="id" w:eastAsia="en-US" w:bidi="ar-SA"/>
      </w:rPr>
    </w:lvl>
    <w:lvl w:ilvl="7" w:tentative="0">
      <w:start w:val="0"/>
      <w:numFmt w:val="bullet"/>
      <w:lvlText w:val="•"/>
      <w:lvlJc w:val="left"/>
      <w:pPr>
        <w:ind w:left="4230" w:hanging="552"/>
      </w:pPr>
      <w:rPr>
        <w:rFonts w:hint="default"/>
        <w:lang w:val="id" w:eastAsia="en-US" w:bidi="ar-SA"/>
      </w:rPr>
    </w:lvl>
    <w:lvl w:ilvl="8" w:tentative="0">
      <w:start w:val="0"/>
      <w:numFmt w:val="bullet"/>
      <w:lvlText w:val="•"/>
      <w:lvlJc w:val="left"/>
      <w:pPr>
        <w:ind w:left="4909" w:hanging="552"/>
      </w:pPr>
      <w:rPr>
        <w:rFonts w:hint="default"/>
        <w:lang w:val="id" w:eastAsia="en-US" w:bidi="ar-SA"/>
      </w:rPr>
    </w:lvl>
  </w:abstractNum>
  <w:abstractNum w:abstractNumId="2">
    <w:nsid w:val="3DDF5096"/>
    <w:multiLevelType w:val="multilevel"/>
    <w:tmpl w:val="3DDF5096"/>
    <w:lvl w:ilvl="0" w:tentative="0">
      <w:start w:val="1"/>
      <w:numFmt w:val="decimal"/>
      <w:lvlText w:val="3.2.%1."/>
      <w:lvlJc w:val="left"/>
      <w:pPr>
        <w:ind w:left="1432" w:hanging="360"/>
      </w:pPr>
      <w:rPr>
        <w:rFonts w:hint="default"/>
        <w:b/>
        <w:bCs/>
      </w:rPr>
    </w:lvl>
    <w:lvl w:ilvl="1" w:tentative="0">
      <w:start w:val="1"/>
      <w:numFmt w:val="lowerLetter"/>
      <w:lvlText w:val="%2."/>
      <w:lvlJc w:val="left"/>
      <w:pPr>
        <w:ind w:left="2152" w:hanging="360"/>
      </w:pPr>
    </w:lvl>
    <w:lvl w:ilvl="2" w:tentative="0">
      <w:start w:val="1"/>
      <w:numFmt w:val="lowerRoman"/>
      <w:lvlText w:val="%3."/>
      <w:lvlJc w:val="right"/>
      <w:pPr>
        <w:ind w:left="2872" w:hanging="180"/>
      </w:pPr>
    </w:lvl>
    <w:lvl w:ilvl="3" w:tentative="0">
      <w:start w:val="1"/>
      <w:numFmt w:val="decimal"/>
      <w:lvlText w:val="%4."/>
      <w:lvlJc w:val="left"/>
      <w:pPr>
        <w:ind w:left="3592" w:hanging="360"/>
      </w:pPr>
    </w:lvl>
    <w:lvl w:ilvl="4" w:tentative="0">
      <w:start w:val="1"/>
      <w:numFmt w:val="lowerLetter"/>
      <w:lvlText w:val="%5."/>
      <w:lvlJc w:val="left"/>
      <w:pPr>
        <w:ind w:left="4312" w:hanging="360"/>
      </w:pPr>
    </w:lvl>
    <w:lvl w:ilvl="5" w:tentative="0">
      <w:start w:val="1"/>
      <w:numFmt w:val="lowerRoman"/>
      <w:lvlText w:val="%6."/>
      <w:lvlJc w:val="right"/>
      <w:pPr>
        <w:ind w:left="5032" w:hanging="180"/>
      </w:pPr>
    </w:lvl>
    <w:lvl w:ilvl="6" w:tentative="0">
      <w:start w:val="1"/>
      <w:numFmt w:val="decimal"/>
      <w:lvlText w:val="%7."/>
      <w:lvlJc w:val="left"/>
      <w:pPr>
        <w:ind w:left="5752" w:hanging="360"/>
      </w:pPr>
    </w:lvl>
    <w:lvl w:ilvl="7" w:tentative="0">
      <w:start w:val="1"/>
      <w:numFmt w:val="lowerLetter"/>
      <w:lvlText w:val="%8."/>
      <w:lvlJc w:val="left"/>
      <w:pPr>
        <w:ind w:left="6472" w:hanging="360"/>
      </w:pPr>
    </w:lvl>
    <w:lvl w:ilvl="8" w:tentative="0">
      <w:start w:val="1"/>
      <w:numFmt w:val="lowerRoman"/>
      <w:lvlText w:val="%9."/>
      <w:lvlJc w:val="right"/>
      <w:pPr>
        <w:ind w:left="7192" w:hanging="180"/>
      </w:pPr>
    </w:lvl>
  </w:abstractNum>
  <w:abstractNum w:abstractNumId="3">
    <w:nsid w:val="560B3C1C"/>
    <w:multiLevelType w:val="multilevel"/>
    <w:tmpl w:val="560B3C1C"/>
    <w:lvl w:ilvl="0" w:tentative="0">
      <w:start w:val="3"/>
      <w:numFmt w:val="decimal"/>
      <w:lvlText w:val="%1"/>
      <w:lvlJc w:val="left"/>
      <w:pPr>
        <w:ind w:left="689" w:hanging="404"/>
      </w:pPr>
      <w:rPr>
        <w:rFonts w:hint="default"/>
        <w:lang w:val="id" w:eastAsia="en-US" w:bidi="ar-SA"/>
      </w:rPr>
    </w:lvl>
    <w:lvl w:ilvl="1" w:tentative="0">
      <w:start w:val="1"/>
      <w:numFmt w:val="decimal"/>
      <w:lvlText w:val="%1.%2"/>
      <w:lvlJc w:val="left"/>
      <w:pPr>
        <w:ind w:left="689" w:hanging="404"/>
      </w:pPr>
      <w:rPr>
        <w:rFonts w:hint="default" w:ascii="Times New Roman" w:hAnsi="Times New Roman" w:eastAsia="Times New Roman" w:cs="Times New Roman"/>
        <w:b/>
        <w:bCs/>
        <w:i w:val="0"/>
        <w:iCs w:val="0"/>
        <w:spacing w:val="0"/>
        <w:w w:val="99"/>
        <w:sz w:val="20"/>
        <w:szCs w:val="20"/>
        <w:lang w:val="id" w:eastAsia="en-US" w:bidi="ar-SA"/>
      </w:rPr>
    </w:lvl>
    <w:lvl w:ilvl="2" w:tentative="0">
      <w:start w:val="0"/>
      <w:numFmt w:val="bullet"/>
      <w:lvlText w:val="•"/>
      <w:lvlJc w:val="left"/>
      <w:pPr>
        <w:ind w:left="1797" w:hanging="404"/>
      </w:pPr>
      <w:rPr>
        <w:rFonts w:hint="default"/>
        <w:lang w:val="id" w:eastAsia="en-US" w:bidi="ar-SA"/>
      </w:rPr>
    </w:lvl>
    <w:lvl w:ilvl="3" w:tentative="0">
      <w:start w:val="0"/>
      <w:numFmt w:val="bullet"/>
      <w:lvlText w:val="•"/>
      <w:lvlJc w:val="left"/>
      <w:pPr>
        <w:ind w:left="2355" w:hanging="404"/>
      </w:pPr>
      <w:rPr>
        <w:rFonts w:hint="default"/>
        <w:lang w:val="id" w:eastAsia="en-US" w:bidi="ar-SA"/>
      </w:rPr>
    </w:lvl>
    <w:lvl w:ilvl="4" w:tentative="0">
      <w:start w:val="0"/>
      <w:numFmt w:val="bullet"/>
      <w:lvlText w:val="•"/>
      <w:lvlJc w:val="left"/>
      <w:pPr>
        <w:ind w:left="2914" w:hanging="404"/>
      </w:pPr>
      <w:rPr>
        <w:rFonts w:hint="default"/>
        <w:lang w:val="id" w:eastAsia="en-US" w:bidi="ar-SA"/>
      </w:rPr>
    </w:lvl>
    <w:lvl w:ilvl="5" w:tentative="0">
      <w:start w:val="0"/>
      <w:numFmt w:val="bullet"/>
      <w:lvlText w:val="•"/>
      <w:lvlJc w:val="left"/>
      <w:pPr>
        <w:ind w:left="3472" w:hanging="404"/>
      </w:pPr>
      <w:rPr>
        <w:rFonts w:hint="default"/>
        <w:lang w:val="id" w:eastAsia="en-US" w:bidi="ar-SA"/>
      </w:rPr>
    </w:lvl>
    <w:lvl w:ilvl="6" w:tentative="0">
      <w:start w:val="0"/>
      <w:numFmt w:val="bullet"/>
      <w:lvlText w:val="•"/>
      <w:lvlJc w:val="left"/>
      <w:pPr>
        <w:ind w:left="4031" w:hanging="404"/>
      </w:pPr>
      <w:rPr>
        <w:rFonts w:hint="default"/>
        <w:lang w:val="id" w:eastAsia="en-US" w:bidi="ar-SA"/>
      </w:rPr>
    </w:lvl>
    <w:lvl w:ilvl="7" w:tentative="0">
      <w:start w:val="0"/>
      <w:numFmt w:val="bullet"/>
      <w:lvlText w:val="•"/>
      <w:lvlJc w:val="left"/>
      <w:pPr>
        <w:ind w:left="4589" w:hanging="404"/>
      </w:pPr>
      <w:rPr>
        <w:rFonts w:hint="default"/>
        <w:lang w:val="id" w:eastAsia="en-US" w:bidi="ar-SA"/>
      </w:rPr>
    </w:lvl>
    <w:lvl w:ilvl="8" w:tentative="0">
      <w:start w:val="0"/>
      <w:numFmt w:val="bullet"/>
      <w:lvlText w:val="•"/>
      <w:lvlJc w:val="left"/>
      <w:pPr>
        <w:ind w:left="5148" w:hanging="404"/>
      </w:pPr>
      <w:rPr>
        <w:rFonts w:hint="default"/>
        <w:lang w:val="id" w:eastAsia="en-US" w:bidi="ar-SA"/>
      </w:rPr>
    </w:lvl>
  </w:abstractNum>
  <w:abstractNum w:abstractNumId="4">
    <w:nsid w:val="723E1028"/>
    <w:multiLevelType w:val="multilevel"/>
    <w:tmpl w:val="723E1028"/>
    <w:lvl w:ilvl="0" w:tentative="0">
      <w:start w:val="1"/>
      <w:numFmt w:val="decimal"/>
      <w:lvlText w:val="[%1]"/>
      <w:lvlJc w:val="left"/>
      <w:pPr>
        <w:ind w:left="852" w:hanging="567"/>
      </w:pPr>
      <w:rPr>
        <w:rFonts w:hint="default" w:ascii="Times New Roman" w:hAnsi="Times New Roman" w:eastAsia="Times New Roman" w:cs="Times New Roman"/>
        <w:b w:val="0"/>
        <w:bCs w:val="0"/>
        <w:i w:val="0"/>
        <w:iCs w:val="0"/>
        <w:spacing w:val="0"/>
        <w:w w:val="99"/>
        <w:sz w:val="20"/>
        <w:szCs w:val="20"/>
        <w:lang w:val="id" w:eastAsia="en-US" w:bidi="ar-SA"/>
      </w:rPr>
    </w:lvl>
    <w:lvl w:ilvl="1" w:tentative="0">
      <w:start w:val="0"/>
      <w:numFmt w:val="bullet"/>
      <w:lvlText w:val="•"/>
      <w:lvlJc w:val="left"/>
      <w:pPr>
        <w:ind w:left="1400" w:hanging="567"/>
      </w:pPr>
      <w:rPr>
        <w:rFonts w:hint="default"/>
        <w:lang w:val="id" w:eastAsia="en-US" w:bidi="ar-SA"/>
      </w:rPr>
    </w:lvl>
    <w:lvl w:ilvl="2" w:tentative="0">
      <w:start w:val="0"/>
      <w:numFmt w:val="bullet"/>
      <w:lvlText w:val="•"/>
      <w:lvlJc w:val="left"/>
      <w:pPr>
        <w:ind w:left="1941" w:hanging="567"/>
      </w:pPr>
      <w:rPr>
        <w:rFonts w:hint="default"/>
        <w:lang w:val="id" w:eastAsia="en-US" w:bidi="ar-SA"/>
      </w:rPr>
    </w:lvl>
    <w:lvl w:ilvl="3" w:tentative="0">
      <w:start w:val="0"/>
      <w:numFmt w:val="bullet"/>
      <w:lvlText w:val="•"/>
      <w:lvlJc w:val="left"/>
      <w:pPr>
        <w:ind w:left="2481" w:hanging="567"/>
      </w:pPr>
      <w:rPr>
        <w:rFonts w:hint="default"/>
        <w:lang w:val="id" w:eastAsia="en-US" w:bidi="ar-SA"/>
      </w:rPr>
    </w:lvl>
    <w:lvl w:ilvl="4" w:tentative="0">
      <w:start w:val="0"/>
      <w:numFmt w:val="bullet"/>
      <w:lvlText w:val="•"/>
      <w:lvlJc w:val="left"/>
      <w:pPr>
        <w:ind w:left="3022" w:hanging="567"/>
      </w:pPr>
      <w:rPr>
        <w:rFonts w:hint="default"/>
        <w:lang w:val="id" w:eastAsia="en-US" w:bidi="ar-SA"/>
      </w:rPr>
    </w:lvl>
    <w:lvl w:ilvl="5" w:tentative="0">
      <w:start w:val="0"/>
      <w:numFmt w:val="bullet"/>
      <w:lvlText w:val="•"/>
      <w:lvlJc w:val="left"/>
      <w:pPr>
        <w:ind w:left="3562" w:hanging="567"/>
      </w:pPr>
      <w:rPr>
        <w:rFonts w:hint="default"/>
        <w:lang w:val="id" w:eastAsia="en-US" w:bidi="ar-SA"/>
      </w:rPr>
    </w:lvl>
    <w:lvl w:ilvl="6" w:tentative="0">
      <w:start w:val="0"/>
      <w:numFmt w:val="bullet"/>
      <w:lvlText w:val="•"/>
      <w:lvlJc w:val="left"/>
      <w:pPr>
        <w:ind w:left="4103" w:hanging="567"/>
      </w:pPr>
      <w:rPr>
        <w:rFonts w:hint="default"/>
        <w:lang w:val="id" w:eastAsia="en-US" w:bidi="ar-SA"/>
      </w:rPr>
    </w:lvl>
    <w:lvl w:ilvl="7" w:tentative="0">
      <w:start w:val="0"/>
      <w:numFmt w:val="bullet"/>
      <w:lvlText w:val="•"/>
      <w:lvlJc w:val="left"/>
      <w:pPr>
        <w:ind w:left="4643" w:hanging="567"/>
      </w:pPr>
      <w:rPr>
        <w:rFonts w:hint="default"/>
        <w:lang w:val="id" w:eastAsia="en-US" w:bidi="ar-SA"/>
      </w:rPr>
    </w:lvl>
    <w:lvl w:ilvl="8" w:tentative="0">
      <w:start w:val="0"/>
      <w:numFmt w:val="bullet"/>
      <w:lvlText w:val="•"/>
      <w:lvlJc w:val="left"/>
      <w:pPr>
        <w:ind w:left="5184" w:hanging="567"/>
      </w:pPr>
      <w:rPr>
        <w:rFonts w:hint="default"/>
        <w:lang w:val="id" w:eastAsia="en-US" w:bidi="ar-SA"/>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A5100D"/>
    <w:rsid w:val="0001604E"/>
    <w:rsid w:val="000201AF"/>
    <w:rsid w:val="0006272C"/>
    <w:rsid w:val="00072F58"/>
    <w:rsid w:val="00102DAF"/>
    <w:rsid w:val="00156018"/>
    <w:rsid w:val="001A0CD6"/>
    <w:rsid w:val="001B5174"/>
    <w:rsid w:val="001C18C2"/>
    <w:rsid w:val="00222993"/>
    <w:rsid w:val="00270722"/>
    <w:rsid w:val="002F4BFA"/>
    <w:rsid w:val="003B354E"/>
    <w:rsid w:val="003D5407"/>
    <w:rsid w:val="004D2354"/>
    <w:rsid w:val="004F3656"/>
    <w:rsid w:val="00512D6D"/>
    <w:rsid w:val="005439A2"/>
    <w:rsid w:val="00557BDA"/>
    <w:rsid w:val="005642BF"/>
    <w:rsid w:val="005F1D2D"/>
    <w:rsid w:val="00626CAB"/>
    <w:rsid w:val="006431CD"/>
    <w:rsid w:val="006711E4"/>
    <w:rsid w:val="006D337F"/>
    <w:rsid w:val="006E10D3"/>
    <w:rsid w:val="00706AE4"/>
    <w:rsid w:val="007D2ECC"/>
    <w:rsid w:val="007D341D"/>
    <w:rsid w:val="00835A9C"/>
    <w:rsid w:val="0089377F"/>
    <w:rsid w:val="008E43D2"/>
    <w:rsid w:val="009E2F66"/>
    <w:rsid w:val="00A5100D"/>
    <w:rsid w:val="00A61AB7"/>
    <w:rsid w:val="00A82737"/>
    <w:rsid w:val="00A84132"/>
    <w:rsid w:val="00A92644"/>
    <w:rsid w:val="00AA6BD7"/>
    <w:rsid w:val="00BA2866"/>
    <w:rsid w:val="00BA5B4F"/>
    <w:rsid w:val="00CA4222"/>
    <w:rsid w:val="00CE52DC"/>
    <w:rsid w:val="00DB5890"/>
    <w:rsid w:val="00DD44E9"/>
    <w:rsid w:val="00EF79EE"/>
    <w:rsid w:val="00FE4604"/>
    <w:rsid w:val="15C345C9"/>
    <w:rsid w:val="406F0795"/>
    <w:rsid w:val="66383C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9"/>
    <w:pPr>
      <w:spacing w:before="66"/>
      <w:ind w:left="146"/>
      <w:outlineLvl w:val="0"/>
    </w:pPr>
    <w:rPr>
      <w:b/>
      <w:bCs/>
      <w:sz w:val="24"/>
      <w:szCs w:val="24"/>
    </w:rPr>
  </w:style>
  <w:style w:type="paragraph" w:styleId="3">
    <w:name w:val="heading 2"/>
    <w:basedOn w:val="1"/>
    <w:unhideWhenUsed/>
    <w:qFormat/>
    <w:uiPriority w:val="9"/>
    <w:pPr>
      <w:ind w:left="687" w:hanging="402"/>
      <w:outlineLvl w:val="1"/>
    </w:pPr>
    <w:rPr>
      <w:b/>
      <w:bCs/>
      <w:sz w:val="20"/>
      <w:szCs w:val="20"/>
    </w:rPr>
  </w:style>
  <w:style w:type="paragraph" w:styleId="4">
    <w:name w:val="heading 3"/>
    <w:basedOn w:val="1"/>
    <w:unhideWhenUsed/>
    <w:qFormat/>
    <w:uiPriority w:val="9"/>
    <w:pPr>
      <w:ind w:left="1136" w:hanging="423"/>
      <w:jc w:val="both"/>
      <w:outlineLvl w:val="2"/>
    </w:pPr>
    <w:rPr>
      <w:b/>
      <w:bCs/>
      <w:sz w:val="20"/>
      <w:szCs w:val="20"/>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jc w:val="both"/>
    </w:pPr>
    <w:rPr>
      <w:sz w:val="20"/>
      <w:szCs w:val="20"/>
    </w:rPr>
  </w:style>
  <w:style w:type="character" w:styleId="8">
    <w:name w:val="Emphasis"/>
    <w:basedOn w:val="5"/>
    <w:qFormat/>
    <w:uiPriority w:val="20"/>
    <w:rPr>
      <w:i/>
      <w:iCs/>
    </w:rPr>
  </w:style>
  <w:style w:type="paragraph" w:styleId="9">
    <w:name w:val="footer"/>
    <w:basedOn w:val="1"/>
    <w:link w:val="22"/>
    <w:unhideWhenUsed/>
    <w:qFormat/>
    <w:uiPriority w:val="99"/>
    <w:pPr>
      <w:tabs>
        <w:tab w:val="center" w:pos="4680"/>
        <w:tab w:val="right" w:pos="9360"/>
      </w:tabs>
    </w:pPr>
  </w:style>
  <w:style w:type="paragraph" w:styleId="10">
    <w:name w:val="header"/>
    <w:basedOn w:val="1"/>
    <w:link w:val="21"/>
    <w:unhideWhenUsed/>
    <w:qFormat/>
    <w:uiPriority w:val="99"/>
    <w:pPr>
      <w:tabs>
        <w:tab w:val="center" w:pos="4680"/>
        <w:tab w:val="right" w:pos="9360"/>
      </w:tabs>
    </w:pPr>
  </w:style>
  <w:style w:type="character" w:styleId="11">
    <w:name w:val="Hyperlink"/>
    <w:basedOn w:val="5"/>
    <w:unhideWhenUsed/>
    <w:qFormat/>
    <w:uiPriority w:val="99"/>
    <w:rPr>
      <w:color w:val="0000FF" w:themeColor="hyperlink"/>
      <w:u w:val="single"/>
      <w14:textFill>
        <w14:solidFill>
          <w14:schemeClr w14:val="hlink"/>
        </w14:solidFill>
      </w14:textFill>
    </w:rPr>
  </w:style>
  <w:style w:type="paragraph" w:styleId="1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5"/>
    <w:qFormat/>
    <w:uiPriority w:val="22"/>
    <w:rPr>
      <w:b/>
      <w:bCs/>
    </w:rPr>
  </w:style>
  <w:style w:type="paragraph" w:styleId="14">
    <w:name w:val="Title"/>
    <w:basedOn w:val="1"/>
    <w:qFormat/>
    <w:uiPriority w:val="10"/>
    <w:pPr>
      <w:spacing w:before="60"/>
      <w:ind w:right="138"/>
      <w:jc w:val="right"/>
    </w:pPr>
    <w:rPr>
      <w:b/>
      <w:bCs/>
      <w:sz w:val="32"/>
      <w:szCs w:val="32"/>
    </w:rPr>
  </w:style>
  <w:style w:type="paragraph" w:styleId="15">
    <w:name w:val="toc 1"/>
    <w:basedOn w:val="1"/>
    <w:qFormat/>
    <w:uiPriority w:val="39"/>
    <w:pPr>
      <w:spacing w:before="274"/>
      <w:ind w:left="285"/>
    </w:pPr>
    <w:rPr>
      <w:b/>
      <w:bCs/>
      <w:sz w:val="20"/>
      <w:szCs w:val="20"/>
    </w:rPr>
  </w:style>
  <w:style w:type="paragraph" w:styleId="16">
    <w:name w:val="toc 2"/>
    <w:basedOn w:val="1"/>
    <w:qFormat/>
    <w:uiPriority w:val="39"/>
    <w:pPr>
      <w:spacing w:before="34"/>
      <w:ind w:left="926" w:hanging="401"/>
    </w:pPr>
    <w:rPr>
      <w:sz w:val="20"/>
      <w:szCs w:val="20"/>
    </w:rPr>
  </w:style>
  <w:style w:type="paragraph" w:styleId="17">
    <w:name w:val="toc 3"/>
    <w:basedOn w:val="1"/>
    <w:qFormat/>
    <w:uiPriority w:val="39"/>
    <w:pPr>
      <w:ind w:left="1314" w:hanging="549"/>
    </w:pPr>
    <w:rPr>
      <w:sz w:val="20"/>
      <w:szCs w:val="20"/>
    </w:rPr>
  </w:style>
  <w:style w:type="paragraph" w:styleId="18">
    <w:name w:val="List Paragraph"/>
    <w:basedOn w:val="1"/>
    <w:qFormat/>
    <w:uiPriority w:val="1"/>
    <w:pPr>
      <w:ind w:left="852" w:hanging="567"/>
      <w:jc w:val="both"/>
    </w:pPr>
  </w:style>
  <w:style w:type="paragraph" w:customStyle="1" w:styleId="19">
    <w:name w:val="Table Paragraph"/>
    <w:basedOn w:val="1"/>
    <w:qFormat/>
    <w:uiPriority w:val="1"/>
  </w:style>
  <w:style w:type="paragraph" w:customStyle="1" w:styleId="20">
    <w:name w:val="TOC Heading"/>
    <w:basedOn w:val="2"/>
    <w:next w:val="1"/>
    <w:unhideWhenUsed/>
    <w:qFormat/>
    <w:uiPriority w:val="39"/>
    <w:pPr>
      <w:keepNext/>
      <w:keepLines/>
      <w:widowControl/>
      <w:autoSpaceDE/>
      <w:autoSpaceDN/>
      <w:spacing w:before="240" w:line="259" w:lineRule="auto"/>
      <w:ind w:left="0"/>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21">
    <w:name w:val="Header Char"/>
    <w:basedOn w:val="5"/>
    <w:link w:val="10"/>
    <w:qFormat/>
    <w:uiPriority w:val="99"/>
    <w:rPr>
      <w:rFonts w:ascii="Times New Roman" w:hAnsi="Times New Roman" w:eastAsia="Times New Roman" w:cs="Times New Roman"/>
      <w:lang w:val="id"/>
    </w:rPr>
  </w:style>
  <w:style w:type="character" w:customStyle="1" w:styleId="22">
    <w:name w:val="Footer Char"/>
    <w:basedOn w:val="5"/>
    <w:link w:val="9"/>
    <w:qFormat/>
    <w:uiPriority w:val="99"/>
    <w:rPr>
      <w:rFonts w:ascii="Times New Roman" w:hAnsi="Times New Roman" w:eastAsia="Times New Roman" w:cs="Times New Roman"/>
      <w:lang w:val="id"/>
    </w:rPr>
  </w:style>
  <w:style w:type="character" w:styleId="23">
    <w:name w:val="Placeholder Text"/>
    <w:basedOn w:val="5"/>
    <w:semiHidden/>
    <w:qFormat/>
    <w:uiPriority w:val="99"/>
    <w:rPr>
      <w:color w:val="666666"/>
    </w:rPr>
  </w:style>
  <w:style w:type="character" w:customStyle="1" w:styleId="24">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591AD1-2ECD-4094-97BF-7612C92363A0}">
  <ds:schemaRefs/>
</ds:datastoreItem>
</file>

<file path=docProps/app.xml><?xml version="1.0" encoding="utf-8"?>
<Properties xmlns="http://schemas.openxmlformats.org/officeDocument/2006/extended-properties" xmlns:vt="http://schemas.openxmlformats.org/officeDocument/2006/docPropsVTypes">
  <Template>Normal</Template>
  <Pages>21</Pages>
  <Words>8428</Words>
  <Characters>48044</Characters>
  <Lines>400</Lines>
  <Paragraphs>112</Paragraphs>
  <TotalTime>51</TotalTime>
  <ScaleCrop>false</ScaleCrop>
  <LinksUpToDate>false</LinksUpToDate>
  <CharactersWithSpaces>56360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2026-06-16T11:21:00Z</dcterms:created>
  <dc:creator>python-docx</dc:creator>
  <cp:lastModifiedBy>wahyu ikbal</cp:lastModifiedBy>
  <cp:lastPrinted>2026-06-18T02:16:00Z</cp:lastPrinted>
  <dcterms:modified xsi:type="dcterms:W3CDTF">2026-06-19T06:28:20Z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2026-06-01T00:00:00Z</vt:filetime>
  </property>
  <property fmtid="{D5CDD505-2E9C-101B-9397-08002B2CF9AE}" pid="4" name="Creator">
    <vt:lpwstr>Microsoft® Word LTSC</vt:lpwstr>
  </property>
  <property fmtid="{D5CDD505-2E9C-101B-9397-08002B2CF9AE}" pid="5" name="LastSaved">
    <vt:filetime>2026-06-16T00:00:00Z</vt:filetime>
  </property>
  <property fmtid="{D5CDD505-2E9C-101B-9397-08002B2CF9AE}" pid="6" name="Producer">
    <vt:lpwstr>Microsoft® Word LTSC</vt:lpwstr>
  </property>
  <property fmtid="{D5CDD505-2E9C-101B-9397-08002B2CF9AE}" pid="7" name="KSOProductBuildVer">
    <vt:lpwstr>2057-12.2.0.23203</vt:lpwstr>
  </property>
  <property fmtid="{D5CDD505-2E9C-101B-9397-08002B2CF9AE}" pid="8" name="ICV">
    <vt:lpwstr>56CAE7C4DE7E4A3694D0C5087DD10713_12</vt:lpwstr>
  </property>
</Properties>
</file>