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Grafik: BSMALG02</w:t>
      </w:r>
    </w:p>
    <w:p>
      <w:pPr>
        <w:pStyle w:val="Normal"/>
      </w:pPr>
      <w:r>
        <w:rPr/>
        <w:drawing>
          <wp:inline distT="0" distB="0" distL="0" distR="0">
            <wp:extent cx="54864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1"/>
      </w:pPr>
      <w:r>
        <w:t xml:space="preserve">Grafik: BSMALG03</w:t>
      </w:r>
    </w:p>
    <w:p>
      <w:pPr>
        <w:pStyle w:val="Normal"/>
      </w:pPr>
      <w:r>
        <w:rPr/>
        <w:drawing>
          <wp:inline distT="0" distB="0" distL="0" distR="0">
            <wp:extent cx="54864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f398991a520ba885882c603bdb45bfbd26bebbe1.png"/>
<Relationship Id="rId8" Type="http://schemas.openxmlformats.org/officeDocument/2006/relationships/image" Target="media/d11f28a0beeb9db1dce04331785ff3013050711a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2026-02-26T14:11:37Z</dcterms:modified>
  <cp:category/>
</cp:coreProperties>
</file>