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**Tabel 1**
*Perbandingan Jumlah Siswa Penerima PIP antara SMA dan SMK*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6"/>
        <w:gridCol w:w="1493"/>
        <w:gridCol w:w="1432"/>
        <w:gridCol w:w="1352"/>
        <w:gridCol w:w="2110"/>
        <w:gridCol w:w="1169"/>
        <w:gridCol w:w="1181"/>
      </w:tblGrid>
      <w:tr>
        <w:trPr>
          <w:trHeight w:val="76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22,978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13026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SMK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9952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Difference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Jumlah Siswa Penerima PIP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(162)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(70)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 (205)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-86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-90, -83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Diuji menggunakan penyesuaian asumsi (T-Test/Welch/Mann-Whitney)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2026-05-12T19:49:30Z</dcterms:modified>
  <cp:category/>
</cp:coreProperties>
</file>