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Carbon Accounting System</w:t>
      </w:r>
    </w:p>
    <w:p/>
    <w:p>
      <w:pPr>
        <w:pStyle w:val="Heading1"/>
      </w:pPr>
      <w:r>
        <w:t>Overview</w:t>
      </w:r>
    </w:p>
    <w:p>
      <w:pPr>
        <w:jc w:val="both"/>
      </w:pPr>
      <w:r>
        <w:t>This CAS serves as an accounting ledger for CO₂ at Octavia Carbon. The ledger accounts for the CO₂ that is captured and stored versus the CO₂ emissions in the process of capture and storage. The system is updated weekly using aggregated cycle data and determines whether the facility is net carbon positive or net carbon negative at any given point.</w:t>
      </w:r>
    </w:p>
    <w:p>
      <w:pPr>
        <w:jc w:val="both"/>
      </w:pPr>
      <w:r>
        <w:t>The capture process accounts for CO₂ at the last capture monitoring point, which is the point at which the CO₂ is liquefied. Emissions are divided into two categories: embodied emissions and operational emissions. The operational emissions are accounted for up to the same last monitoring point.</w:t>
      </w:r>
    </w:p>
    <w:p>
      <w:pPr>
        <w:pStyle w:val="Heading1"/>
      </w:pPr>
      <w:r>
        <w:t>CO₂ Captured</w:t>
      </w:r>
    </w:p>
    <w:p>
      <w:pPr>
        <w:jc w:val="both"/>
      </w:pPr>
      <w:r>
        <w:t>The system monitors CO₂ at four distinct points along the capture process. These points allow the system to track CO₂ mass at each stage transition and calculate inter-stage losses. The four monitoring points are:</w:t>
      </w:r>
    </w:p>
    <w:p>
      <w:pPr>
        <w:pStyle w:val="ListNumber"/>
      </w:pPr>
      <w:r>
        <w:t>CO₂ Adsorbed (ADS)</w:t>
      </w:r>
    </w:p>
    <w:p>
      <w:pPr>
        <w:pStyle w:val="ListNumber"/>
      </w:pPr>
      <w:r>
        <w:t>CO₂ Desorbed (DES)</w:t>
      </w:r>
    </w:p>
    <w:p>
      <w:pPr>
        <w:pStyle w:val="ListNumber"/>
      </w:pPr>
      <w:r>
        <w:t>CO₂ Collected in the Balloon Bag (BAG)</w:t>
      </w:r>
    </w:p>
    <w:p>
      <w:pPr>
        <w:pStyle w:val="ListNumber"/>
      </w:pPr>
      <w:r>
        <w:t>CO₂ Liquefied (LIQ)</w:t>
      </w:r>
    </w:p>
    <w:p>
      <w:pPr>
        <w:jc w:val="both"/>
      </w:pPr>
      <w:r>
        <w:t>These observation points serve two purposes: they feed the efficiency monitoring chain and they provide the final captured CO₂ figure at the last monitoring point (LIQ) which is what enters the carbon accounting equation.</w:t>
      </w:r>
    </w:p>
    <w:p>
      <w:pPr>
        <w:pStyle w:val="Heading2"/>
      </w:pPr>
      <w:r>
        <w:t>CO₂ Adsorbed (ADS)</w:t>
      </w:r>
    </w:p>
    <w:p>
      <w:pPr>
        <w:jc w:val="both"/>
      </w:pPr>
      <w:r>
        <w:t>The ADS figure is determined by integrating the difference between inlet and outlet CO₂ concentrations over the duration of the adsorption cycle. CO₂ sensors measure concentration continuously at both the inlet and outlet of each module. As the sorbent saturates, the outlet concentration rises back toward inlet levels — this is the breakthrough point. The mass of CO₂ adsorbed per cycle is calculated as:</w:t>
      </w:r>
    </w:p>
    <w:p>
      <w:pPr>
        <w:jc w:val="center"/>
      </w:pPr>
      <w:r>
        <w:rPr>
          <w:b/>
          <w:sz w:val="22"/>
        </w:rPr>
        <w:t>CO₂ Adsorbed = ∫ (C_in − C_out) × Q  dt</w:t>
      </w:r>
    </w:p>
    <w:p>
      <w:pPr>
        <w:jc w:val="both"/>
      </w:pPr>
      <w:r>
        <w:t>Where C_in is the inlet CO₂ concentration, C_out is the outlet CO₂ concentration, and Q is the volumetric air flow rate. The integral is taken over the full duration of the adsorption cycle. This is calculated per cycle and logged by SCADA.</w:t>
      </w:r>
    </w:p>
    <w:p>
      <w:pPr>
        <w:pStyle w:val="Heading2"/>
      </w:pPr>
      <w:r>
        <w:t>CO₂ Desorbed (DES)</w:t>
      </w:r>
    </w:p>
    <w:p>
      <w:pPr>
        <w:jc w:val="both"/>
      </w:pPr>
      <w:r>
        <w:t>Once the adsorption phase ends, steam is applied to the sorbent bed to release the bound CO₂. The DES figure is determined by measuring the corrected CO₂ gas flow from the reactor during desorption and integrating it over the desorption period using the Ideal Gas Law to convert from volumetric to mass units:</w:t>
      </w:r>
    </w:p>
    <w:p>
      <w:pPr>
        <w:jc w:val="center"/>
      </w:pPr>
      <w:r>
        <w:rPr>
          <w:b/>
          <w:sz w:val="22"/>
        </w:rPr>
        <w:t>n = PV / RT     →     m = n × M_CO₂  (44.01 g/mol)</w:t>
      </w:r>
    </w:p>
    <w:p>
      <w:pPr>
        <w:jc w:val="both"/>
      </w:pPr>
      <w:r>
        <w:t>The ratio of DES to ADS defines the ADS→DES efficiency, which captures losses at the desorption stage such as incomplete release or measurement error.</w:t>
      </w:r>
    </w:p>
    <w:p>
      <w:pPr>
        <w:pStyle w:val="Heading2"/>
      </w:pPr>
      <w:r>
        <w:t>CO₂ Collected in the Balloon Bag (BAG)</w:t>
      </w:r>
    </w:p>
    <w:p>
      <w:pPr>
        <w:jc w:val="both"/>
      </w:pPr>
      <w:r>
        <w:t>The desorbed CO₂ flows into a balloon bag — a flexible buffer vessel between the reactor desorption cycle and the downstream liquefaction unit. The CO₂ measured at the bag quantifies the separation losses between the reactor outlet and the bag inlet. The ratio of BAG to DES defines the DES→BAG efficiency, capturing any gas-handling or separation losses in that section.</w:t>
      </w:r>
    </w:p>
    <w:p>
      <w:pPr>
        <w:pStyle w:val="Heading2"/>
      </w:pPr>
      <w:r>
        <w:t>CO₂ Liquefied (LIQ) — The Last Monitoring Point</w:t>
      </w:r>
    </w:p>
    <w:p>
      <w:pPr>
        <w:jc w:val="both"/>
      </w:pPr>
      <w:r>
        <w:t>The cryogenic storage tank is fitted with load cells that continuously measure the total weight of liquefied CO₂. The increase in weight over a cycle or a week directly gives the mass of CO₂ that has been successfully captured and stored. This is the figure that enters the carbon accounting equation as CO₂ Captured.</w:t>
      </w:r>
    </w:p>
    <w:p>
      <w:pPr>
        <w:jc w:val="both"/>
      </w:pPr>
      <w:r>
        <w:t>Using the last monitoring point as the captured CO₂ figure means the system only claims credit for CO₂ that has passed through the full process chain. All upstream losses are automatically excluded. The ratio of LIQ to BAG defines the BAG→LIQ efficiency.</w:t>
      </w:r>
    </w:p>
    <w:p>
      <w:pPr>
        <w:jc w:val="both"/>
      </w:pPr>
      <w:r>
        <w:t>Where the liquefied CO₂ figure is not yet available for a given week — for example if the operator has not yet entered the load cell reading — the system falls back to using the BAG figure as the gross captured CO₂, and stage 3 loss is recorded as zero until the liquefaction data is entered.</w:t>
      </w:r>
    </w:p>
    <w:p>
      <w:pPr>
        <w:pStyle w:val="Heading2"/>
      </w:pPr>
      <w:r>
        <w:t>Efficiency Chain</w:t>
      </w:r>
    </w:p>
    <w:p>
      <w:pPr>
        <w:jc w:val="both"/>
      </w:pPr>
      <w:r>
        <w:t>The four monitoring points create a three-stage efficiency chain that spans the full process:</w:t>
      </w:r>
    </w:p>
    <w:p>
      <w:pPr>
        <w:pStyle w:val="ListBullet"/>
      </w:pPr>
      <w:r>
        <w:t>ADS → DES: adsorption-to-desorption efficiency — losses at the desorption stage</w:t>
      </w:r>
    </w:p>
    <w:p>
      <w:pPr>
        <w:pStyle w:val="ListBullet"/>
      </w:pPr>
      <w:r>
        <w:t>DES → BAG: desorption-to-bag efficiency — losses in gas handling and separation</w:t>
      </w:r>
    </w:p>
    <w:p>
      <w:pPr>
        <w:pStyle w:val="ListBullet"/>
      </w:pPr>
      <w:r>
        <w:t>BAG → LIQ: bag-to-liquefaction efficiency — losses in compression and liquefaction</w:t>
      </w:r>
    </w:p>
    <w:p>
      <w:pPr>
        <w:pStyle w:val="ListBullet"/>
      </w:pPr>
      <w:r>
        <w:t>ADS → LIQ: overall system efficiency — total losses from first capture to final storage</w:t>
      </w:r>
    </w:p>
    <w:p>
      <w:pPr>
        <w:jc w:val="both"/>
      </w:pPr>
      <w:r>
        <w:t>Each stage efficiency is computed as a ratio of the downstream CO₂ figure to the upstream CO₂ figure for that stage. These are tracked weekly and displayed on the dashboard as a CO₂ flow waterfall. The total system loss is:</w:t>
      </w:r>
    </w:p>
    <w:p>
      <w:pPr>
        <w:jc w:val="center"/>
      </w:pPr>
      <w:r>
        <w:rPr>
          <w:b/>
          <w:sz w:val="22"/>
        </w:rPr>
        <w:t>Total Loss = ADS − Gross Captured (LIQ or BAG)</w:t>
      </w:r>
    </w:p>
    <w:p>
      <w:pPr>
        <w:jc w:val="both"/>
      </w:pPr>
      <w:r>
        <w:t>Capture data is aggregated weekly by summing all cycle records within the ISO week period.</w:t>
      </w:r>
    </w:p>
    <w:p>
      <w:pPr>
        <w:pStyle w:val="Heading1"/>
      </w:pPr>
      <w:r>
        <w:t>CO₂ Emissions</w:t>
      </w:r>
    </w:p>
    <w:p>
      <w:pPr>
        <w:jc w:val="both"/>
      </w:pPr>
      <w:r>
        <w:t>The system calculates two categories of CO₂ emissions: operational emissions and embodied emissions. The total is deducted from the gross CO₂ captured to produce the net figure.</w:t>
      </w:r>
    </w:p>
    <w:p>
      <w:pPr>
        <w:jc w:val="center"/>
      </w:pPr>
      <w:r>
        <w:rPr>
          <w:b/>
          <w:sz w:val="22"/>
        </w:rPr>
        <w:t>CO₂ EMISSIONS = OPERATIONAL EMISSIONS + EMBODIED EMISSIONS</w:t>
      </w:r>
    </w:p>
    <w:p>
      <w:pPr>
        <w:pStyle w:val="Heading2"/>
      </w:pPr>
      <w:r>
        <w:t>Operational Emissions</w:t>
      </w:r>
    </w:p>
    <w:p>
      <w:pPr>
        <w:jc w:val="both"/>
      </w:pPr>
      <w:r>
        <w:t>Operational emissions are the day-to-day emissions from running the capture process. They scale with plant activity and are aggregated weekly from SCADA cycle data. There are three components:</w:t>
      </w:r>
    </w:p>
    <w:p>
      <w:pPr>
        <w:pStyle w:val="Heading3"/>
      </w:pPr>
      <w:r>
        <w:t>Thermal Emissions (Boiler)</w:t>
      </w:r>
    </w:p>
    <w:p>
      <w:pPr>
        <w:jc w:val="both"/>
      </w:pPr>
      <w:r>
        <w:t>The boiler generates steam for sorbent desorption and is electrically powered. Boiler energy consumption is logged per cycle by SCADA (boiler_kwh). The thermal emissions are calculated as:</w:t>
      </w:r>
    </w:p>
    <w:p>
      <w:pPr>
        <w:jc w:val="center"/>
      </w:pPr>
      <w:r>
        <w:rPr>
          <w:b/>
          <w:sz w:val="22"/>
        </w:rPr>
        <w:t>Thermal Emissions = Boiler kWh × Grid EF</w:t>
      </w:r>
    </w:p>
    <w:p>
      <w:pPr>
        <w:jc w:val="both"/>
      </w:pPr>
      <w:r>
        <w:t>The grid emission factor is set at 0.049 kg CO₂/kWh (Kenya Power 2024). This value is stored in the system_config table and is configurable by an administrator.</w:t>
      </w:r>
    </w:p>
    <w:p>
      <w:pPr>
        <w:pStyle w:val="Heading3"/>
      </w:pPr>
      <w:r>
        <w:t>Auxiliary Emissions (Non-Thermal Electrical)</w:t>
      </w:r>
    </w:p>
    <w:p>
      <w:pPr>
        <w:jc w:val="both"/>
      </w:pPr>
      <w:r>
        <w:t>Auxiliary emissions cover all other electrical consumption in the process. This includes the fans/blowers (NM1–NM4), the SRV/LRVP (Steam Recovery Valve / Liquid Ring Vacuum Pump), and the cooling tower. Each is logged separately per cycle by SCADA. Additionally, the energy consumed by the liquefaction unit and CO₂ transfer operations — obtained from the weekly SCADA operating summary and entered manually — is added to the auxiliary total.</w:t>
      </w:r>
    </w:p>
    <w:p>
      <w:pPr>
        <w:jc w:val="center"/>
      </w:pPr>
      <w:r>
        <w:rPr>
          <w:b/>
          <w:sz w:val="22"/>
        </w:rPr>
        <w:t>Auxiliary Emissions = (SRV/LRVP + CT + Fans + Liquefaction kWh) × Grid EF</w:t>
      </w:r>
    </w:p>
    <w:p>
      <w:pPr>
        <w:jc w:val="both"/>
      </w:pPr>
      <w:r>
        <w:t>If SCADA provides a total kWh figure but no component breakdown, the system estimates the split using default ratios: 70% thermal (boiler) and 30% auxiliary. The total operational emissions are then:</w:t>
      </w:r>
    </w:p>
    <w:p>
      <w:pPr>
        <w:jc w:val="center"/>
      </w:pPr>
      <w:r>
        <w:rPr>
          <w:b/>
          <w:sz w:val="22"/>
        </w:rPr>
        <w:t>Total Operational Emissions = (Boiler kWh + Auxiliary kWh) × Grid EF</w:t>
      </w:r>
    </w:p>
    <w:p>
      <w:pPr>
        <w:jc w:val="center"/>
      </w:pPr>
      <w:r>
        <w:rPr>
          <w:b/>
          <w:sz w:val="22"/>
        </w:rPr>
        <w:t>Total Operational Emissions = Total kWh × Grid EF</w:t>
      </w:r>
    </w:p>
    <w:p>
      <w:pPr>
        <w:pStyle w:val="Heading3"/>
      </w:pPr>
      <w:r>
        <w:t>Sorbent Degradation Emissions</w:t>
      </w:r>
    </w:p>
    <w:p>
      <w:pPr>
        <w:jc w:val="both"/>
      </w:pPr>
      <w:r>
        <w:t>The sorbent material requires periodic re-functionalisation using PEI and methanol. The upstream lifecycle emissions of these materials are accounted for as an operational emission rate applied proportionally to the CO₂ captured each week. The rates, sourced from the Carbon Nest LCA Workbook (IPCC 2021 GWP100), are:</w:t>
      </w:r>
    </w:p>
    <w:p>
      <w:pPr>
        <w:pStyle w:val="ListBullet"/>
      </w:pPr>
      <w:r>
        <w:t>PEI: 0.0688 kg CO₂eq per kg CO₂ captured</w:t>
      </w:r>
    </w:p>
    <w:p>
      <w:pPr>
        <w:pStyle w:val="ListBullet"/>
      </w:pPr>
      <w:r>
        <w:t>Methanol: 0.0834 kg CO₂eq per kg CO₂ captured</w:t>
      </w:r>
    </w:p>
    <w:p>
      <w:pPr>
        <w:pStyle w:val="ListBullet"/>
      </w:pPr>
      <w:r>
        <w:t>Combined rate: 0.1522 kg CO₂eq per kg CO₂ captured</w:t>
      </w:r>
    </w:p>
    <w:p>
      <w:pPr>
        <w:jc w:val="center"/>
      </w:pPr>
      <w:r>
        <w:rPr>
          <w:b/>
          <w:sz w:val="22"/>
        </w:rPr>
        <w:t>Sorbent Emissions = Gross Captured (kg) × 0.1522</w:t>
      </w:r>
    </w:p>
    <w:p>
      <w:pPr>
        <w:jc w:val="both"/>
      </w:pPr>
      <w:r>
        <w:t>Note: sorbent degradation emissions are currently tracked as a rate in the system configuration but are not yet broken out as a separate line in the weekly summary table — they are factored into the overall operational emissions total via the LCA-derived rate.</w:t>
      </w:r>
    </w:p>
    <w:p>
      <w:pPr>
        <w:pStyle w:val="Heading2"/>
      </w:pPr>
      <w:r>
        <w:t>Embodied Emissions</w:t>
      </w:r>
    </w:p>
    <w:p>
      <w:pPr>
        <w:jc w:val="both"/>
      </w:pPr>
      <w:r>
        <w:t>Embodied emissions represent the one-time CO₂ costs of constructing and assembling the facility, including civil works, structural steel, aluminium, mild steel, shipping containers, concrete, mechanical equipment, instrumentation, the liquefaction system, and the baseline sequestration foregone from the land on which the facility sits. These are calculated once via life cycle assessment and then amortised over the plant lifetime.</w:t>
      </w:r>
    </w:p>
    <w:p>
      <w:pPr>
        <w:jc w:val="both"/>
      </w:pPr>
      <w:r>
        <w:t>The total lifetime embodied emissions figure is 67,267.5 kg CO₂eq, sourced from the Carbon Nest LCA Workbook. The plant has a design lifetime of 10 years (520 weeks) and a design lifetime capture of 250,000 kg CO₂ (25 t/yr × 10 yr).</w:t>
      </w:r>
    </w:p>
    <w:p>
      <w:pPr>
        <w:pStyle w:val="Heading3"/>
      </w:pPr>
      <w:r>
        <w:t>Amortisation — Ramp-Up Phase</w:t>
      </w:r>
    </w:p>
    <w:p>
      <w:pPr>
        <w:jc w:val="both"/>
      </w:pPr>
      <w:r>
        <w:t>The plant is currently in an early ramp-up phase where it is not yet operating at full design capacity. The amortisation model allocates only 26% of the total lifetime embodied emissions to this ramp-up phase, spread over a 5-year (260-week) period. This prevents the full embodied emissions burden from being charged against a period of lower-than-design output. The calculation is as follows:</w:t>
      </w:r>
    </w:p>
    <w:p>
      <w:pPr>
        <w:jc w:val="center"/>
      </w:pPr>
      <w:r>
        <w:rPr>
          <w:b/>
          <w:sz w:val="22"/>
        </w:rPr>
        <w:t>Ramp-up embodied total = 67,267.5 × 0.26 = 17,489.6 kg CO₂eq</w:t>
      </w:r>
    </w:p>
    <w:p>
      <w:pPr>
        <w:jc w:val="center"/>
      </w:pPr>
      <w:r>
        <w:rPr>
          <w:b/>
          <w:sz w:val="22"/>
        </w:rPr>
        <w:t>Weekly embodied (ramp-up) = 17,489.6 ÷ 260 weeks = 67.27 kg CO₂eq/week</w:t>
      </w:r>
    </w:p>
    <w:p>
      <w:pPr>
        <w:jc w:val="both"/>
      </w:pPr>
      <w:r>
        <w:t>For reference, if the full lifetime embodied were spread evenly across all 520 weeks, the weekly charge would be 67,267.5 ÷ 520 = 129.36 kg CO₂eq/week. The ramp-up model therefore charges approximately half of what the steady-state rate would be.</w:t>
      </w:r>
    </w:p>
    <w:p>
      <w:pPr>
        <w:jc w:val="both"/>
      </w:pPr>
      <w:r>
        <w:t>The weekly embodied figure is constant — it does not vary with output, number of cycles, or any operational variable. It is applied as a fixed deduction every week regardless of how much CO₂ was captured.</w:t>
      </w:r>
    </w:p>
    <w:p>
      <w:pPr>
        <w:jc w:val="center"/>
      </w:pPr>
      <w:r>
        <w:rPr>
          <w:b/>
          <w:sz w:val="22"/>
        </w:rPr>
        <w:t>Weekly Embodied Emissions = 67.27 kg CO₂eq/week  (ramp-up phase, current)</w:t>
      </w:r>
    </w:p>
    <w:p>
      <w:pPr>
        <w:pStyle w:val="Heading1"/>
      </w:pPr>
      <w:r>
        <w:t>Carbon Accounting Equation</w:t>
      </w:r>
    </w:p>
    <w:p>
      <w:pPr>
        <w:jc w:val="both"/>
      </w:pPr>
      <w:r>
        <w:t>The system is updated weekly using the aggregated cycle data to calculate the net CO₂ captured. The core equation is:</w:t>
      </w:r>
    </w:p>
    <w:p>
      <w:pPr>
        <w:jc w:val="center"/>
      </w:pPr>
      <w:r>
        <w:rPr>
          <w:b/>
          <w:sz w:val="22"/>
        </w:rPr>
        <w:t>NET CO₂ = CO₂ CAPTURED – CO₂ EMISSIONS</w:t>
      </w:r>
    </w:p>
    <w:p>
      <w:pPr>
        <w:jc w:val="center"/>
      </w:pPr>
      <w:r>
        <w:rPr>
          <w:b/>
          <w:sz w:val="22"/>
        </w:rPr>
        <w:t>CO₂ EMISSIONS = EMBODIED EMISSIONS + OPERATIONAL EMISSIONS</w:t>
      </w:r>
    </w:p>
    <w:p>
      <w:pPr>
        <w:jc w:val="both"/>
      </w:pPr>
      <w:r>
        <w:t>CO₂ Captured is the liquefied CO₂ figure from the load cells (or the BAG figure if liquefaction data is not yet available). CO₂ Emissions is the sum of the weekly embodied charge (67.27 kg) plus the total operational emissions calculated from the week's energy and sorbent data. Expanded:</w:t>
      </w:r>
    </w:p>
    <w:p>
      <w:pPr>
        <w:jc w:val="center"/>
      </w:pPr>
      <w:r>
        <w:rPr>
          <w:b/>
          <w:sz w:val="22"/>
        </w:rPr>
        <w:t>NET CO₂ = LIQ – [(Total kWh × Grid EF) + Sorbent Emissions + 67.27]</w:t>
      </w:r>
    </w:p>
    <w:p>
      <w:pPr>
        <w:jc w:val="both"/>
      </w:pPr>
      <w:r>
        <w:t>A positive NET CO₂ figure means the facility removed more CO₂ from the atmosphere than it emitted that week — it is net carbon positive and carbon removal credits can be issued for that quantity. A negative NET CO₂ figure means emissions exceeded capture — the facility is a net emitter for that period and no credits are issued.</w:t>
      </w:r>
    </w:p>
    <w:p>
      <w:pPr>
        <w:jc w:val="both"/>
      </w:pPr>
      <w:r>
        <w:t>The system also tracks a cumulative NET CO₂ figure across all weeks of operation, which is the running total of net CO₂ removed since the plant started. Both the weekly and cumulative figures are displayed on the dashboard.</w:t>
      </w:r>
    </w:p>
    <w:p>
      <w:pPr>
        <w:pStyle w:val="Heading1"/>
      </w:pPr>
      <w:r>
        <w:t>Data Logging</w:t>
      </w:r>
    </w:p>
    <w:p>
      <w:pPr>
        <w:jc w:val="both"/>
      </w:pPr>
      <w:r>
        <w:t>Data is sourced from SCADA and fed to the system in CSV format. There are two primary CSV inputs: the plant cycle CSV and the energy CSV. The operator selects the week the data is for and the system automatically aggregates cycle records to weekly totals. Manual entry is also available for any data point.</w:t>
      </w:r>
    </w:p>
    <w:p>
      <w:pPr>
        <w:pStyle w:val="Heading2"/>
      </w:pPr>
      <w:r>
        <w:t>Plant Cycle CSV</w:t>
      </w:r>
    </w:p>
    <w:p>
      <w:pPr>
        <w:jc w:val="both"/>
      </w:pPr>
      <w:r>
        <w:t>The cycle CSV contains per-cycle operational data. Each row is one complete adsorption-desorption cycle for one module pair. The key columns are:</w:t>
      </w:r>
    </w:p>
    <w:p>
      <w:pPr>
        <w:pStyle w:val="ListBullet"/>
      </w:pPr>
      <w:r>
        <w:t>Cycle # — cycle identifier</w:t>
      </w:r>
    </w:p>
    <w:p>
      <w:pPr>
        <w:pStyle w:val="ListBullet"/>
      </w:pPr>
      <w:r>
        <w:t>Machine — module pair identifier (e.g., 1n3, 2n4, NM1, NM3)</w:t>
      </w:r>
    </w:p>
    <w:p>
      <w:pPr>
        <w:pStyle w:val="ListBullet"/>
      </w:pPr>
      <w:r>
        <w:t>ADS CO₂ (kg) — CO₂ adsorbed from the breakthrough curve integration</w:t>
      </w:r>
    </w:p>
    <w:p>
      <w:pPr>
        <w:pStyle w:val="ListBullet"/>
      </w:pPr>
      <w:r>
        <w:t>DES CO₂ (kg) — CO₂ desorbed, calculated via corrected gas flow and ideal gas law</w:t>
      </w:r>
    </w:p>
    <w:p>
      <w:pPr>
        <w:pStyle w:val="ListBullet"/>
      </w:pPr>
      <w:r>
        <w:t>BAG CO₂ (kg) — CO₂ collected in the balloon bag</w:t>
      </w:r>
    </w:p>
    <w:p>
      <w:pPr>
        <w:pStyle w:val="ListBullet"/>
      </w:pPr>
      <w:r>
        <w:t>eTotal kWh — total electrical energy for the cycle</w:t>
      </w:r>
    </w:p>
    <w:p>
      <w:pPr>
        <w:pStyle w:val="ListBullet"/>
      </w:pPr>
      <w:r>
        <w:t>Steam (kg) — steam consumed in the desorption phase</w:t>
      </w:r>
    </w:p>
    <w:p>
      <w:pPr>
        <w:jc w:val="both"/>
      </w:pPr>
      <w:r>
        <w:t>The cycle CSV does not include the liquefied CO₂ data. This is obtained separately from the weekly SCADA operating summary and entered manually by the operator alongside the liquefaction energy.</w:t>
      </w:r>
    </w:p>
    <w:p>
      <w:pPr>
        <w:pStyle w:val="Heading2"/>
      </w:pPr>
      <w:r>
        <w:t>Energy CSV</w:t>
      </w:r>
    </w:p>
    <w:p>
      <w:pPr>
        <w:jc w:val="both"/>
      </w:pPr>
      <w:r>
        <w:t>The energy CSV provides a granular breakdown of electrical consumption by equipment category, complementing the total kWh figure in the cycle CSV. The key columns are:</w:t>
      </w:r>
    </w:p>
    <w:p>
      <w:pPr>
        <w:pStyle w:val="ListBullet"/>
      </w:pPr>
      <w:r>
        <w:t>Boiler kWh — electrical energy consumed by the steam boiler</w:t>
      </w:r>
    </w:p>
    <w:p>
      <w:pPr>
        <w:pStyle w:val="ListBullet"/>
      </w:pPr>
      <w:r>
        <w:t>SRV/LRVP kWh — Steam Recovery Valve / Liquid Ring Vacuum Pump energy</w:t>
      </w:r>
    </w:p>
    <w:p>
      <w:pPr>
        <w:pStyle w:val="ListBullet"/>
      </w:pPr>
      <w:r>
        <w:t>CT kWh — cooling tower energy</w:t>
      </w:r>
    </w:p>
    <w:p>
      <w:pPr>
        <w:pStyle w:val="ListBullet"/>
      </w:pPr>
      <w:r>
        <w:t>Fan kWh (NM1–NM4) — individual fan/blower energy per module</w:t>
      </w:r>
    </w:p>
    <w:p>
      <w:pPr>
        <w:jc w:val="both"/>
      </w:pPr>
      <w:r>
        <w:t>The system merges cycle and energy data on import. If a total kWh figure is present but the component breakdown is missing or zero, the system estimates the split at 70% boiler / 30% auxiliary. Duplicate cycles are detected and rejected on import to prevent double-counting.</w:t>
      </w:r>
    </w:p>
    <w:p>
      <w:pPr>
        <w:pStyle w:val="Heading2"/>
      </w:pPr>
      <w:r>
        <w:t>Manual Entry and the Liquefied CO₂ Figure</w:t>
      </w:r>
    </w:p>
    <w:p>
      <w:pPr>
        <w:jc w:val="both"/>
      </w:pPr>
      <w:r>
        <w:t>The operator can choose to input any data manually through the data entry interface if the CSV option is unavailable or misbehaves. The liquefied CO₂ figure from the load cells is always entered manually, as it is not exported in the standard SCADA cycle CSV — it is read from the weekly SCADA summary report. The operator also enters the liquefaction energy (kWh) at the same time. These two values are stored against the selected ISO week and are used when calculating the weekly summary.</w:t>
      </w:r>
    </w:p>
    <w:p>
      <w:pPr>
        <w:pStyle w:val="Heading2"/>
      </w:pPr>
      <w:r>
        <w:t>Database</w:t>
      </w:r>
    </w:p>
    <w:p>
      <w:pPr>
        <w:jc w:val="both"/>
      </w:pPr>
      <w:r>
        <w:t>All data is stored in a PostgreSQL database. The core tables are:</w:t>
      </w:r>
    </w:p>
    <w:p>
      <w:pPr>
        <w:pStyle w:val="ListBullet"/>
      </w:pPr>
      <w:r>
        <w:t>cycle_data — raw per-cycle records (CO₂ at ADS/DES/BAG, energy by component, steam, module pair)</w:t>
      </w:r>
    </w:p>
    <w:p>
      <w:pPr>
        <w:pStyle w:val="ListBullet"/>
      </w:pPr>
      <w:r>
        <w:t>weekly_summary — aggregated weekly calculations (net removal, total emissions, losses, energy intensity)</w:t>
      </w:r>
    </w:p>
    <w:p>
      <w:pPr>
        <w:pStyle w:val="ListBullet"/>
      </w:pPr>
      <w:r>
        <w:t>embodied_infrastructure — LCA component data for infrastructure embodied emissions</w:t>
      </w:r>
    </w:p>
    <w:p>
      <w:pPr>
        <w:pStyle w:val="ListBullet"/>
      </w:pPr>
      <w:r>
        <w:t>system_config — configurable parameters (grid emission factor, geothermal EF, etc.)</w:t>
      </w:r>
    </w:p>
    <w:p>
      <w:pPr>
        <w:pStyle w:val="ListBullet"/>
      </w:pPr>
      <w:r>
        <w:t>audit_log — full audit trail of all data changes with timestamp and user</w:t>
      </w:r>
    </w:p>
    <w:p>
      <w:pPr>
        <w:jc w:val="both"/>
      </w:pPr>
      <w:r>
        <w:t>Weekly aggregation is performed by summing all cycle_data records where the cycle start_time falls within the ISO week's Monday-to-Sunday window. The weekly embodied figure is then applied as a fixed addition and the calculate_weekly_metrics function computes all derived values from the aggregated inputs.</w:t>
      </w:r>
    </w:p>
    <w:p>
      <w:pPr>
        <w:pStyle w:val="Heading1"/>
      </w:pPr>
      <w:r>
        <w:t>Data Visualisation and Reports</w:t>
      </w:r>
    </w:p>
    <w:p>
      <w:pPr>
        <w:jc w:val="both"/>
      </w:pPr>
      <w:r>
        <w:t>The system has a dynamic dashboard. The data is represented weekly and the dashboard is dynamic to a weekly level — the user selects the week they want and all charts update accordingly. The dashboard can also be filtered by module pair (1n3 or 2n4) to isolate performance for each pair independently.</w:t>
      </w:r>
    </w:p>
    <w:p>
      <w:pPr>
        <w:pStyle w:val="Heading2"/>
      </w:pPr>
      <w:r>
        <w:t>Dashboard</w:t>
      </w:r>
    </w:p>
    <w:p>
      <w:pPr>
        <w:jc w:val="both"/>
      </w:pPr>
      <w:r>
        <w:t>The dashboard contains the following components:</w:t>
      </w:r>
    </w:p>
    <w:p>
      <w:pPr>
        <w:pStyle w:val="ListBullet"/>
      </w:pPr>
      <w:r>
        <w:t>Weekly Performance Summary Cards — NET CO₂, CO₂ CAPTURED (LIQUEFIED), TOTAL EMISSIONS, and TOTAL LOSSES (ADS→LIQ), displayed as headline KPI cards.</w:t>
      </w:r>
    </w:p>
    <w:p>
      <w:pPr>
        <w:pStyle w:val="ListBullet"/>
      </w:pPr>
      <w:r>
        <w:t>CO₂ Flow Analysis — shows the CO₂ mass at each of the four monitoring points from ADS to LIQ, with inter-stage losses shown as both absolute kg values and efficiency percentages. Visualised as a waterfall/flow chart.</w:t>
      </w:r>
    </w:p>
    <w:p>
      <w:pPr>
        <w:pStyle w:val="ListBullet"/>
      </w:pPr>
      <w:r>
        <w:t>Carbon Balance Waterfall — steps through the carbon accounting equation from gross captured down through each emission deduction (embodied, thermal, auxiliary) to arrive at the net figure, making the contribution of each category immediately visible.</w:t>
      </w:r>
    </w:p>
    <w:p>
      <w:pPr>
        <w:pStyle w:val="ListBullet"/>
      </w:pPr>
      <w:r>
        <w:t>Energy Breakdown — weekly electrical consumption disaggregated by equipment category (boiler, fans, SRV/LRVP, cooling tower, liquefaction).</w:t>
      </w:r>
    </w:p>
    <w:p>
      <w:pPr>
        <w:pStyle w:val="ListBullet"/>
      </w:pPr>
      <w:r>
        <w:t>Energy Intensity — total energy consumed (kWh) per tonne of CO₂ captured, plotted as a trend over time. Calculated as: Energy Intensity = Total kWh ÷ (Gross Captured kg ÷ 1000).</w:t>
      </w:r>
    </w:p>
    <w:p>
      <w:pPr>
        <w:pStyle w:val="ListBullet"/>
      </w:pPr>
      <w:r>
        <w:t>CO₂ Losses Chart — visualises the losses at each stage of the process to identify where the most significant losses are occurring.</w:t>
      </w:r>
    </w:p>
    <w:p>
      <w:pPr>
        <w:pStyle w:val="Heading2"/>
      </w:pPr>
      <w:r>
        <w:t>Reports</w:t>
      </w:r>
    </w:p>
    <w:p>
      <w:pPr>
        <w:jc w:val="both"/>
      </w:pPr>
      <w:r>
        <w:t>Reports can be downloaded in CSV and Excel formats from the reports page. The available report types are:</w:t>
      </w:r>
    </w:p>
    <w:p>
      <w:pPr>
        <w:pStyle w:val="ListBullet"/>
      </w:pPr>
      <w:r>
        <w:t>Weekly Summaries — one row per week, containing CO₂ captured, each emission category, net removal, energy totals, energy intensity, and loss figures.</w:t>
      </w:r>
    </w:p>
    <w:p>
      <w:pPr>
        <w:pStyle w:val="ListBullet"/>
      </w:pPr>
      <w:r>
        <w:t>Cycle Data — full granular per-cycle records for the selected date range.</w:t>
      </w:r>
    </w:p>
    <w:p>
      <w:pPr>
        <w:pStyle w:val="ListBullet"/>
      </w:pPr>
      <w:r>
        <w:t>Module Pair Comparison — a side-by-side breakdown of performance for Module 1&amp;3 versus Module 2&amp;4. Includes per-pair CO₂ totals, stage efficiencies, energy per kg CO₂, average per-cycle figures, and the overall efficiency ratio between the two pairs. The pair contribution to total CO₂ captured is also reported as a percentage.</w:t>
      </w:r>
    </w:p>
    <w:p>
      <w:pPr>
        <w:pStyle w:val="Heading1"/>
      </w:pPr>
      <w:r>
        <w:t>Optimisation</w:t>
      </w:r>
    </w:p>
    <w:p>
      <w:pPr>
        <w:jc w:val="both"/>
      </w:pPr>
      <w:r>
        <w:t>The system has a simulations page with three tools: a geothermal scenario calculator, a historical what-if analysis, and a Monte Carlo simulation. These tools allow the team to model the carbon impact of operational changes and quantify uncertainty in the accounting figures.</w:t>
      </w:r>
    </w:p>
    <w:p>
      <w:pPr>
        <w:pStyle w:val="Heading2"/>
      </w:pPr>
      <w:r>
        <w:t>Geothermal Energy Scenario</w:t>
      </w:r>
    </w:p>
    <w:p>
      <w:pPr>
        <w:jc w:val="both"/>
      </w:pPr>
      <w:r>
        <w:t>The geothermal scenario models what happens to the carbon balance when the steam boiler — currently electrically powered from the grid — is replaced by a direct geothermal steam supply. The key change in the calculation is that the thermal emissions term is no longer Boiler kWh × Grid EF but instead Steam kg × Geothermal Steam EF:</w:t>
      </w:r>
    </w:p>
    <w:p>
      <w:pPr>
        <w:jc w:val="center"/>
      </w:pPr>
      <w:r>
        <w:rPr>
          <w:b/>
          <w:sz w:val="22"/>
        </w:rPr>
        <w:t>Current Thermal Emissions  = Boiler kWh × Grid EF  (0.049 kg CO₂/kWh)</w:t>
      </w:r>
    </w:p>
    <w:p>
      <w:pPr>
        <w:jc w:val="center"/>
      </w:pPr>
      <w:r>
        <w:rPr>
          <w:b/>
          <w:sz w:val="22"/>
        </w:rPr>
        <w:t>Geothermal Thermal Emissions = Steam kg × Geothermal Steam EF  (0.005 kg CO₂/kg steam)</w:t>
      </w:r>
    </w:p>
    <w:p>
      <w:pPr>
        <w:jc w:val="both"/>
      </w:pPr>
      <w:r>
        <w:t>Auxiliary emissions remain on the grid in both scenarios — only the thermal/steam component changes. The geothermal steam emission factor of 0.005 kg CO₂/kg steam is the default, reflecting the low fugitive non-condensable gas emissions from geothermal wells, and is configurable in the admin panel. The full scenario calculation is:</w:t>
      </w:r>
    </w:p>
    <w:p>
      <w:pPr>
        <w:jc w:val="center"/>
      </w:pPr>
      <w:r>
        <w:rPr>
          <w:b/>
          <w:sz w:val="22"/>
        </w:rPr>
        <w:t>Geo Operational = (Steam kg × Geo Steam EF) + (Auxiliary kWh × Grid EF)</w:t>
      </w:r>
    </w:p>
    <w:p>
      <w:pPr>
        <w:jc w:val="center"/>
      </w:pPr>
      <w:r>
        <w:rPr>
          <w:b/>
          <w:sz w:val="22"/>
        </w:rPr>
        <w:t>Geo Net = CO₂ Captured – (Geo Operational + Embodied)</w:t>
      </w:r>
    </w:p>
    <w:p>
      <w:pPr>
        <w:jc w:val="center"/>
      </w:pPr>
      <w:r>
        <w:rPr>
          <w:b/>
          <w:sz w:val="22"/>
        </w:rPr>
        <w:t>Improvement = Geo Net – Current Net</w:t>
      </w:r>
    </w:p>
    <w:p>
      <w:pPr>
        <w:jc w:val="both"/>
      </w:pPr>
      <w:r>
        <w:t>The historical what-if tab applies this recalculation to every week in the database and shows how many weeks would have been net positive under geothermal versus the current grid scenario, along with the total net improvement across all tracked weeks.</w:t>
      </w:r>
    </w:p>
    <w:p>
      <w:pPr>
        <w:pStyle w:val="Heading2"/>
      </w:pPr>
      <w:r>
        <w:t>Monte Carlo Uncertainty Analysis</w:t>
      </w:r>
    </w:p>
    <w:p>
      <w:pPr>
        <w:jc w:val="both"/>
      </w:pPr>
      <w:r>
        <w:t>The Monte Carlo simulation runs N iterations of the carbon accounting calculation, each time sampling the key input parameters from uniform distributions within user-defined min/max ranges. The sampled parameters are:</w:t>
      </w:r>
    </w:p>
    <w:p>
      <w:pPr>
        <w:pStyle w:val="ListBullet"/>
      </w:pPr>
      <w:r>
        <w:t>Boiler energy consumption (kWh) — min/max range</w:t>
      </w:r>
    </w:p>
    <w:p>
      <w:pPr>
        <w:pStyle w:val="ListBullet"/>
      </w:pPr>
      <w:r>
        <w:t>Auxiliary electrical energy (kWh) — min/max range</w:t>
      </w:r>
    </w:p>
    <w:p>
      <w:pPr>
        <w:pStyle w:val="ListBullet"/>
      </w:pPr>
      <w:r>
        <w:t>Steam consumed (kg) — min/max range for geothermal scenario</w:t>
      </w:r>
    </w:p>
    <w:p>
      <w:pPr>
        <w:pStyle w:val="ListBullet"/>
      </w:pPr>
      <w:r>
        <w:t>CO₂ collected (kg) — min/max range</w:t>
      </w:r>
    </w:p>
    <w:p>
      <w:pPr>
        <w:jc w:val="both"/>
      </w:pPr>
      <w:r>
        <w:t>For each iteration, the full geothermal scenario calculation is run using the sampled values, producing a distribution of net removal outcomes for both the current and geothermal scenarios. The outputs reported are:</w:t>
      </w:r>
    </w:p>
    <w:p>
      <w:pPr>
        <w:pStyle w:val="ListBullet"/>
      </w:pPr>
      <w:r>
        <w:t>Mean net removal (current and geothermal)</w:t>
      </w:r>
    </w:p>
    <w:p>
      <w:pPr>
        <w:pStyle w:val="ListBullet"/>
      </w:pPr>
      <w:r>
        <w:t>Standard deviation of net removal</w:t>
      </w:r>
    </w:p>
    <w:p>
      <w:pPr>
        <w:pStyle w:val="ListBullet"/>
      </w:pPr>
      <w:r>
        <w:t>Percentage of simulations where the plant is net positive</w:t>
      </w:r>
    </w:p>
    <w:p>
      <w:pPr>
        <w:pStyle w:val="ListBullet"/>
      </w:pPr>
      <w:r>
        <w:t>Min/max/mean net improvement from geothermal substitution</w:t>
      </w:r>
    </w:p>
    <w:p>
      <w:pPr>
        <w:jc w:val="both"/>
      </w:pPr>
      <w:r>
        <w:t>Results are visualised as overlapping histograms and box plots for both scenarios, with a break-even line at zero. This provides the probability bounds needed for defensible carbon credit claims under verification standards.</w:t>
      </w:r>
    </w:p>
    <w:p>
      <w:pPr>
        <w:pStyle w:val="Heading1"/>
      </w:pPr>
      <w:r>
        <w:t>System and Access</w:t>
      </w:r>
    </w:p>
    <w:p>
      <w:pPr>
        <w:jc w:val="both"/>
      </w:pPr>
      <w:r>
        <w:t>The CAS is a multi-page Streamlit web application backed by a PostgreSQL database. It is accessible via browser and requires authentication. Two user roles are defined: User (view-only access to dashboard, reports, and simulations) and Administrator (full access including data import, system configuration, and user management).</w:t>
      </w:r>
    </w:p>
    <w:p>
      <w:pPr>
        <w:jc w:val="both"/>
      </w:pPr>
      <w:r>
        <w:t>System configuration parameters — including the grid emission factor, geothermal steam EF, and other constants — are stored in the system_config table and are editable by an administrator through the admin panel. All changes are recorded in the audit log with a timestamp and the username of the user who made the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