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1AD1C" w14:textId="77777777" w:rsidR="00540EF5" w:rsidRPr="00540EF5" w:rsidRDefault="00540EF5" w:rsidP="00540EF5">
      <w:pPr>
        <w:widowControl/>
        <w:spacing w:before="480" w:after="240" w:line="480" w:lineRule="atLeast"/>
        <w:outlineLvl w:val="1"/>
        <w:rPr>
          <w:rFonts w:ascii="Segoe UI" w:eastAsia="新細明體" w:hAnsi="Segoe UI" w:cs="Segoe UI"/>
          <w:b/>
          <w:bCs/>
          <w:kern w:val="0"/>
          <w:sz w:val="33"/>
          <w:szCs w:val="33"/>
        </w:rPr>
      </w:pPr>
      <w:r w:rsidRPr="00540EF5">
        <w:rPr>
          <w:rFonts w:ascii="Segoe UI" w:eastAsia="新細明體" w:hAnsi="Segoe UI" w:cs="Segoe UI"/>
          <w:b/>
          <w:bCs/>
          <w:kern w:val="0"/>
          <w:sz w:val="33"/>
          <w:szCs w:val="33"/>
        </w:rPr>
        <w:t>問題</w:t>
      </w:r>
      <w:r w:rsidRPr="00540EF5">
        <w:rPr>
          <w:rFonts w:ascii="Segoe UI" w:eastAsia="新細明體" w:hAnsi="Segoe UI" w:cs="Segoe UI"/>
          <w:b/>
          <w:bCs/>
          <w:kern w:val="0"/>
          <w:sz w:val="33"/>
          <w:szCs w:val="33"/>
        </w:rPr>
        <w:t xml:space="preserve"> 2</w:t>
      </w:r>
      <w:r w:rsidRPr="00540EF5">
        <w:rPr>
          <w:rFonts w:ascii="Segoe UI" w:eastAsia="新細明體" w:hAnsi="Segoe UI" w:cs="Segoe UI"/>
          <w:b/>
          <w:bCs/>
          <w:kern w:val="0"/>
          <w:sz w:val="33"/>
          <w:szCs w:val="33"/>
        </w:rPr>
        <w:t>：向前和向後</w:t>
      </w:r>
      <w:r w:rsidRPr="00540EF5">
        <w:rPr>
          <w:rFonts w:ascii="Segoe UI" w:eastAsia="新細明體" w:hAnsi="Segoe UI" w:cs="Segoe UI"/>
          <w:b/>
          <w:bCs/>
          <w:kern w:val="0"/>
          <w:sz w:val="33"/>
          <w:szCs w:val="33"/>
        </w:rPr>
        <w:t xml:space="preserve"> Euler </w:t>
      </w:r>
      <w:r w:rsidRPr="00540EF5">
        <w:rPr>
          <w:rFonts w:ascii="Segoe UI" w:eastAsia="新細明體" w:hAnsi="Segoe UI" w:cs="Segoe UI"/>
          <w:b/>
          <w:bCs/>
          <w:kern w:val="0"/>
          <w:sz w:val="33"/>
          <w:szCs w:val="33"/>
        </w:rPr>
        <w:t>方法求解線性</w:t>
      </w:r>
      <w:r w:rsidRPr="00540EF5">
        <w:rPr>
          <w:rFonts w:ascii="Segoe UI" w:eastAsia="新細明體" w:hAnsi="Segoe UI" w:cs="Segoe UI"/>
          <w:b/>
          <w:bCs/>
          <w:kern w:val="0"/>
          <w:sz w:val="33"/>
          <w:szCs w:val="33"/>
        </w:rPr>
        <w:t xml:space="preserve"> ODE</w:t>
      </w:r>
    </w:p>
    <w:p w14:paraId="7DFADDBD" w14:textId="77777777" w:rsidR="00540EF5" w:rsidRPr="00540EF5" w:rsidRDefault="00540EF5" w:rsidP="00540EF5">
      <w:pPr>
        <w:widowControl/>
        <w:spacing w:before="480" w:after="240" w:line="450" w:lineRule="atLeast"/>
        <w:outlineLvl w:val="2"/>
        <w:rPr>
          <w:rFonts w:ascii="Segoe UI" w:eastAsia="新細明體" w:hAnsi="Segoe UI" w:cs="Segoe UI"/>
          <w:b/>
          <w:bCs/>
          <w:kern w:val="0"/>
          <w:sz w:val="30"/>
          <w:szCs w:val="30"/>
        </w:rPr>
      </w:pP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 xml:space="preserve">2.1 </w:t>
      </w: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>問題描述</w:t>
      </w:r>
    </w:p>
    <w:p w14:paraId="1C19A24F" w14:textId="77777777" w:rsidR="00540EF5" w:rsidRPr="00540EF5" w:rsidRDefault="00540EF5" w:rsidP="00540EF5">
      <w:pPr>
        <w:widowControl/>
        <w:spacing w:before="240" w:after="240"/>
        <w:rPr>
          <w:rFonts w:ascii="新細明體" w:eastAsia="新細明體" w:hAnsi="新細明體" w:cs="新細明體"/>
          <w:kern w:val="0"/>
          <w:szCs w:val="24"/>
        </w:rPr>
      </w:pPr>
      <w:r w:rsidRPr="00540EF5">
        <w:rPr>
          <w:rFonts w:ascii="新細明體" w:eastAsia="新細明體" w:hAnsi="新細明體" w:cs="新細明體"/>
          <w:kern w:val="0"/>
          <w:szCs w:val="24"/>
        </w:rPr>
        <w:t>求解線性常微分方程：</w:t>
      </w:r>
    </w:p>
    <w:p w14:paraId="1E7473EA" w14:textId="5BD86E7F" w:rsidR="00540EF5" w:rsidRPr="00540EF5" w:rsidRDefault="00540EF5" w:rsidP="00540EF5">
      <w:pPr>
        <w:widowControl/>
        <w:rPr>
          <w:rFonts w:ascii="Consolas" w:hAnsi="Consolas"/>
          <w:color w:val="50A14F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  <w:bdr w:val="none" w:sz="0" w:space="0" w:color="auto" w:frame="1"/>
            </w:rPr>
            <m:t>y'(t)=λy(t)+r(t),y(0)=</m:t>
          </m:r>
          <m:sSub>
            <m:sSubPr>
              <m:ctrl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  <w:bdr w:val="none" w:sz="0" w:space="0" w:color="auto" w:frame="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  <w:bdr w:val="none" w:sz="0" w:space="0" w:color="auto" w:frame="1"/>
                </w:rPr>
                <m:t>y</m:t>
              </m:r>
            </m:e>
            <m:sub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  <w:bdr w:val="none" w:sz="0" w:space="0" w:color="auto" w:frame="1"/>
                </w:rPr>
                <m:t>0</m:t>
              </m:r>
            </m:sub>
          </m:sSub>
        </m:oMath>
      </m:oMathPara>
    </w:p>
    <w:p w14:paraId="748F88DC" w14:textId="77777777" w:rsidR="00540EF5" w:rsidRPr="00540EF5" w:rsidRDefault="00540EF5" w:rsidP="00540EF5">
      <w:pPr>
        <w:widowControl/>
        <w:spacing w:before="240" w:after="240"/>
        <w:rPr>
          <w:rFonts w:ascii="新細明體" w:eastAsia="新細明體" w:hAnsi="新細明體" w:cs="新細明體"/>
          <w:kern w:val="0"/>
          <w:szCs w:val="24"/>
        </w:rPr>
      </w:pPr>
      <w:r w:rsidRPr="00540EF5">
        <w:rPr>
          <w:rFonts w:ascii="新細明體" w:eastAsia="新細明體" w:hAnsi="新細明體" w:cs="新細明體"/>
          <w:kern w:val="0"/>
          <w:szCs w:val="24"/>
        </w:rPr>
        <w:t>其中：</w:t>
      </w:r>
    </w:p>
    <w:p w14:paraId="41824A3F" w14:textId="798B7DC5" w:rsidR="00540EF5" w:rsidRPr="00540EF5" w:rsidRDefault="00540EF5" w:rsidP="00540EF5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kern w:val="0"/>
          <w:szCs w:val="24"/>
        </w:rPr>
      </w:pPr>
      <m:oMath>
        <m:r>
          <m:rPr>
            <m:sty m:val="p"/>
          </m:rPr>
          <w:rPr>
            <w:rFonts w:ascii="Cambria Math" w:eastAsia="新細明體" w:hAnsi="Cambria Math" w:cs="Times New Roman"/>
            <w:kern w:val="0"/>
            <w:sz w:val="29"/>
            <w:szCs w:val="29"/>
            <w:bdr w:val="none" w:sz="0" w:space="0" w:color="auto" w:frame="1"/>
          </w:rPr>
          <m:t>λ=-10</m:t>
        </m:r>
      </m:oMath>
    </w:p>
    <w:p w14:paraId="14C3AA5C" w14:textId="77777777" w:rsidR="00540EF5" w:rsidRPr="00540EF5" w:rsidRDefault="00540EF5" w:rsidP="009C2596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kern w:val="0"/>
          <w:szCs w:val="24"/>
        </w:rPr>
      </w:pPr>
      <m:oMath>
        <m:r>
          <m:rPr>
            <m:sty m:val="p"/>
          </m:rPr>
          <w:rPr>
            <w:rFonts w:ascii="Cambria Math" w:eastAsia="新細明體" w:hAnsi="Cambria Math" w:cs="Times New Roman"/>
            <w:kern w:val="0"/>
            <w:sz w:val="29"/>
            <w:szCs w:val="29"/>
            <w:bdr w:val="none" w:sz="0" w:space="0" w:color="auto" w:frame="1"/>
          </w:rPr>
          <m:t>r</m:t>
        </m:r>
        <m:d>
          <m:dPr>
            <m:ctrlPr>
              <w:rPr>
                <w:rFonts w:ascii="Cambria Math" w:eastAsia="新細明體" w:hAnsi="Cambria Math" w:cs="Times New Roman"/>
                <w:kern w:val="0"/>
                <w:sz w:val="29"/>
                <w:szCs w:val="29"/>
                <w:bdr w:val="none" w:sz="0" w:space="0" w:color="auto" w:frame="1"/>
              </w:rPr>
            </m:ctrlPr>
          </m:dPr>
          <m:e>
            <m:r>
              <m:rPr>
                <m:sty m:val="p"/>
              </m:rPr>
              <w:rPr>
                <w:rFonts w:ascii="Cambria Math" w:eastAsia="新細明體" w:hAnsi="Cambria Math" w:cs="Times New Roman"/>
                <w:kern w:val="0"/>
                <w:sz w:val="29"/>
                <w:szCs w:val="29"/>
                <w:bdr w:val="none" w:sz="0" w:space="0" w:color="auto" w:frame="1"/>
              </w:rPr>
              <m:t>t</m:t>
            </m:r>
          </m:e>
        </m:d>
        <m:r>
          <m:rPr>
            <m:sty m:val="p"/>
          </m:rPr>
          <w:rPr>
            <w:rFonts w:ascii="Cambria Math" w:eastAsia="新細明體" w:hAnsi="Cambria Math" w:cs="Times New Roman"/>
            <w:kern w:val="0"/>
            <w:sz w:val="29"/>
            <w:szCs w:val="29"/>
            <w:bdr w:val="none" w:sz="0" w:space="0" w:color="auto" w:frame="1"/>
          </w:rPr>
          <m:t>=</m:t>
        </m:r>
        <m:func>
          <m:funcPr>
            <m:ctrlPr>
              <w:rPr>
                <w:rFonts w:ascii="Cambria Math" w:eastAsia="新細明體" w:hAnsi="Cambria Math" w:cs="Times New Roman"/>
                <w:kern w:val="0"/>
                <w:sz w:val="29"/>
                <w:szCs w:val="29"/>
                <w:bdr w:val="none" w:sz="0" w:space="0" w:color="auto" w:frame="1"/>
              </w:rPr>
            </m:ctrlPr>
          </m:funcPr>
          <m:fName>
            <m:r>
              <m:rPr>
                <m:sty m:val="p"/>
              </m:rPr>
              <w:rPr>
                <w:rFonts w:ascii="Cambria Math" w:eastAsia="新細明體" w:hAnsi="Cambria Math" w:cs="Times New Roman"/>
                <w:kern w:val="0"/>
                <w:sz w:val="29"/>
                <w:szCs w:val="29"/>
                <w:bdr w:val="none" w:sz="0" w:space="0" w:color="auto" w:frame="1"/>
              </w:rPr>
              <m:t>sin</m:t>
            </m:r>
          </m:fName>
          <m:e>
            <m:d>
              <m:dPr>
                <m:ctrlPr>
                  <w:rPr>
                    <w:rFonts w:ascii="Cambria Math" w:eastAsia="新細明體" w:hAnsi="Cambria Math" w:cs="Times New Roman"/>
                    <w:kern w:val="0"/>
                    <w:sz w:val="29"/>
                    <w:szCs w:val="29"/>
                  </w:rPr>
                </m:ctrlPr>
              </m:dPr>
              <m:e>
                <m:r>
                  <w:rPr>
                    <w:rFonts w:ascii="Cambria Math" w:eastAsia="新細明體" w:hAnsi="Cambria Math" w:cs="Times New Roman"/>
                    <w:kern w:val="0"/>
                    <w:sz w:val="29"/>
                    <w:szCs w:val="29"/>
                  </w:rPr>
                  <m:t>t</m:t>
                </m:r>
              </m:e>
            </m:d>
          </m:e>
        </m:func>
      </m:oMath>
    </w:p>
    <w:p w14:paraId="15BBBDCC" w14:textId="316B4DA9" w:rsidR="00540EF5" w:rsidRPr="00540EF5" w:rsidRDefault="00540EF5" w:rsidP="009C2596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kern w:val="0"/>
          <w:szCs w:val="24"/>
        </w:rPr>
      </w:pPr>
      <w:r w:rsidRPr="00540EF5">
        <w:rPr>
          <w:rFonts w:ascii="KaTeX_Math" w:eastAsia="新細明體" w:hAnsi="KaTeX_Math" w:cs="Times New Roman"/>
          <w:i/>
          <w:iCs/>
          <w:kern w:val="0"/>
          <w:sz w:val="29"/>
          <w:szCs w:val="29"/>
        </w:rPr>
        <w:t>y</w:t>
      </w:r>
      <w:r w:rsidRPr="00540EF5">
        <w:rPr>
          <w:rFonts w:ascii="Times New Roman" w:eastAsia="新細明體" w:hAnsi="Times New Roman" w:cs="Times New Roman"/>
          <w:kern w:val="0"/>
          <w:sz w:val="20"/>
          <w:szCs w:val="20"/>
        </w:rPr>
        <w:t>0</w:t>
      </w:r>
      <w:r w:rsidRPr="00540EF5">
        <w:rPr>
          <w:rFonts w:ascii="Times New Roman" w:eastAsia="新細明體" w:hAnsi="Times New Roman" w:cs="Times New Roman"/>
          <w:kern w:val="0"/>
          <w:sz w:val="2"/>
          <w:szCs w:val="2"/>
        </w:rPr>
        <w:t>​</w:t>
      </w:r>
      <w:r w:rsidRPr="00540EF5">
        <w:rPr>
          <w:rFonts w:ascii="Times New Roman" w:eastAsia="新細明體" w:hAnsi="Times New Roman" w:cs="Times New Roman"/>
          <w:kern w:val="0"/>
          <w:sz w:val="29"/>
          <w:szCs w:val="29"/>
        </w:rPr>
        <w:t>=1</w:t>
      </w:r>
    </w:p>
    <w:p w14:paraId="5E6D0AE8" w14:textId="7DB56EA7" w:rsidR="00540EF5" w:rsidRPr="00540EF5" w:rsidRDefault="00540EF5" w:rsidP="00540EF5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kern w:val="0"/>
          <w:szCs w:val="24"/>
        </w:rPr>
      </w:pPr>
      <w:r w:rsidRPr="00540EF5">
        <w:rPr>
          <w:rFonts w:ascii="KaTeX_Math" w:eastAsia="新細明體" w:hAnsi="KaTeX_Math" w:cs="Times New Roman"/>
          <w:i/>
          <w:iCs/>
          <w:kern w:val="0"/>
          <w:sz w:val="29"/>
          <w:szCs w:val="29"/>
        </w:rPr>
        <w:t>t</w:t>
      </w:r>
      <w:proofErr w:type="gramStart"/>
      <w:r w:rsidRPr="00540EF5">
        <w:rPr>
          <w:rFonts w:ascii="Cambria Math" w:eastAsia="新細明體" w:hAnsi="Cambria Math" w:cs="Cambria Math"/>
          <w:kern w:val="0"/>
          <w:sz w:val="29"/>
          <w:szCs w:val="29"/>
        </w:rPr>
        <w:t>∈</w:t>
      </w:r>
      <w:r w:rsidRPr="00540EF5">
        <w:rPr>
          <w:rFonts w:ascii="Times New Roman" w:eastAsia="新細明體" w:hAnsi="Times New Roman" w:cs="Times New Roman"/>
          <w:kern w:val="0"/>
          <w:sz w:val="29"/>
          <w:szCs w:val="29"/>
        </w:rPr>
        <w:t>[</w:t>
      </w:r>
      <w:proofErr w:type="gramEnd"/>
      <w:r w:rsidRPr="00540EF5">
        <w:rPr>
          <w:rFonts w:ascii="Times New Roman" w:eastAsia="新細明體" w:hAnsi="Times New Roman" w:cs="Times New Roman"/>
          <w:kern w:val="0"/>
          <w:sz w:val="29"/>
          <w:szCs w:val="29"/>
        </w:rPr>
        <w:t>0,5]</w:t>
      </w:r>
    </w:p>
    <w:p w14:paraId="18485148" w14:textId="77777777" w:rsidR="00540EF5" w:rsidRPr="00540EF5" w:rsidRDefault="00540EF5" w:rsidP="00540EF5">
      <w:pPr>
        <w:widowControl/>
        <w:spacing w:before="480" w:after="240" w:line="450" w:lineRule="atLeast"/>
        <w:outlineLvl w:val="2"/>
        <w:rPr>
          <w:rFonts w:ascii="Segoe UI" w:eastAsia="新細明體" w:hAnsi="Segoe UI" w:cs="Segoe UI"/>
          <w:b/>
          <w:bCs/>
          <w:kern w:val="0"/>
          <w:sz w:val="30"/>
          <w:szCs w:val="30"/>
        </w:rPr>
      </w:pP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 xml:space="preserve">2.2 </w:t>
      </w: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>方法比較</w:t>
      </w:r>
    </w:p>
    <w:p w14:paraId="2962F952" w14:textId="77777777" w:rsidR="00540EF5" w:rsidRPr="00540EF5" w:rsidRDefault="00540EF5" w:rsidP="00540EF5">
      <w:pPr>
        <w:widowControl/>
        <w:spacing w:before="240" w:after="240" w:line="420" w:lineRule="atLeast"/>
        <w:outlineLvl w:val="3"/>
        <w:rPr>
          <w:rFonts w:ascii="Segoe UI" w:eastAsia="新細明體" w:hAnsi="Segoe UI" w:cs="Segoe UI"/>
          <w:b/>
          <w:bCs/>
          <w:kern w:val="0"/>
          <w:szCs w:val="24"/>
        </w:rPr>
      </w:pP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向前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 xml:space="preserve"> Euler 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方法（顯式）：</w:t>
      </w:r>
    </w:p>
    <w:p w14:paraId="5503812D" w14:textId="39DBDF04" w:rsidR="00540EF5" w:rsidRPr="00540EF5" w:rsidRDefault="00540EF5" w:rsidP="00540EF5">
      <w:pPr>
        <w:widowControl/>
        <w:rPr>
          <w:rFonts w:ascii="新細明體" w:eastAsia="新細明體" w:hAnsi="新細明體" w:cs="新細明體"/>
          <w:kern w:val="0"/>
          <w:szCs w:val="24"/>
        </w:rPr>
      </w:pPr>
      <m:oMathPara>
        <m:oMath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y</m:t>
          </m:r>
          <m: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+1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"/>
              <w:szCs w:val="2"/>
            </w:rPr>
            <m:t>​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=</m:t>
          </m:r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y</m:t>
          </m:r>
          <m: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"/>
              <w:szCs w:val="2"/>
            </w:rPr>
            <m:t>​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+Δ</m:t>
          </m:r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t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(</m:t>
          </m:r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λy</m:t>
          </m:r>
          <m: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"/>
              <w:szCs w:val="2"/>
            </w:rPr>
            <m:t>​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+</m:t>
          </m:r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r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(</m:t>
          </m:r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t</m:t>
          </m:r>
          <m: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"/>
              <w:szCs w:val="2"/>
            </w:rPr>
            <m:t>​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))</m:t>
          </m:r>
        </m:oMath>
      </m:oMathPara>
    </w:p>
    <w:p w14:paraId="027F72A5" w14:textId="77777777" w:rsidR="00540EF5" w:rsidRPr="00540EF5" w:rsidRDefault="00540EF5" w:rsidP="00540EF5">
      <w:pPr>
        <w:widowControl/>
        <w:spacing w:before="240" w:after="240" w:line="420" w:lineRule="atLeast"/>
        <w:outlineLvl w:val="3"/>
        <w:rPr>
          <w:rFonts w:ascii="Segoe UI" w:eastAsia="新細明體" w:hAnsi="Segoe UI" w:cs="Segoe UI"/>
          <w:b/>
          <w:bCs/>
          <w:kern w:val="0"/>
          <w:szCs w:val="24"/>
        </w:rPr>
      </w:pP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向後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 xml:space="preserve"> Euler 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方法（隱式，線性情況下可顯式求解）：</w:t>
      </w:r>
    </w:p>
    <w:p w14:paraId="6E5DC881" w14:textId="36174276" w:rsidR="00540EF5" w:rsidRPr="00540EF5" w:rsidRDefault="00540EF5" w:rsidP="00540EF5">
      <w:pPr>
        <w:widowControl/>
        <w:rPr>
          <w:rFonts w:ascii="新細明體" w:eastAsia="新細明體" w:hAnsi="新細明體" w:cs="新細明體"/>
          <w:kern w:val="0"/>
          <w:szCs w:val="24"/>
        </w:rPr>
      </w:pPr>
      <m:oMathPara>
        <m:oMath>
          <m: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y</m:t>
          </m:r>
          <m: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0"/>
              <w:szCs w:val="20"/>
            </w:rPr>
            <m:t>+1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"/>
              <w:szCs w:val="2"/>
            </w:rPr>
            <m:t>​</m:t>
          </m:r>
          <m:r>
            <m:rPr>
              <m:sty m:val="p"/>
            </m:rPr>
            <w:rPr>
              <w:rFonts w:ascii="Cambria Math" w:eastAsia="新細明體" w:hAnsi="Cambria Math" w:cs="Times New Roman"/>
              <w:kern w:val="0"/>
              <w:sz w:val="29"/>
              <w:szCs w:val="29"/>
            </w:rPr>
            <m:t>=</m:t>
          </m:r>
          <m:f>
            <m:fPr>
              <m:ctrlPr>
                <w:rPr>
                  <w:rFonts w:ascii="Cambria Math" w:eastAsia="新細明體" w:hAnsi="Cambria Math" w:cs="Times New Roman"/>
                  <w:i/>
                  <w:iCs/>
                  <w:kern w:val="0"/>
                  <w:sz w:val="29"/>
                  <w:szCs w:val="29"/>
                </w:rPr>
              </m:ctrlPr>
            </m:fPr>
            <m:num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y</m:t>
              </m:r>
              <m:r>
                <w:rPr>
                  <w:rFonts w:ascii="Cambria Math" w:eastAsia="新細明體" w:hAnsi="Cambria Math" w:cs="Times New Roman"/>
                  <w:kern w:val="0"/>
                  <w:sz w:val="20"/>
                  <w:szCs w:val="20"/>
                </w:rPr>
                <m:t>n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+Δ</m:t>
              </m:r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t</m:t>
              </m:r>
              <m:r>
                <m:rPr>
                  <m:sty m:val="p"/>
                </m:rPr>
                <w:rPr>
                  <w:rFonts w:ascii="Cambria Math" w:eastAsia="MS Mincho" w:hAnsi="Cambria Math" w:cs="MS Mincho" w:hint="eastAsia"/>
                  <w:kern w:val="0"/>
                  <w:sz w:val="29"/>
                  <w:szCs w:val="29"/>
                </w:rPr>
                <m:t>⋅</m:t>
              </m:r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r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(</m:t>
              </m:r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t</m:t>
              </m:r>
              <m:r>
                <w:rPr>
                  <w:rFonts w:ascii="Cambria Math" w:eastAsia="新細明體" w:hAnsi="Cambria Math" w:cs="Times New Roman"/>
                  <w:kern w:val="0"/>
                  <w:sz w:val="20"/>
                  <w:szCs w:val="20"/>
                </w:rPr>
                <m:t>n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0"/>
                  <w:szCs w:val="20"/>
                </w:rPr>
                <m:t>+1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)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"/>
                  <w:szCs w:val="2"/>
                </w:rPr>
                <m:t>​</m:t>
              </m:r>
            </m:num>
            <m:den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1-</m:t>
              </m:r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λ</m:t>
              </m:r>
              <m:r>
                <m:rPr>
                  <m:sty m:val="p"/>
                </m:rP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Δ</m:t>
              </m:r>
              <m:r>
                <w:rPr>
                  <w:rFonts w:ascii="Cambria Math" w:eastAsia="新細明體" w:hAnsi="Cambria Math" w:cs="Times New Roman"/>
                  <w:kern w:val="0"/>
                  <w:sz w:val="29"/>
                  <w:szCs w:val="29"/>
                </w:rPr>
                <m:t>t</m:t>
              </m:r>
            </m:den>
          </m:f>
        </m:oMath>
      </m:oMathPara>
    </w:p>
    <w:p w14:paraId="1EE1EF49" w14:textId="77777777" w:rsidR="00540EF5" w:rsidRPr="00540EF5" w:rsidRDefault="00540EF5" w:rsidP="00540EF5">
      <w:pPr>
        <w:widowControl/>
        <w:spacing w:before="480" w:after="240" w:line="450" w:lineRule="atLeast"/>
        <w:outlineLvl w:val="2"/>
        <w:rPr>
          <w:rFonts w:ascii="Segoe UI" w:eastAsia="新細明體" w:hAnsi="Segoe UI" w:cs="Segoe UI"/>
          <w:b/>
          <w:bCs/>
          <w:kern w:val="0"/>
          <w:sz w:val="30"/>
          <w:szCs w:val="30"/>
        </w:rPr>
      </w:pP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 xml:space="preserve">2.3 </w:t>
      </w: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>結果分析</w:t>
      </w:r>
    </w:p>
    <w:p w14:paraId="5CA575A5" w14:textId="77777777" w:rsidR="00540EF5" w:rsidRPr="00540EF5" w:rsidRDefault="00540EF5" w:rsidP="00540EF5">
      <w:pPr>
        <w:widowControl/>
        <w:spacing w:before="240" w:after="240"/>
        <w:rPr>
          <w:rFonts w:ascii="新細明體" w:eastAsia="新細明體" w:hAnsi="新細明體" w:cs="新細明體"/>
          <w:kern w:val="0"/>
          <w:szCs w:val="24"/>
        </w:rPr>
      </w:pPr>
      <w:r w:rsidRPr="00540EF5">
        <w:rPr>
          <w:rFonts w:ascii="新細明體" w:eastAsia="新細明體" w:hAnsi="新細明體" w:cs="新細明體"/>
          <w:kern w:val="0"/>
          <w:szCs w:val="24"/>
        </w:rPr>
        <w:t>使用不同步長 </w:t>
      </w:r>
      <w:proofErr w:type="spellStart"/>
      <w:r w:rsidRPr="00540EF5">
        <w:rPr>
          <w:rFonts w:ascii="Times New Roman" w:eastAsia="新細明體" w:hAnsi="Times New Roman" w:cs="Times New Roman"/>
          <w:kern w:val="0"/>
          <w:sz w:val="29"/>
          <w:szCs w:val="29"/>
          <w:bdr w:val="none" w:sz="0" w:space="0" w:color="auto" w:frame="1"/>
        </w:rPr>
        <w:t>Δt</w:t>
      </w:r>
      <w:r w:rsidRPr="00540EF5">
        <w:rPr>
          <w:rFonts w:ascii="Times New Roman" w:eastAsia="新細明體" w:hAnsi="Times New Roman" w:cs="Times New Roman"/>
          <w:kern w:val="0"/>
          <w:sz w:val="29"/>
          <w:szCs w:val="29"/>
        </w:rPr>
        <w:t>Δ</w:t>
      </w:r>
      <w:r w:rsidRPr="00540EF5">
        <w:rPr>
          <w:rFonts w:ascii="KaTeX_Math" w:eastAsia="新細明體" w:hAnsi="KaTeX_Math" w:cs="Times New Roman"/>
          <w:i/>
          <w:iCs/>
          <w:kern w:val="0"/>
          <w:sz w:val="29"/>
          <w:szCs w:val="29"/>
        </w:rPr>
        <w:t>t</w:t>
      </w:r>
      <w:proofErr w:type="spellEnd"/>
      <w:r w:rsidRPr="00540EF5">
        <w:rPr>
          <w:rFonts w:ascii="新細明體" w:eastAsia="新細明體" w:hAnsi="新細明體" w:cs="新細明體"/>
          <w:kern w:val="0"/>
          <w:szCs w:val="24"/>
        </w:rPr>
        <w:t> 進行測試：</w:t>
      </w:r>
    </w:p>
    <w:p w14:paraId="529F28A3" w14:textId="1E4643EB" w:rsidR="00540EF5" w:rsidRPr="00540EF5" w:rsidRDefault="00540EF5" w:rsidP="00540EF5">
      <w:pPr>
        <w:widowControl/>
        <w:spacing w:before="240" w:after="240" w:line="420" w:lineRule="atLeast"/>
        <w:outlineLvl w:val="3"/>
        <w:rPr>
          <w:rFonts w:ascii="Segoe UI" w:eastAsia="新細明體" w:hAnsi="Segoe UI" w:cs="Segoe UI" w:hint="eastAsia"/>
          <w:b/>
          <w:bCs/>
          <w:kern w:val="0"/>
          <w:szCs w:val="24"/>
        </w:rPr>
      </w:pP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數值解在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 </w:t>
      </w:r>
      <w:r w:rsidRPr="00540EF5">
        <w:rPr>
          <w:rFonts w:ascii="KaTeX_Math" w:eastAsia="新細明體" w:hAnsi="KaTeX_Math" w:cs="Times New Roman"/>
          <w:b/>
          <w:bCs/>
          <w:i/>
          <w:iCs/>
          <w:kern w:val="0"/>
          <w:sz w:val="29"/>
          <w:szCs w:val="29"/>
        </w:rPr>
        <w:t>t</w:t>
      </w:r>
      <w:r w:rsidRPr="00540EF5">
        <w:rPr>
          <w:rFonts w:ascii="Times New Roman" w:eastAsia="新細明體" w:hAnsi="Times New Roman" w:cs="Times New Roman"/>
          <w:b/>
          <w:bCs/>
          <w:kern w:val="0"/>
          <w:sz w:val="29"/>
          <w:szCs w:val="29"/>
        </w:rPr>
        <w:t>=5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 </w:t>
      </w:r>
      <w:r w:rsidRPr="00540EF5">
        <w:rPr>
          <w:rFonts w:ascii="Segoe UI" w:eastAsia="新細明體" w:hAnsi="Segoe UI" w:cs="Segoe UI"/>
          <w:b/>
          <w:bCs/>
          <w:kern w:val="0"/>
          <w:szCs w:val="24"/>
        </w:rPr>
        <w:t>的比較：</w:t>
      </w:r>
    </w:p>
    <w:p w14:paraId="0F543EEF" w14:textId="43701B4A" w:rsidR="00171985" w:rsidRDefault="00D43A95">
      <w:r w:rsidRPr="00D43A95">
        <w:rPr>
          <w:rFonts w:ascii="Consolas" w:eastAsia="新細明體" w:hAnsi="Consolas" w:cs="Segoe UI"/>
          <w:color w:val="0F1115"/>
          <w:kern w:val="0"/>
          <w:sz w:val="18"/>
          <w:szCs w:val="18"/>
        </w:rPr>
        <w:lastRenderedPageBreak/>
        <w:drawing>
          <wp:inline distT="0" distB="0" distL="0" distR="0" wp14:anchorId="3ED3BBD3" wp14:editId="5BD9749A">
            <wp:extent cx="2486372" cy="1438476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4738" w14:textId="77777777" w:rsidR="00D43A95" w:rsidRDefault="00D43A95" w:rsidP="00D43A95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誤差分析</w:t>
      </w:r>
      <w:r>
        <w:rPr>
          <w:rFonts w:ascii="Segoe UI" w:hAnsi="Segoe UI" w:cs="Segoe UI"/>
          <w:color w:val="0F1115"/>
        </w:rPr>
        <w:t>：</w:t>
      </w:r>
    </w:p>
    <w:p w14:paraId="1D6D170C" w14:textId="77777777" w:rsidR="00D43A95" w:rsidRDefault="00D43A95" w:rsidP="00D43A9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相同步長下的精度</w:t>
      </w:r>
      <w:r>
        <w:rPr>
          <w:rFonts w:ascii="Segoe UI" w:hAnsi="Segoe UI" w:cs="Segoe UI"/>
          <w:color w:val="0F1115"/>
        </w:rPr>
        <w:t>：兩種方法的誤差量級相同</w:t>
      </w:r>
      <w:proofErr w:type="gramStart"/>
      <w:r>
        <w:rPr>
          <w:rFonts w:ascii="Segoe UI" w:hAnsi="Segoe UI" w:cs="Segoe UI"/>
          <w:color w:val="0F1115"/>
        </w:rPr>
        <w:t>（</w:t>
      </w:r>
      <w:proofErr w:type="gramEnd"/>
      <w:r>
        <w:rPr>
          <w:rFonts w:ascii="Segoe UI" w:hAnsi="Segoe UI" w:cs="Segoe UI"/>
          <w:color w:val="0F1115"/>
        </w:rPr>
        <w:t>約</w:t>
      </w:r>
      <w:r>
        <w:rPr>
          <w:rFonts w:ascii="Segoe UI" w:hAnsi="Segoe UI" w:cs="Segoe UI"/>
          <w:color w:val="0F1115"/>
        </w:rPr>
        <w:t> </w:t>
      </w:r>
      <w:r>
        <w:rPr>
          <w:rStyle w:val="katex-mathml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5×10−5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</w:rPr>
        <w:t>5</w:t>
      </w:r>
      <w:r>
        <w:rPr>
          <w:rStyle w:val="mbin"/>
          <w:rFonts w:ascii="Times New Roman" w:hAnsi="Times New Roman" w:cs="Times New Roman"/>
          <w:color w:val="0F1115"/>
          <w:sz w:val="29"/>
          <w:szCs w:val="29"/>
        </w:rPr>
        <w:t>×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</w:rPr>
        <w:t>10</w:t>
      </w:r>
      <w:r>
        <w:rPr>
          <w:rStyle w:val="mord"/>
          <w:rFonts w:ascii="Times New Roman" w:hAnsi="Times New Roman" w:cs="Times New Roman"/>
          <w:color w:val="0F1115"/>
          <w:sz w:val="20"/>
          <w:szCs w:val="20"/>
        </w:rPr>
        <w:t>−5</w:t>
      </w:r>
      <w:r>
        <w:rPr>
          <w:rFonts w:ascii="Segoe UI" w:hAnsi="Segoe UI" w:cs="Segoe UI"/>
          <w:color w:val="0F1115"/>
        </w:rPr>
        <w:t>）</w:t>
      </w:r>
    </w:p>
    <w:p w14:paraId="7D19E9D1" w14:textId="77777777" w:rsidR="00D43A95" w:rsidRDefault="00D43A95" w:rsidP="00D43A9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收斂階</w:t>
      </w:r>
      <w:r>
        <w:rPr>
          <w:rFonts w:ascii="Segoe UI" w:hAnsi="Segoe UI" w:cs="Segoe UI"/>
          <w:color w:val="0F1115"/>
        </w:rPr>
        <w:t>：</w:t>
      </w:r>
      <w:proofErr w:type="gramStart"/>
      <w:r>
        <w:rPr>
          <w:rFonts w:ascii="Segoe UI" w:hAnsi="Segoe UI" w:cs="Segoe UI"/>
          <w:color w:val="0F1115"/>
        </w:rPr>
        <w:t>兩者均為</w:t>
      </w:r>
      <w:proofErr w:type="gramEnd"/>
      <w:r>
        <w:rPr>
          <w:rFonts w:ascii="Segoe UI" w:hAnsi="Segoe UI" w:cs="Segoe UI"/>
          <w:color w:val="0F1115"/>
        </w:rPr>
        <w:t>一階方法，誤差</w:t>
      </w:r>
      <w:proofErr w:type="gramStart"/>
      <w:r>
        <w:rPr>
          <w:rFonts w:ascii="Segoe UI" w:hAnsi="Segoe UI" w:cs="Segoe UI"/>
          <w:color w:val="0F1115"/>
        </w:rPr>
        <w:t>隨步長線性</w:t>
      </w:r>
      <w:proofErr w:type="gramEnd"/>
      <w:r>
        <w:rPr>
          <w:rFonts w:ascii="Segoe UI" w:hAnsi="Segoe UI" w:cs="Segoe UI"/>
          <w:color w:val="0F1115"/>
        </w:rPr>
        <w:t>減少</w:t>
      </w:r>
    </w:p>
    <w:p w14:paraId="662BFB8C" w14:textId="77777777" w:rsidR="00D43A95" w:rsidRDefault="00D43A95" w:rsidP="00D43A95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穩定性</w:t>
      </w:r>
      <w:r>
        <w:rPr>
          <w:rFonts w:ascii="Segoe UI" w:hAnsi="Segoe UI" w:cs="Segoe UI"/>
          <w:color w:val="0F1115"/>
        </w:rPr>
        <w:t>：</w:t>
      </w:r>
    </w:p>
    <w:p w14:paraId="405E172E" w14:textId="77777777" w:rsidR="00D43A95" w:rsidRDefault="00D43A95" w:rsidP="00D43A95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向前</w:t>
      </w:r>
      <w:r>
        <w:rPr>
          <w:rFonts w:ascii="Segoe UI" w:hAnsi="Segoe UI" w:cs="Segoe UI"/>
          <w:color w:val="0F1115"/>
        </w:rPr>
        <w:t xml:space="preserve"> Euler</w:t>
      </w:r>
      <w:r>
        <w:rPr>
          <w:rFonts w:ascii="Segoe UI" w:hAnsi="Segoe UI" w:cs="Segoe UI"/>
          <w:color w:val="0F1115"/>
        </w:rPr>
        <w:t>：條件穩定，要求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katex-mathml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Δt</w:t>
      </w:r>
      <w:proofErr w:type="spellEnd"/>
      <w:r>
        <w:rPr>
          <w:rStyle w:val="katex-mathml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&lt;0.2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</w:rPr>
        <w:t>Δ</w:t>
      </w:r>
      <w:r>
        <w:rPr>
          <w:rStyle w:val="mord"/>
          <w:rFonts w:ascii="KaTeX_Math" w:hAnsi="KaTeX_Math" w:cs="Times New Roman"/>
          <w:i/>
          <w:iCs/>
          <w:color w:val="0F1115"/>
          <w:sz w:val="29"/>
          <w:szCs w:val="29"/>
        </w:rPr>
        <w:t>t</w:t>
      </w:r>
      <w:r>
        <w:rPr>
          <w:rStyle w:val="mrel"/>
          <w:rFonts w:ascii="Times New Roman" w:hAnsi="Times New Roman" w:cs="Times New Roman"/>
          <w:color w:val="0F1115"/>
          <w:sz w:val="29"/>
          <w:szCs w:val="29"/>
        </w:rPr>
        <w:t>&lt;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</w:rPr>
        <w:t>0.2</w:t>
      </w:r>
    </w:p>
    <w:p w14:paraId="74AC1A12" w14:textId="77777777" w:rsidR="00D43A95" w:rsidRDefault="00D43A95" w:rsidP="00D43A95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向後</w:t>
      </w:r>
      <w:r>
        <w:rPr>
          <w:rFonts w:ascii="Segoe UI" w:hAnsi="Segoe UI" w:cs="Segoe UI"/>
          <w:color w:val="0F1115"/>
        </w:rPr>
        <w:t xml:space="preserve"> Euler</w:t>
      </w:r>
      <w:r>
        <w:rPr>
          <w:rFonts w:ascii="Segoe UI" w:hAnsi="Segoe UI" w:cs="Segoe UI"/>
          <w:color w:val="0F1115"/>
        </w:rPr>
        <w:t>：無條件穩定</w:t>
      </w:r>
    </w:p>
    <w:p w14:paraId="097126FE" w14:textId="77777777" w:rsidR="00D43A95" w:rsidRDefault="00D43A95" w:rsidP="00D43A95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proofErr w:type="gramStart"/>
      <w:r>
        <w:rPr>
          <w:rStyle w:val="a3"/>
          <w:rFonts w:ascii="Segoe UI" w:hAnsi="Segoe UI" w:cs="Segoe UI"/>
          <w:b/>
          <w:bCs/>
          <w:color w:val="0F1115"/>
        </w:rPr>
        <w:t>可視化分析</w:t>
      </w:r>
      <w:proofErr w:type="gramEnd"/>
      <w:r>
        <w:rPr>
          <w:rFonts w:ascii="Segoe UI" w:hAnsi="Segoe UI" w:cs="Segoe UI"/>
          <w:color w:val="0F1115"/>
        </w:rPr>
        <w:t>：</w:t>
      </w:r>
    </w:p>
    <w:p w14:paraId="54F19AE4" w14:textId="77777777" w:rsidR="00D43A95" w:rsidRDefault="00D43A95" w:rsidP="00D43A9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不同步長下的數值解比較</w:t>
      </w:r>
      <w:r>
        <w:rPr>
          <w:rFonts w:ascii="Segoe UI" w:hAnsi="Segoe UI" w:cs="Segoe UI"/>
          <w:color w:val="0F1115"/>
        </w:rPr>
        <w:t>：</w:t>
      </w:r>
      <w:proofErr w:type="gramStart"/>
      <w:r>
        <w:rPr>
          <w:rFonts w:ascii="Segoe UI" w:hAnsi="Segoe UI" w:cs="Segoe UI"/>
          <w:color w:val="0F1115"/>
        </w:rPr>
        <w:t>顯示步長越</w:t>
      </w:r>
      <w:proofErr w:type="gramEnd"/>
      <w:r>
        <w:rPr>
          <w:rFonts w:ascii="Segoe UI" w:hAnsi="Segoe UI" w:cs="Segoe UI"/>
          <w:color w:val="0F1115"/>
        </w:rPr>
        <w:t>小，</w:t>
      </w:r>
      <w:proofErr w:type="gramStart"/>
      <w:r>
        <w:rPr>
          <w:rFonts w:ascii="Segoe UI" w:hAnsi="Segoe UI" w:cs="Segoe UI"/>
          <w:color w:val="0F1115"/>
        </w:rPr>
        <w:t>數值解越接近</w:t>
      </w:r>
      <w:proofErr w:type="gramEnd"/>
      <w:r>
        <w:rPr>
          <w:rFonts w:ascii="Segoe UI" w:hAnsi="Segoe UI" w:cs="Segoe UI"/>
          <w:color w:val="0F1115"/>
        </w:rPr>
        <w:t>參考解</w:t>
      </w:r>
    </w:p>
    <w:p w14:paraId="21FE5D41" w14:textId="3A3C8B1D" w:rsidR="00D43A95" w:rsidRPr="00D43A95" w:rsidRDefault="00D43A95" w:rsidP="00D43A9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Style w:val="a3"/>
          <w:rFonts w:ascii="Segoe UI" w:hAnsi="Segoe UI" w:cs="Segoe UI" w:hint="eastAsia"/>
          <w:b w:val="0"/>
          <w:bCs w:val="0"/>
          <w:color w:val="0F1115"/>
        </w:rPr>
      </w:pPr>
      <w:r>
        <w:rPr>
          <w:rStyle w:val="a3"/>
          <w:rFonts w:ascii="Segoe UI" w:hAnsi="Segoe UI" w:cs="Segoe UI"/>
          <w:color w:val="0F1115"/>
        </w:rPr>
        <w:t>誤差隨步長變化圖</w:t>
      </w:r>
      <w:r>
        <w:rPr>
          <w:rFonts w:ascii="Segoe UI" w:hAnsi="Segoe UI" w:cs="Segoe UI"/>
          <w:color w:val="0F1115"/>
        </w:rPr>
        <w:t>：在對數座標下顯示一階收斂特性</w:t>
      </w:r>
    </w:p>
    <w:p w14:paraId="74829D0C" w14:textId="7F95718F" w:rsidR="00D43A95" w:rsidRPr="00540EF5" w:rsidRDefault="00D43A95" w:rsidP="00D43A95">
      <w:pPr>
        <w:widowControl/>
        <w:spacing w:before="480" w:after="240" w:line="450" w:lineRule="atLeast"/>
        <w:outlineLvl w:val="2"/>
        <w:rPr>
          <w:rFonts w:ascii="Segoe UI" w:eastAsia="新細明體" w:hAnsi="Segoe UI" w:cs="Segoe UI"/>
          <w:b/>
          <w:bCs/>
          <w:kern w:val="0"/>
          <w:sz w:val="30"/>
          <w:szCs w:val="30"/>
        </w:rPr>
      </w:pP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>2.</w:t>
      </w:r>
      <w:r>
        <w:rPr>
          <w:rFonts w:ascii="Segoe UI" w:eastAsia="新細明體" w:hAnsi="Segoe UI" w:cs="Segoe UI" w:hint="eastAsia"/>
          <w:b/>
          <w:bCs/>
          <w:kern w:val="0"/>
          <w:sz w:val="30"/>
          <w:szCs w:val="30"/>
        </w:rPr>
        <w:t>4</w:t>
      </w:r>
      <w:r w:rsidRPr="00540EF5">
        <w:rPr>
          <w:rFonts w:ascii="Segoe UI" w:eastAsia="新細明體" w:hAnsi="Segoe UI" w:cs="Segoe UI"/>
          <w:b/>
          <w:bCs/>
          <w:kern w:val="0"/>
          <w:sz w:val="30"/>
          <w:szCs w:val="30"/>
        </w:rPr>
        <w:t xml:space="preserve"> </w:t>
      </w:r>
      <w:r>
        <w:rPr>
          <w:rFonts w:ascii="Segoe UI" w:eastAsia="新細明體" w:hAnsi="Segoe UI" w:cs="Segoe UI" w:hint="eastAsia"/>
          <w:b/>
          <w:bCs/>
          <w:kern w:val="0"/>
          <w:sz w:val="30"/>
          <w:szCs w:val="30"/>
        </w:rPr>
        <w:t>視覺化</w:t>
      </w:r>
    </w:p>
    <w:p w14:paraId="68287E4F" w14:textId="0E5230DE" w:rsidR="00D43A95" w:rsidRDefault="00D43A95" w:rsidP="00D43A95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 w:hint="eastAsia"/>
          <w:b/>
          <w:bCs/>
          <w:color w:val="0F1115"/>
          <w:sz w:val="30"/>
          <w:szCs w:val="30"/>
        </w:rPr>
      </w:pPr>
      <w:r>
        <w:rPr>
          <w:rFonts w:ascii="Segoe UI" w:hAnsi="Segoe UI" w:cs="Segoe UI" w:hint="eastAsia"/>
          <w:noProof/>
          <w:color w:val="0F1115"/>
          <w:sz w:val="30"/>
          <w:szCs w:val="30"/>
        </w:rPr>
        <w:drawing>
          <wp:inline distT="0" distB="0" distL="0" distR="0" wp14:anchorId="0229686E" wp14:editId="042C3C6B">
            <wp:extent cx="4602480" cy="3068135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013" cy="30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612" w14:textId="66B30D8E" w:rsidR="00D43A95" w:rsidRDefault="00D43A95" w:rsidP="00D43A9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 w:hint="eastAsia"/>
          <w:b/>
          <w:bCs/>
          <w:color w:val="0F1115"/>
          <w:sz w:val="30"/>
          <w:szCs w:val="30"/>
        </w:rPr>
        <w:lastRenderedPageBreak/>
        <w:t xml:space="preserve">2.5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結論</w:t>
      </w:r>
    </w:p>
    <w:p w14:paraId="6EB0BA1E" w14:textId="77777777" w:rsidR="00D43A95" w:rsidRPr="00D43A95" w:rsidRDefault="00D43A95" w:rsidP="00D43A95">
      <w:pPr>
        <w:widowControl/>
        <w:shd w:val="clear" w:color="auto" w:fill="FFFFFF"/>
        <w:spacing w:before="240" w:after="240"/>
        <w:rPr>
          <w:rFonts w:ascii="Segoe UI" w:eastAsia="新細明體" w:hAnsi="Segoe UI" w:cs="Segoe UI"/>
          <w:color w:val="0F1115"/>
          <w:kern w:val="0"/>
          <w:szCs w:val="24"/>
        </w:rPr>
      </w:pP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對於線性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 xml:space="preserve"> ODE 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問題：</w:t>
      </w:r>
    </w:p>
    <w:p w14:paraId="0CE10783" w14:textId="77777777" w:rsidR="00D43A95" w:rsidRPr="00D43A95" w:rsidRDefault="00D43A95" w:rsidP="00D43A95">
      <w:pPr>
        <w:widowControl/>
        <w:numPr>
          <w:ilvl w:val="0"/>
          <w:numId w:val="4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向前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 xml:space="preserve"> Euler 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和向後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 xml:space="preserve"> Euler 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方法在足夠小的步長下都能給出準確的數值解。</w:t>
      </w:r>
    </w:p>
    <w:p w14:paraId="2FE9F4BF" w14:textId="77777777" w:rsidR="00D43A95" w:rsidRPr="00D43A95" w:rsidRDefault="00D43A95" w:rsidP="00D43A95">
      <w:pPr>
        <w:widowControl/>
        <w:numPr>
          <w:ilvl w:val="0"/>
          <w:numId w:val="4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兩種方法均表現出一階收斂特性。</w:t>
      </w:r>
    </w:p>
    <w:p w14:paraId="3D5F1A27" w14:textId="77777777" w:rsidR="00D43A95" w:rsidRPr="00D43A95" w:rsidRDefault="00D43A95" w:rsidP="00D43A95">
      <w:pPr>
        <w:widowControl/>
        <w:numPr>
          <w:ilvl w:val="0"/>
          <w:numId w:val="4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向後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 xml:space="preserve"> Euler </w:t>
      </w:r>
      <w:r w:rsidRPr="00D43A95">
        <w:rPr>
          <w:rFonts w:ascii="Segoe UI" w:eastAsia="新細明體" w:hAnsi="Segoe UI" w:cs="Segoe UI"/>
          <w:color w:val="0F1115"/>
          <w:kern w:val="0"/>
          <w:szCs w:val="24"/>
        </w:rPr>
        <w:t>方法由於無條件穩定的特性，更適合剛性方程，但在這個問題中，兩種方法在適當步長下表現相當。</w:t>
      </w:r>
    </w:p>
    <w:p w14:paraId="0082B80F" w14:textId="77777777" w:rsidR="00D43A95" w:rsidRDefault="00D43A95" w:rsidP="00D43A9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整體收穫</w:t>
      </w:r>
    </w:p>
    <w:p w14:paraId="31DBCB00" w14:textId="77777777" w:rsidR="00D43A95" w:rsidRDefault="00D43A95" w:rsidP="00D43A9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本作業通過實際編程實現，加深了對以下數值方法的理解：</w:t>
      </w:r>
    </w:p>
    <w:p w14:paraId="580797A4" w14:textId="77777777" w:rsidR="00D43A95" w:rsidRDefault="00D43A95" w:rsidP="00D43A9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無約束優化中的擬牛頓法（</w:t>
      </w:r>
      <w:r>
        <w:rPr>
          <w:rFonts w:ascii="Segoe UI" w:hAnsi="Segoe UI" w:cs="Segoe UI"/>
          <w:color w:val="0F1115"/>
        </w:rPr>
        <w:t>BFGS</w:t>
      </w:r>
      <w:r>
        <w:rPr>
          <w:rFonts w:ascii="Segoe UI" w:hAnsi="Segoe UI" w:cs="Segoe UI"/>
          <w:color w:val="0F1115"/>
        </w:rPr>
        <w:t>）</w:t>
      </w:r>
    </w:p>
    <w:p w14:paraId="36514F59" w14:textId="77777777" w:rsidR="00D43A95" w:rsidRDefault="00D43A95" w:rsidP="00D43A9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常微分方程數值解法中的顯</w:t>
      </w:r>
      <w:proofErr w:type="gramStart"/>
      <w:r>
        <w:rPr>
          <w:rFonts w:ascii="Segoe UI" w:hAnsi="Segoe UI" w:cs="Segoe UI"/>
          <w:color w:val="0F1115"/>
        </w:rPr>
        <w:t>式和隱式</w:t>
      </w:r>
      <w:proofErr w:type="gramEnd"/>
      <w:r>
        <w:rPr>
          <w:rFonts w:ascii="Segoe UI" w:hAnsi="Segoe UI" w:cs="Segoe UI"/>
          <w:color w:val="0F1115"/>
        </w:rPr>
        <w:t xml:space="preserve"> Euler </w:t>
      </w:r>
      <w:r>
        <w:rPr>
          <w:rFonts w:ascii="Segoe UI" w:hAnsi="Segoe UI" w:cs="Segoe UI"/>
          <w:color w:val="0F1115"/>
        </w:rPr>
        <w:t>方法</w:t>
      </w:r>
    </w:p>
    <w:p w14:paraId="685DE68A" w14:textId="77777777" w:rsidR="00D43A95" w:rsidRDefault="00D43A95" w:rsidP="00D43A9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數值方法的收斂性、穩定性和誤差分析</w:t>
      </w:r>
    </w:p>
    <w:p w14:paraId="48BD672C" w14:textId="77777777" w:rsidR="000A0E1C" w:rsidRPr="00D43A95" w:rsidRDefault="000A0E1C">
      <w:pPr>
        <w:rPr>
          <w:rFonts w:hint="eastAsia"/>
        </w:rPr>
      </w:pPr>
    </w:p>
    <w:sectPr w:rsidR="000A0E1C" w:rsidRPr="00D43A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0109"/>
    <w:multiLevelType w:val="multilevel"/>
    <w:tmpl w:val="D75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6E98"/>
    <w:multiLevelType w:val="multilevel"/>
    <w:tmpl w:val="1A60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811EE"/>
    <w:multiLevelType w:val="multilevel"/>
    <w:tmpl w:val="1232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73CC"/>
    <w:multiLevelType w:val="multilevel"/>
    <w:tmpl w:val="68A8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F3A5A"/>
    <w:multiLevelType w:val="multilevel"/>
    <w:tmpl w:val="A28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F4"/>
    <w:rsid w:val="000A0E1C"/>
    <w:rsid w:val="00171985"/>
    <w:rsid w:val="00540EF5"/>
    <w:rsid w:val="005F39F4"/>
    <w:rsid w:val="00D4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8FCF"/>
  <w15:chartTrackingRefBased/>
  <w15:docId w15:val="{05743618-B05D-4D13-AD61-C03CE82A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40EF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40EF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40EF5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40EF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40EF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540EF5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540EF5"/>
    <w:rPr>
      <w:b/>
      <w:bCs/>
    </w:rPr>
  </w:style>
  <w:style w:type="paragraph" w:customStyle="1" w:styleId="ds-markdown-paragraph">
    <w:name w:val="ds-markdown-paragraph"/>
    <w:basedOn w:val="a"/>
    <w:rsid w:val="00540E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katex-mathml">
    <w:name w:val="katex-mathml"/>
    <w:basedOn w:val="a0"/>
    <w:rsid w:val="00540EF5"/>
  </w:style>
  <w:style w:type="character" w:customStyle="1" w:styleId="mord">
    <w:name w:val="mord"/>
    <w:basedOn w:val="a0"/>
    <w:rsid w:val="00540EF5"/>
  </w:style>
  <w:style w:type="character" w:customStyle="1" w:styleId="mopen">
    <w:name w:val="mopen"/>
    <w:basedOn w:val="a0"/>
    <w:rsid w:val="00540EF5"/>
  </w:style>
  <w:style w:type="character" w:customStyle="1" w:styleId="mclose">
    <w:name w:val="mclose"/>
    <w:basedOn w:val="a0"/>
    <w:rsid w:val="00540EF5"/>
  </w:style>
  <w:style w:type="character" w:customStyle="1" w:styleId="mrel">
    <w:name w:val="mrel"/>
    <w:basedOn w:val="a0"/>
    <w:rsid w:val="00540EF5"/>
  </w:style>
  <w:style w:type="character" w:customStyle="1" w:styleId="mbin">
    <w:name w:val="mbin"/>
    <w:basedOn w:val="a0"/>
    <w:rsid w:val="00540EF5"/>
  </w:style>
  <w:style w:type="character" w:customStyle="1" w:styleId="mpunct">
    <w:name w:val="mpunct"/>
    <w:basedOn w:val="a0"/>
    <w:rsid w:val="00540EF5"/>
  </w:style>
  <w:style w:type="character" w:customStyle="1" w:styleId="vlist-s">
    <w:name w:val="vlist-s"/>
    <w:basedOn w:val="a0"/>
    <w:rsid w:val="00540EF5"/>
  </w:style>
  <w:style w:type="character" w:customStyle="1" w:styleId="mop">
    <w:name w:val="mop"/>
    <w:basedOn w:val="a0"/>
    <w:rsid w:val="00540EF5"/>
  </w:style>
  <w:style w:type="character" w:customStyle="1" w:styleId="d813de27">
    <w:name w:val="d813de27"/>
    <w:basedOn w:val="a0"/>
    <w:rsid w:val="00540EF5"/>
  </w:style>
  <w:style w:type="character" w:styleId="a4">
    <w:name w:val="Placeholder Text"/>
    <w:basedOn w:val="a0"/>
    <w:uiPriority w:val="99"/>
    <w:semiHidden/>
    <w:rsid w:val="00540EF5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540E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40EF5"/>
    <w:rPr>
      <w:rFonts w:ascii="細明體" w:eastAsia="細明體" w:hAnsi="細明體" w:cs="細明體"/>
      <w:kern w:val="0"/>
      <w:szCs w:val="24"/>
    </w:rPr>
  </w:style>
  <w:style w:type="character" w:customStyle="1" w:styleId="token">
    <w:name w:val="token"/>
    <w:basedOn w:val="a0"/>
    <w:rsid w:val="00540EF5"/>
  </w:style>
  <w:style w:type="paragraph" w:styleId="a5">
    <w:name w:val="List Paragraph"/>
    <w:basedOn w:val="a"/>
    <w:uiPriority w:val="34"/>
    <w:qFormat/>
    <w:rsid w:val="00D43A9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8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3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84846-5411-46CD-BC86-4ECFFDA51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數學系 江晁維</dc:creator>
  <cp:keywords/>
  <dc:description/>
  <cp:lastModifiedBy>數學系 江晁維</cp:lastModifiedBy>
  <cp:revision>3</cp:revision>
  <cp:lastPrinted>2025-12-27T13:06:00Z</cp:lastPrinted>
  <dcterms:created xsi:type="dcterms:W3CDTF">2025-12-27T12:41:00Z</dcterms:created>
  <dcterms:modified xsi:type="dcterms:W3CDTF">2025-12-27T13:06:00Z</dcterms:modified>
</cp:coreProperties>
</file>