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cx82oc51h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Iniciación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Acta de Constitución del Proyecto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Recolección y Validación de Requerimientos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Definición de Hitos y Tiempos (EDT)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o39lpnm71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Planificación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 Elaboración de la Carta Gantt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 Matriz de Riesgos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 Definición de Responsabilidades RACI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197q5w153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3: Desarrollo e Implementación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 Configuración del Entorno de Desarrollo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 Desarrollo de los Módulos de Accesibilidad (lectores de pantalla, subtítulos, etc.)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3.3 Integración de Herramientas de Accesibilidad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25fhm68zf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4: Pruebas y Control de Calidad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4.1 Pruebas de Funcionalidad y Accesibilidad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4.2 Ajustes Basados en Feedback de Pruebas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4.3 Pruebas Finales con Usuarios Reales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tlllp9mxh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5: Documentación y Cierre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5.1 Elaboración de la Documentación Técnica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5.2 Manual de Usuario y Administrador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5.3 Plan de Capacitación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5.4 Cierre del Proyecto y Entrega Final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e6td1q4ux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6: Soporte Post-Implementación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6.1 Resolución de Problemas y Soporte Técnico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6.2 Actualizaciones y Mantenimiento de la Plataforma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