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c2b0f1e4f4df2d4846c33b67cd872b084810e6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Identificação de Sistemas e Análise Crítica de Regras de Ajuste de Controladores PID para Processos de Ordem Superior</w:t>
      </w:r>
    </w:p>
    <w:p>
      <w:pPr>
        <w:pStyle w:val="FirstParagraph"/>
      </w:pPr>
      <w:r>
        <w:rPr>
          <w:b/>
          <w:bCs/>
        </w:rPr>
        <w:t xml:space="preserve">Victor Henrique Alves Ribeiro, Ramon Gomes da Silva</w:t>
      </w:r>
    </w:p>
    <w:p>
      <w:pPr>
        <w:pStyle w:val="BodyText"/>
      </w:pPr>
      <w:r>
        <w:rPr>
          <w:i/>
          <w:iCs/>
        </w:rPr>
        <w:t xml:space="preserve">Programa de Pós-Graduação em Engenharia de Produção e Sistemas (PPGEPS)</w:t>
      </w:r>
      <w:r>
        <w:t xml:space="preserve"> </w:t>
      </w:r>
      <w:r>
        <w:rPr>
          <w:i/>
          <w:iCs/>
        </w:rPr>
        <w:t xml:space="preserve">Pontifícia Universidade Católica do Paraná (PUCPR)</w:t>
      </w:r>
      <w:r>
        <w:t xml:space="preserve"> </w:t>
      </w:r>
      <w:r>
        <w:rPr>
          <w:i/>
          <w:iCs/>
        </w:rPr>
        <w:t xml:space="preserve">Rua Imaculada Conceição, 1155, CEP 80215-901, Curitiba, PR, Brasil</w:t>
      </w:r>
    </w:p>
    <w:p>
      <w:pPr>
        <w:pStyle w:val="BodyText"/>
      </w:pPr>
      <w:r>
        <w:rPr>
          <w:b/>
          <w:bCs/>
        </w:rPr>
        <w:t xml:space="preserve">E-mail:</w:t>
      </w:r>
      <w:r>
        <w:t xml:space="preserve"> </w:t>
      </w:r>
      <w:r>
        <w:t xml:space="preserve">victor.hribeiro@pucpr.br, ramon.gsilva@pucpr.br</w:t>
      </w:r>
    </w:p>
    <w:p>
      <w:r>
        <w:pict>
          <v:rect style="width:0;height:1.5pt" o:hralign="center" o:hrstd="t" o:hr="t"/>
        </w:pict>
      </w:r>
    </w:p>
    <w:bookmarkStart w:id="9" w:name="resum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RESUMO</w:t>
      </w:r>
    </w:p>
    <w:p>
      <w:pPr>
        <w:pStyle w:val="FirstParagraph"/>
      </w:pPr>
      <w:r>
        <w:t xml:space="preserve">Este trabalho apresenta uma análise comparativa de métodos de identificação de sistemas aplicados a processos de ordem superior, com foco na obtenção de modelos de primeira ordem com atraso (FOPDT -</w:t>
      </w:r>
      <w:r>
        <w:t xml:space="preserve"> </w:t>
      </w:r>
      <w:r>
        <w:rPr>
          <w:i/>
          <w:iCs/>
        </w:rPr>
        <w:t xml:space="preserve">First-Order Plus Dead Time</w:t>
      </w:r>
      <w:r>
        <w:t xml:space="preserve">) para projeto de controladores PID. Duas plantas foram analisadas: M1 (sistema de 4ª ordem com atraso) e M2 (sistema de 3ª ordem não-mínima fase). A identificação foi realizada por dois métodos: gráfico (Smith) e</w:t>
      </w:r>
      <w:r>
        <w:t xml:space="preserve"> </w:t>
      </w:r>
      <w:r>
        <w:rPr>
          <w:i/>
          <w:iCs/>
        </w:rPr>
        <w:t xml:space="preserve">System Identification Toolbox</w:t>
      </w:r>
      <w:r>
        <w:t xml:space="preserve"> </w:t>
      </w:r>
      <w:r>
        <w:t xml:space="preserve">do MATLAB. Os modelos obtidos foram validados através das métricas RMSE (</w:t>
      </w:r>
      <w:r>
        <w:rPr>
          <w:i/>
          <w:iCs/>
        </w:rPr>
        <w:t xml:space="preserve">Root Mean Square Error</w:t>
      </w:r>
      <w:r>
        <w:t xml:space="preserve">) e IAE (</w:t>
      </w:r>
      <w:r>
        <w:rPr>
          <w:i/>
          <w:iCs/>
        </w:rPr>
        <w:t xml:space="preserve">Integral Absolute Error</w:t>
      </w:r>
      <w:r>
        <w:t xml:space="preserve">). Os resultados demonstraram que o método gráfico apresentou precisão superior, com RMSE 5 a 7 vezes menor que o</w:t>
      </w:r>
      <w:r>
        <w:t xml:space="preserve"> </w:t>
      </w:r>
      <w:r>
        <w:rPr>
          <w:i/>
          <w:iCs/>
        </w:rPr>
        <w:t xml:space="preserve">toolbox</w:t>
      </w:r>
      <w:r>
        <w:t xml:space="preserve"> </w:t>
      </w:r>
      <w:r>
        <w:t xml:space="preserve">automatizado. Os modelos FOPDT obtidos pelo método gráfico foram utilizados para projetar controladores PID por três regras de sintonia clássicas: Ziegler-Nichols, AMIGO e Skogestad SIMC. A análise comparativa considerou desempenho temporal, robustez e sensibilidade ao ruído, resultando na seleção do método SIMC para ambas as plantas devido à melhor rejeição de ruído e adequada robustez.</w:t>
      </w:r>
    </w:p>
    <w:p>
      <w:pPr>
        <w:pStyle w:val="BodyText"/>
      </w:pPr>
      <w:r>
        <w:rPr>
          <w:b/>
          <w:bCs/>
        </w:rPr>
        <w:t xml:space="preserve">Palavras-chave:</w:t>
      </w:r>
      <w:r>
        <w:t xml:space="preserve"> </w:t>
      </w:r>
      <w:r>
        <w:t xml:space="preserve">Identificação de Sistemas, Modelo FOPDT, Controlador PID, Ziegler-Nichols, AMIGO, SIMC.</w:t>
      </w:r>
    </w:p>
    <w:p>
      <w:r>
        <w:pict>
          <v:rect style="width:0;height:1.5pt" o:hralign="center" o:hrstd="t" o:hr="t"/>
        </w:pict>
      </w:r>
    </w:p>
    <w:bookmarkEnd w:id="9"/>
    <w:bookmarkStart w:id="10" w:name="introduçã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INTRODUÇÃO</w:t>
      </w:r>
    </w:p>
    <w:p>
      <w:pPr>
        <w:pStyle w:val="FirstParagraph"/>
      </w:pPr>
      <w:r>
        <w:t xml:space="preserve">A identificação de sistemas é uma etapa fundamental no projeto de sistemas de controle, permitindo a obtenção de modelos matemáticos que representam adequadamente o comportamento dinâmico de processos industriais [1]. Em particular, o modelo de primeira ordem com atraso (FOPDT) é amplamente utilizado devido à sua simplicidade matemática e capacidade de aproximar satisfatoriamente uma ampla classe de processos de ordem superior [2].</w:t>
      </w:r>
    </w:p>
    <w:p>
      <w:pPr>
        <w:pStyle w:val="BodyText"/>
      </w:pPr>
      <w:r>
        <w:t xml:space="preserve">O modelo FOPDT é especialmente importante para a aplicação de regras clássicas de sintonia de controladores PID, como Ziegler-Nichols [3], AMIGO [4] e Skogestad SIMC [5], que utilizam os parâmetros identificados (ganho K, constante de tempo T e atraso θ) para calcular os ganhos proporcional, integral e derivativo do controlador.</w:t>
      </w:r>
    </w:p>
    <w:p>
      <w:pPr>
        <w:pStyle w:val="BodyText"/>
      </w:pPr>
      <w:r>
        <w:t xml:space="preserve">A escolha do método de identificação impacta diretamente na qualidade do modelo obtido e, consequentemente, no desempenho do controlador projetado. O método gráfico, baseado na análise visual da resposta ao degrau, é tradicional e requer inspeção manual [1]. Por outro lado, ferramentas automatizadas como o</w:t>
      </w:r>
      <w:r>
        <w:t xml:space="preserve"> </w:t>
      </w:r>
      <w:r>
        <w:rPr>
          <w:i/>
          <w:iCs/>
        </w:rPr>
        <w:t xml:space="preserve">System Identification Toolbox</w:t>
      </w:r>
      <w:r>
        <w:t xml:space="preserve"> </w:t>
      </w:r>
      <w:r>
        <w:t xml:space="preserve">do MATLAB utilizam algoritmos de otimização para estimação paramétrica [6].</w:t>
      </w:r>
    </w:p>
    <w:p>
      <w:pPr>
        <w:pStyle w:val="BodyText"/>
      </w:pPr>
      <w:r>
        <w:t xml:space="preserve">Este trabalho tem como objetivos: (i) comparar os métodos gráfico e</w:t>
      </w:r>
      <w:r>
        <w:t xml:space="preserve"> </w:t>
      </w:r>
      <w:r>
        <w:rPr>
          <w:i/>
          <w:iCs/>
        </w:rPr>
        <w:t xml:space="preserve">toolbox</w:t>
      </w:r>
      <w:r>
        <w:t xml:space="preserve"> </w:t>
      </w:r>
      <w:r>
        <w:t xml:space="preserve">para identificação de modelos FOPDT em duas plantas com características distintas; (ii) validar os modelos obtidos através de métricas quantitativas de erro; (iii) indicar qual modelo é mais eficaz para o projeto de controladores PID; (iv) projetar e analisar criticamente controladores PID utilizando três regras clássicas de sintonia.</w:t>
      </w:r>
    </w:p>
    <w:p>
      <w:r>
        <w:pict>
          <v:rect style="width:0;height:1.5pt" o:hralign="center" o:hrstd="t" o:hr="t"/>
        </w:pict>
      </w:r>
    </w:p>
    <w:bookmarkEnd w:id="10"/>
    <w:bookmarkStart w:id="20" w:name="fundamentação-teórica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FUNDAMENTAÇÃO TEÓRICA</w:t>
      </w:r>
    </w:p>
    <w:bookmarkStart w:id="11" w:name="modelo-fopdt-first-order-plus-dead-tim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2.1. Modelo FOPDT (</w:t>
      </w:r>
      <w:r>
        <w:rPr>
          <w:i/>
          <w:iCs/>
        </w:rPr>
        <w:t xml:space="preserve">First-Order Plus Dead Time</w:t>
      </w:r>
      <w:r>
        <w:t xml:space="preserve">)</w:t>
      </w:r>
    </w:p>
    <w:p>
      <w:pPr>
        <w:pStyle w:val="FirstParagraph"/>
      </w:pPr>
      <w:r>
        <w:t xml:space="preserve">O modelo FOPDT é descrito pela função de transferência: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  <m:r>
                    <m:t>s</m:t>
                  </m:r>
                </m:sup>
              </m:sSup>
            </m:num>
            <m:den>
              <m:r>
                <m:t>T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onde: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</w:t>
      </w:r>
      <w:r>
        <w:t xml:space="preserve">: ganho estático do processo (razão entre a variação do estado estacionário da saída e a variação da entrada);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</w:t>
      </w:r>
      <w:r>
        <w:t xml:space="preserve">: constante de tempo do processo (tempo necessário para a saída atingir 63,2% do valor final);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θ</w:t>
      </w:r>
      <w:r>
        <w:t xml:space="preserve">: tempo morto ou atraso (tempo entre a aplicação da entrada e o início da resposta).</w:t>
      </w:r>
    </w:p>
    <w:p>
      <w:pPr>
        <w:pStyle w:val="BodyText"/>
      </w:pPr>
      <w:r>
        <w:t xml:space="preserve">Este modelo é particularmente útil por sua simplicidade e por ser a base das principais regras de sintonia PID utilizadas na indústria [2].</w:t>
      </w:r>
    </w:p>
    <w:bookmarkEnd w:id="11"/>
    <w:bookmarkStart w:id="14" w:name="métodos-de-identificação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2.2. Métodos de Identificação</w:t>
      </w:r>
    </w:p>
    <w:bookmarkStart w:id="12" w:name="método-gráfico-smith-1972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2.2.1. Método Gráfico (Smith, 1972)</w:t>
      </w:r>
    </w:p>
    <w:p>
      <w:pPr>
        <w:pStyle w:val="FirstParagraph"/>
      </w:pPr>
      <w:r>
        <w:t xml:space="preserve">O método gráfico baseia-se na análise visual da resposta ao degrau unitário do processo [1]. Os parâmetros são identificados da seguinte forma: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Ganho K</w:t>
      </w:r>
      <w:r>
        <w:t xml:space="preserve">: razão entre a variação da saída em regime permanente e a amplitude do degrau de entrada;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Atraso θ</w:t>
      </w:r>
      <w:r>
        <w:t xml:space="preserve">: tempo no qual a tangente traçada no ponto de inflexão da resposta intercepta o eixo do tempo;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Constante de tempo T</w:t>
      </w:r>
      <w:r>
        <w:t xml:space="preserve">: diferença entre o tempo em que a saída atinge 63,2% do valor final e o atraso θ.</w:t>
      </w:r>
    </w:p>
    <w:p>
      <w:pPr>
        <w:pStyle w:val="FirstParagraph"/>
      </w:pPr>
      <w:r>
        <w:t xml:space="preserve">Para sistemas com resposta inversa (não-mínima fase), o método é adaptado considerando o ponto de mínimo da resposta (</w:t>
      </w:r>
      <w:r>
        <w:rPr>
          <w:i/>
          <w:iCs/>
        </w:rPr>
        <w:t xml:space="preserve">undershoot</w:t>
      </w:r>
      <w:r>
        <w:t xml:space="preserve">) e o tempo equivalente de atraso [7].</w:t>
      </w:r>
    </w:p>
    <w:bookmarkEnd w:id="12"/>
    <w:bookmarkStart w:id="13" w:name="system-identification-toolbox-matlab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2.2.2.</w:t>
      </w:r>
      <w:r>
        <w:t xml:space="preserve"> </w:t>
      </w:r>
      <w:r>
        <w:rPr>
          <w:i/>
          <w:iCs/>
        </w:rPr>
        <w:t xml:space="preserve">System Identification Toolbox</w:t>
      </w:r>
      <w:r>
        <w:t xml:space="preserve"> </w:t>
      </w:r>
      <w:r>
        <w:t xml:space="preserve">(MATLAB)</w:t>
      </w:r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  <w:iCs/>
        </w:rPr>
        <w:t xml:space="preserve">toolbox</w:t>
      </w:r>
      <w:r>
        <w:t xml:space="preserve"> </w:t>
      </w:r>
      <w:r>
        <w:t xml:space="preserve">de identificação de sistemas do MATLAB utiliza algoritmos de otimização numérica para estimar os parâmetros do modelo FOPDT. A função</w:t>
      </w:r>
      <w:r>
        <w:t xml:space="preserve"> </w:t>
      </w:r>
      <w:r>
        <w:rPr>
          <w:rStyle w:val="VerbatimChar"/>
        </w:rPr>
        <w:t xml:space="preserve">tfest(data, np, nz)</w:t>
      </w:r>
      <w:r>
        <w:t xml:space="preserve"> </w:t>
      </w:r>
      <w:r>
        <w:t xml:space="preserve">realiza estimação paramétrica de modelos de função de transferência, onde</w:t>
      </w:r>
      <w:r>
        <w:t xml:space="preserve"> </w:t>
      </w:r>
      <w:r>
        <w:rPr>
          <w:rStyle w:val="VerbatimChar"/>
        </w:rPr>
        <w:t xml:space="preserve">np</w:t>
      </w:r>
      <w:r>
        <w:t xml:space="preserve"> </w:t>
      </w:r>
      <w:r>
        <w:t xml:space="preserve">é o número de polos e</w:t>
      </w:r>
      <w:r>
        <w:t xml:space="preserve"> </w:t>
      </w:r>
      <w:r>
        <w:rPr>
          <w:rStyle w:val="VerbatimChar"/>
        </w:rPr>
        <w:t xml:space="preserve">nz</w:t>
      </w:r>
      <w:r>
        <w:t xml:space="preserve"> </w:t>
      </w:r>
      <w:r>
        <w:t xml:space="preserve">o número de zeros [6].</w:t>
      </w:r>
    </w:p>
    <w:p>
      <w:pPr>
        <w:pStyle w:val="BodyText"/>
      </w:pPr>
      <w:r>
        <w:t xml:space="preserve">O algoritmo minimiza o erro quadrático entre a saída medida e a saída do modelo estimado, utilizando métodos de mínimos quadrados ou predição de erro. Embora automatizado, o método pode apresentar sensibilidade às condições iniciais e dificuldades na identificação de atrasos puros [6].</w:t>
      </w:r>
    </w:p>
    <w:bookmarkEnd w:id="13"/>
    <w:bookmarkEnd w:id="14"/>
    <w:bookmarkStart w:id="15" w:name="métricas-de-validação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2.3. Métricas de Validação</w:t>
      </w:r>
    </w:p>
    <w:p>
      <w:pPr>
        <w:pStyle w:val="FirstParagraph"/>
      </w:pPr>
      <w:r>
        <w:t xml:space="preserve">A qualidade dos modelos identificados é avaliada através de métricas quantitativas:</w:t>
      </w:r>
    </w:p>
    <w:p>
      <w:pPr>
        <w:pStyle w:val="BodyText"/>
      </w:pPr>
      <w:r>
        <w:rPr>
          <w:b/>
          <w:bCs/>
        </w:rPr>
        <w:t xml:space="preserve">RMSE (</w:t>
      </w:r>
      <w:r>
        <w:rPr>
          <w:b/>
          <w:bCs/>
          <w:i/>
          <w:iCs/>
        </w:rPr>
        <w:t xml:space="preserve">Root Mean Square Error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RMSE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rPr>
          <w:b/>
          <w:bCs/>
        </w:rPr>
        <w:t xml:space="preserve">IAE (</w:t>
      </w:r>
      <w:r>
        <w:rPr>
          <w:b/>
          <w:bCs/>
          <w:i/>
          <w:iCs/>
        </w:rPr>
        <w:t xml:space="preserve">Integral Absolute Error</w:t>
      </w:r>
      <w:r>
        <w:rPr>
          <w:b/>
          <w:bCs/>
        </w:rPr>
        <w:t xml:space="preserve">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IAE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rPr>
                  <m:sty m:val="p"/>
                </m:rPr>
                <m:t>|</m:t>
              </m:r>
            </m:e>
          </m:nary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t> 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é a saída real,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é a saída do modelo, 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amostras.</w:t>
      </w:r>
    </w:p>
    <w:p>
      <w:pPr>
        <w:pStyle w:val="BodyText"/>
      </w:pPr>
      <w:r>
        <w:t xml:space="preserve">Valores menores de RMSE e IAE indicam melhor aderência do modelo à resposta real do processo [2].</w:t>
      </w:r>
    </w:p>
    <w:bookmarkEnd w:id="15"/>
    <w:bookmarkStart w:id="19" w:name="métodos-de-sintonia-pid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2.4. Métodos de Sintonia PID</w:t>
      </w:r>
    </w:p>
    <w:bookmarkStart w:id="16" w:name="ziegler-nichols-1942"/>
    <w:p>
      <w:pPr>
        <w:pStyle w:val="Heading4"/>
      </w:pPr>
      <w:r>
        <w:rPr>
          <w:rStyle w:val="SectionNumber"/>
        </w:rPr>
        <w:t xml:space="preserve">1.3.4.1</w:t>
      </w:r>
      <w:r>
        <w:tab/>
      </w:r>
      <w:r>
        <w:t xml:space="preserve">2.4.1. Ziegler-Nichols (1942)</w:t>
      </w:r>
    </w:p>
    <w:p>
      <w:pPr>
        <w:pStyle w:val="FirstParagraph"/>
      </w:pPr>
      <w:r>
        <w:t xml:space="preserve">O método de Ziegler-Nichols para modelo FOPDT utiliza as seguintes fórmulas [3]: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1.2</m:t>
              </m:r>
              <m:r>
                <m:t>T</m:t>
              </m:r>
            </m:num>
            <m:den>
              <m:r>
                <m:t>K</m:t>
              </m:r>
              <m:r>
                <m:t>θ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</m:num>
            <m:den>
              <m:r>
                <m:t>2</m:t>
              </m:r>
              <m:r>
                <m:t>θ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K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r>
            <m:t>0.5</m:t>
          </m:r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t>θ</m:t>
          </m:r>
        </m:oMath>
      </m:oMathPara>
    </w:p>
    <w:p>
      <w:pPr>
        <w:pStyle w:val="FirstParagraph"/>
      </w:pPr>
      <w:r>
        <w:t xml:space="preserve">Caracteriza-se por respostas rápidas, mas com tendência a alto sobressinal (</w:t>
      </w:r>
      <w:r>
        <w:rPr>
          <w:i/>
          <w:iCs/>
        </w:rPr>
        <w:t xml:space="preserve">overshoot</w:t>
      </w:r>
      <w:r>
        <w:t xml:space="preserve">).</w:t>
      </w:r>
    </w:p>
    <w:bookmarkEnd w:id="16"/>
    <w:bookmarkStart w:id="17" w:name="amigo-åström-hägglund-2004"/>
    <w:p>
      <w:pPr>
        <w:pStyle w:val="Heading4"/>
      </w:pPr>
      <w:r>
        <w:rPr>
          <w:rStyle w:val="SectionNumber"/>
        </w:rPr>
        <w:t xml:space="preserve">1.3.4.2</w:t>
      </w:r>
      <w:r>
        <w:tab/>
      </w:r>
      <w:r>
        <w:t xml:space="preserve">2.4.2. AMIGO (Åström &amp; Hägglund, 2004)</w:t>
      </w:r>
    </w:p>
    <w:p>
      <w:pPr>
        <w:pStyle w:val="FirstParagraph"/>
      </w:pPr>
      <w:r>
        <w:t xml:space="preserve">O método AMIGO é uma evolução do Ziegler-Nichols, projetado para melhor rejeição de distúrbios e menor sobressinal [4]: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</m:t>
              </m:r>
              <m:r>
                <m:rPr>
                  <m:sty m:val="p"/>
                </m:rPr>
                <m:t>+</m:t>
              </m:r>
              <m:r>
                <m:t>0.45</m:t>
              </m:r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/</m:t>
              </m:r>
              <m:r>
                <m:t>θ</m:t>
              </m:r>
              <m:r>
                <m:rPr>
                  <m:sty m:val="p"/>
                </m:rPr>
                <m:t>)</m:t>
              </m:r>
            </m:num>
            <m:den>
              <m:r>
                <m:t>K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0.1</m:t>
              </m:r>
              <m:r>
                <m:t>θ</m:t>
              </m:r>
              <m:r>
                <m:rPr>
                  <m:sty m:val="p"/>
                </m:rPr>
                <m:t>/</m:t>
              </m:r>
              <m:r>
                <m:t>T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</m:num>
            <m:den>
              <m:r>
                <m:t>T</m:t>
              </m:r>
              <m:r>
                <m:rPr>
                  <m:sty m:val="p"/>
                </m:rPr>
                <m:t>(</m:t>
              </m:r>
              <m:r>
                <m:t>0.4</m:t>
              </m:r>
              <m:r>
                <m:t>θ</m:t>
              </m:r>
              <m:r>
                <m:rPr>
                  <m:sty m:val="p"/>
                </m:rPr>
                <m:t>+</m:t>
              </m:r>
              <m:r>
                <m:t>0.8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0.1</m:t>
              </m:r>
              <m:r>
                <m:t>θ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0.05</m:t>
              </m:r>
              <m:r>
                <m:t>T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0.5</m:t>
              </m:r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t>θ</m:t>
              </m:r>
              <m:r>
                <m:t>T</m:t>
              </m:r>
            </m:num>
            <m:den>
              <m:r>
                <m:t>0.3</m:t>
              </m:r>
              <m:r>
                <m:t>θ</m:t>
              </m:r>
              <m:r>
                <m:rPr>
                  <m:sty m:val="p"/>
                </m:rPr>
                <m:t>+</m:t>
              </m:r>
              <m:r>
                <m:t>T</m:t>
              </m:r>
            </m:den>
          </m:f>
        </m:oMath>
      </m:oMathPara>
    </w:p>
    <w:bookmarkEnd w:id="17"/>
    <w:bookmarkStart w:id="18" w:name="skogestad-simc-2003"/>
    <w:p>
      <w:pPr>
        <w:pStyle w:val="Heading4"/>
      </w:pPr>
      <w:r>
        <w:rPr>
          <w:rStyle w:val="SectionNumber"/>
        </w:rPr>
        <w:t xml:space="preserve">1.3.4.3</w:t>
      </w:r>
      <w:r>
        <w:tab/>
      </w:r>
      <w:r>
        <w:t xml:space="preserve">2.4.3. Skogestad SIMC (2003)</w:t>
      </w:r>
    </w:p>
    <w:p>
      <w:pPr>
        <w:pStyle w:val="FirstParagraph"/>
      </w:pPr>
      <w:r>
        <w:t xml:space="preserve">O método SIMC baseia-se em controle por modelo interno (</w:t>
      </w:r>
      <w:r>
        <w:rPr>
          <w:i/>
          <w:iCs/>
        </w:rPr>
        <w:t xml:space="preserve">Internal Model Control</w:t>
      </w:r>
      <w:r>
        <w:t xml:space="preserve">) e prioriza robustez [5]: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</m:num>
            <m:den>
              <m:r>
                <m:t>K</m:t>
              </m:r>
              <m:r>
                <m:rPr>
                  <m:sty m:val="p"/>
                </m:rPr>
                <m:t>(</m:t>
              </m:r>
              <m:r>
                <m:t>θ</m:t>
              </m:r>
              <m:r>
                <m:rPr>
                  <m:sty m:val="p"/>
                </m:rPr>
                <m:t>+</m:t>
              </m:r>
              <m:sSub>
                <m:e>
                  <m:r>
                    <m:t>τ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</m:num>
            <m:den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K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sSub>
          <m:e>
            <m:r>
              <m:t>τ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θ</m:t>
        </m:r>
      </m:oMath>
      <w:r>
        <w:t xml:space="preserve"> </w:t>
      </w:r>
      <w:r>
        <w:t xml:space="preserve">é o parâmetro de sintonia (tipicamente igual ao atraso). Frequentemente resulta em controladores PI (sem ação derivativa).</w:t>
      </w:r>
    </w:p>
    <w:p>
      <w:r>
        <w:pict>
          <v:rect style="width:0;height:1.5pt" o:hralign="center" o:hrstd="t" o:hr="t"/>
        </w:pict>
      </w:r>
    </w:p>
    <w:bookmarkEnd w:id="18"/>
    <w:bookmarkEnd w:id="19"/>
    <w:bookmarkEnd w:id="20"/>
    <w:bookmarkStart w:id="25" w:name="metodologia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METODOLOGIA</w:t>
      </w:r>
    </w:p>
    <w:bookmarkStart w:id="21" w:name="plantas-analisada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3.1. Plantas Analisadas</w:t>
      </w:r>
    </w:p>
    <w:p>
      <w:pPr>
        <w:pStyle w:val="FirstParagraph"/>
      </w:pPr>
      <w:r>
        <w:t xml:space="preserve">Duas plantas com características distintas foram estudadas:</w:t>
      </w:r>
    </w:p>
    <w:p>
      <w:pPr>
        <w:pStyle w:val="BodyText"/>
      </w:pPr>
      <w:r>
        <w:rPr>
          <w:b/>
          <w:bCs/>
        </w:rPr>
        <w:t xml:space="preserve">Planta M1: Sistema de 4ª ordem com atraso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s</m:t>
                  </m:r>
                </m:sup>
              </m:sSup>
            </m:num>
            <m:den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0.4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sSup>
                <m:e>
                  <m:r>
                    <m:t>0.4</m:t>
                  </m:r>
                </m:e>
                <m:sup>
                  <m:r>
                    <m:t>2</m:t>
                  </m:r>
                </m:sup>
              </m:sSup>
              <m:r>
                <m:t>s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sSup>
                <m:e>
                  <m:r>
                    <m:t>0.4</m:t>
                  </m:r>
                </m:e>
                <m:sup>
                  <m:r>
                    <m:t>3</m:t>
                  </m:r>
                </m:sup>
              </m:sSup>
              <m:r>
                <m:t>s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Características: múltiplas constantes de tempo decrescentes, atraso de 1 segundo, comportamento de resposta suave sem sobressinal em malha aberta.</w:t>
      </w:r>
    </w:p>
    <w:p>
      <w:pPr>
        <w:pStyle w:val="BodyText"/>
      </w:pPr>
      <w:r>
        <w:rPr>
          <w:b/>
          <w:bCs/>
        </w:rPr>
        <w:t xml:space="preserve">Planta M2: Sistema de 3ª ordem não-mínima fase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1.1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Características: zero no semiplano direito (RHP) devido ao termo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1.1</m:t>
        </m:r>
        <m:r>
          <m:t>s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, apresentando resposta inversa (</w:t>
      </w:r>
      <w:r>
        <w:rPr>
          <w:i/>
          <w:iCs/>
        </w:rPr>
        <w:t xml:space="preserve">undershoot</w:t>
      </w:r>
      <w:r>
        <w:t xml:space="preserve"> </w:t>
      </w:r>
      <w:r>
        <w:t xml:space="preserve">inicial negativo) característico de sistemas não-mínima fase.</w:t>
      </w:r>
    </w:p>
    <w:bookmarkEnd w:id="21"/>
    <w:bookmarkStart w:id="22" w:name="procedimento-de-identificação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3.2. Procedimento de Identificação</w:t>
      </w:r>
    </w:p>
    <w:p>
      <w:pPr>
        <w:pStyle w:val="FirstParagraph"/>
      </w:pPr>
      <w:r>
        <w:t xml:space="preserve">O procedimento experimental foi dividido em quatro etapas:</w:t>
      </w:r>
    </w:p>
    <w:p>
      <w:pPr>
        <w:pStyle w:val="BodyText"/>
      </w:pPr>
      <w:r>
        <w:rPr>
          <w:b/>
          <w:bCs/>
        </w:rPr>
        <w:t xml:space="preserve">Etapa 1: Simulação da Resposta ao Degrau</w:t>
      </w:r>
      <w:r>
        <w:t xml:space="preserve"> </w:t>
      </w:r>
      <w:r>
        <w:t xml:space="preserve">- Entrada: degrau unitário (</w:t>
      </w:r>
      <m:oMath>
        <m:r>
          <m:t>u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para</w:t>
      </w:r>
      <w:r>
        <w:t xml:space="preserve"> </w:t>
      </w:r>
      <m:oMath>
        <m:r>
          <m:t>t</m:t>
        </m:r>
        <m:r>
          <m:rPr>
            <m:sty m:val="p"/>
          </m:rPr>
          <m:t>≥</m:t>
        </m:r>
        <m:r>
          <m:t>0</m:t>
        </m:r>
      </m:oMath>
      <w:r>
        <w:t xml:space="preserve">)</w:t>
      </w:r>
      <w:r>
        <w:t xml:space="preserve"> </w:t>
      </w:r>
      <w:r>
        <w:t xml:space="preserve">- Tempo de simulação: 20 segundos</w:t>
      </w:r>
      <w:r>
        <w:t xml:space="preserve"> </w:t>
      </w:r>
      <w:r>
        <w:t xml:space="preserve">- Taxa de amostragem: 0.01 s</w:t>
      </w:r>
      <w:r>
        <w:t xml:space="preserve"> </w:t>
      </w:r>
      <w:r>
        <w:t xml:space="preserve">- Ferramenta: MATLAB R2023a com</w:t>
      </w:r>
      <w:r>
        <w:t xml:space="preserve"> </w:t>
      </w:r>
      <w:r>
        <w:rPr>
          <w:i/>
          <w:iCs/>
        </w:rPr>
        <w:t xml:space="preserve">Control System Toolbox</w:t>
      </w:r>
    </w:p>
    <w:p>
      <w:pPr>
        <w:pStyle w:val="BodyText"/>
      </w:pPr>
      <w:r>
        <w:rPr>
          <w:b/>
          <w:bCs/>
        </w:rPr>
        <w:t xml:space="preserve">Etapa 2: Identificação pelo Método Gráfico</w:t>
      </w:r>
    </w:p>
    <w:p>
      <w:pPr>
        <w:pStyle w:val="BodyText"/>
      </w:pPr>
      <w:r>
        <w:t xml:space="preserve">Para a planta M1:</w:t>
      </w:r>
      <w:r>
        <w:t xml:space="preserve"> </w:t>
      </w:r>
      <w:r>
        <w:t xml:space="preserve">1. Identificação do ganho K em regime permanente</w:t>
      </w:r>
      <w:r>
        <w:t xml:space="preserve"> </w:t>
      </w:r>
      <w:r>
        <w:t xml:space="preserve">2. Traçado da tangente no ponto de inflexão</w:t>
      </w:r>
      <w:r>
        <w:t xml:space="preserve"> </w:t>
      </w:r>
      <w:r>
        <w:t xml:space="preserve">3. Determinação do atraso θ (intersecção tangente-eixo do tempo)</w:t>
      </w:r>
      <w:r>
        <w:t xml:space="preserve"> </w:t>
      </w:r>
      <w:r>
        <w:t xml:space="preserve">4. Cálculo da constante de tempo T (método de Smith)</w:t>
      </w:r>
    </w:p>
    <w:p>
      <w:pPr>
        <w:pStyle w:val="BodyText"/>
      </w:pPr>
      <w:r>
        <w:t xml:space="preserve">Para a planta M2 (adaptação para resposta inversa):</w:t>
      </w:r>
      <w:r>
        <w:t xml:space="preserve"> </w:t>
      </w:r>
      <w:r>
        <w:t xml:space="preserve">1. Identificação do valor mínimo da resposta (</w:t>
      </w:r>
      <w:r>
        <w:rPr>
          <w:i/>
          <w:iCs/>
        </w:rPr>
        <w:t xml:space="preserve">undershoot</w:t>
      </w:r>
      <w:r>
        <w:t xml:space="preserve">)</w:t>
      </w:r>
      <w:r>
        <w:t xml:space="preserve"> </w:t>
      </w:r>
      <w:r>
        <w:t xml:space="preserve">2. Determinação do tempo no ponto de mínimo</w:t>
      </w:r>
      <w:r>
        <w:t xml:space="preserve"> </w:t>
      </w:r>
      <w:r>
        <w:t xml:space="preserve">3. Ajuste dos parâmetros θ e T considerando a característica não-mínima fase</w:t>
      </w:r>
    </w:p>
    <w:p>
      <w:pPr>
        <w:pStyle w:val="BodyText"/>
      </w:pPr>
      <w:r>
        <w:rPr>
          <w:b/>
          <w:bCs/>
        </w:rPr>
        <w:t xml:space="preserve">Etapa 3: Identificação pelo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System Identification Toolbox</w:t>
      </w:r>
    </w:p>
    <w:p>
      <w:pPr>
        <w:pStyle w:val="BodyText"/>
      </w:pPr>
      <w:r>
        <w:t xml:space="preserve">Utilizou-se a função</w:t>
      </w:r>
      <w:r>
        <w:t xml:space="preserve"> </w:t>
      </w:r>
      <w:r>
        <w:rPr>
          <w:rStyle w:val="VerbatimChar"/>
        </w:rPr>
        <w:t xml:space="preserve">tfest(data, 1, 0)</w:t>
      </w:r>
      <w:r>
        <w:t xml:space="preserve"> </w:t>
      </w:r>
      <w:r>
        <w:t xml:space="preserve">para estimar um modelo de primeira ordem (1 polo, 0 zeros) com atraso opcional. Os dados de entrada e saída foram organizados no formato</w:t>
      </w:r>
      <w:r>
        <w:t xml:space="preserve"> </w:t>
      </w:r>
      <w:r>
        <w:rPr>
          <w:rStyle w:val="VerbatimChar"/>
        </w:rPr>
        <w:t xml:space="preserve">iddata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Etapa 4: Validação e Seleção do Modelo</w:t>
      </w:r>
    </w:p>
    <w:p>
      <w:pPr>
        <w:pStyle w:val="BodyText"/>
      </w:pPr>
      <w:r>
        <w:t xml:space="preserve">Os modelos foram comparados através de:</w:t>
      </w:r>
      <w:r>
        <w:t xml:space="preserve"> </w:t>
      </w:r>
      <w:r>
        <w:t xml:space="preserve">- Sobreposição gráfica das respostas (original vs. modelos)</w:t>
      </w:r>
      <w:r>
        <w:t xml:space="preserve"> </w:t>
      </w:r>
      <w:r>
        <w:t xml:space="preserve">- Cálculo de RMSE e IAE</w:t>
      </w:r>
      <w:r>
        <w:t xml:space="preserve"> </w:t>
      </w:r>
      <w:r>
        <w:t xml:space="preserve">- Análise da capacidade de identificação do atraso θ</w:t>
      </w:r>
      <w:r>
        <w:t xml:space="preserve"> </w:t>
      </w:r>
      <w:r>
        <w:t xml:space="preserve">- Seleção do modelo mais preciso para projeto de controladores PID</w:t>
      </w:r>
    </w:p>
    <w:bookmarkEnd w:id="22"/>
    <w:bookmarkStart w:id="23" w:name="projeto-de-controladores-pid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3.3. Projeto de Controladores PID</w:t>
      </w:r>
    </w:p>
    <w:p>
      <w:pPr>
        <w:pStyle w:val="FirstParagraph"/>
      </w:pPr>
      <w:r>
        <w:t xml:space="preserve">Utilizando os modelos FOPDT selecionados, foram calculados controladores PID por três métodos: Ziegler-Nichols, AMIGO e Skogestad SIMC. Os controladores foram implementados na forma paralela: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s</m:t>
              </m:r>
            </m:den>
          </m:f>
          <m:r>
            <m:rPr>
              <m:sty m:val="p"/>
            </m:rPr>
            <m:t>+</m:t>
          </m:r>
          <m:sSub>
            <m:e>
              <m:r>
                <m:t>K</m:t>
              </m:r>
            </m:e>
            <m:sub>
              <m:r>
                <m:t>d</m:t>
              </m:r>
            </m:sub>
          </m:sSub>
          <m:r>
            <m:t>s</m:t>
          </m:r>
        </m:oMath>
      </m:oMathPara>
    </w:p>
    <w:bookmarkEnd w:id="23"/>
    <w:bookmarkStart w:id="24" w:name="análise-de-desempenho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3.4. Análise de Desempenho</w:t>
      </w:r>
    </w:p>
    <w:p>
      <w:pPr>
        <w:pStyle w:val="FirstParagraph"/>
      </w:pPr>
      <w:r>
        <w:t xml:space="preserve">Os controladores foram avaliados quanto 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Desempenho temporal</w:t>
      </w:r>
      <w:r>
        <w:t xml:space="preserve">: tempo de subida (</w:t>
      </w:r>
      <w:r>
        <w:rPr>
          <w:i/>
          <w:iCs/>
        </w:rPr>
        <w:t xml:space="preserve">rise time</w:t>
      </w:r>
      <w:r>
        <w:t xml:space="preserve">), tempo de acomodação (</w:t>
      </w:r>
      <w:r>
        <w:rPr>
          <w:i/>
          <w:iCs/>
        </w:rPr>
        <w:t xml:space="preserve">settling time</w:t>
      </w:r>
      <w:r>
        <w:t xml:space="preserve">), sobressinal (</w:t>
      </w:r>
      <w:r>
        <w:rPr>
          <w:i/>
          <w:iCs/>
        </w:rPr>
        <w:t xml:space="preserve">overshoot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Robustez</w:t>
      </w:r>
      <w:r>
        <w:t xml:space="preserve">: margem de ganho (GM) e margem de fase (PM) via análise de Nyquist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Sensibilidade ao ruído</w:t>
      </w:r>
      <w:r>
        <w:t xml:space="preserve">: ganho em alta frequência (100 rad/s) via diagrama de Bode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46" w:name="resultado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RESULTADOS</w:t>
      </w:r>
    </w:p>
    <w:bookmarkStart w:id="29" w:name="identificação-da-planta-m1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4.1. Identificação da Planta M1</w:t>
      </w:r>
    </w:p>
    <w:p>
      <w:pPr>
        <w:pStyle w:val="FirstParagraph"/>
      </w:pPr>
      <w:r>
        <w:t xml:space="preserve">A Figura 1 apresenta a comparação visual entre a resposta da planta original M1 e os modelos FOPDT obtidos pelos métodos gráfico e</w:t>
      </w:r>
      <w:r>
        <w:t xml:space="preserve"> </w:t>
      </w:r>
      <w:r>
        <w:rPr>
          <w:i/>
          <w:iCs/>
        </w:rPr>
        <w:t xml:space="preserve">toolbox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Figura 1:</w:t>
      </w:r>
      <w:r>
        <w:t xml:space="preserve"> </w:t>
      </w:r>
      <w:r>
        <w:t xml:space="preserve">Comparação dos modelos FOPDT para a planta M1. À esquerda: resposta ao degrau da planta original (azul) sobreposta aos modelos identificado pelo método gráfico (vermelho tracejado) e</w:t>
      </w:r>
      <w:r>
        <w:t xml:space="preserve"> </w:t>
      </w:r>
      <w:r>
        <w:rPr>
          <w:i/>
          <w:iCs/>
        </w:rPr>
        <w:t xml:space="preserve">toolbox</w:t>
      </w:r>
      <w:r>
        <w:t xml:space="preserve"> </w:t>
      </w:r>
      <w:r>
        <w:t xml:space="preserve">(verde pontilhado). À direita: zoom do modelo gráfico selecionado mostrando excelente aderência.</w:t>
      </w:r>
    </w:p>
    <w:p>
      <w:pPr>
        <w:pStyle w:val="CaptionedFigure"/>
      </w:pPr>
      <w:r>
        <w:drawing>
          <wp:inline>
            <wp:extent cx="5753100" cy="2397125"/>
            <wp:effectExtent b="0" l="0" r="0" t="0"/>
            <wp:docPr descr="M1 Identification Results" title="" id="27" name="Picture"/>
            <a:graphic>
              <a:graphicData uri="http://schemas.openxmlformats.org/drawingml/2006/picture">
                <pic:pic>
                  <pic:nvPicPr>
                    <pic:cNvPr descr="../lab3_implementation/M1_identification_result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M1 Identification Results</w:t>
      </w:r>
    </w:p>
    <w:p>
      <w:pPr>
        <w:pStyle w:val="BodyText"/>
      </w:pPr>
      <w:r>
        <w:t xml:space="preserve">A Tabela 1 apresenta os parâmetros identificados e as métricas de validação para M1.</w:t>
      </w:r>
    </w:p>
    <w:p>
      <w:pPr>
        <w:pStyle w:val="BodyText"/>
      </w:pPr>
      <w:r>
        <w:rPr>
          <w:b/>
          <w:bCs/>
        </w:rPr>
        <w:t xml:space="preserve">Tabela 1:</w:t>
      </w:r>
      <w:r>
        <w:t xml:space="preserve"> </w:t>
      </w:r>
      <w:r>
        <w:t xml:space="preserve">Parâmetros FOPDT identificados para a planta M1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K</w:t>
            </w:r>
          </w:p>
        </w:tc>
        <w:tc>
          <w:tcPr/>
          <w:p>
            <w:pPr>
              <w:pStyle w:val="Compact"/>
            </w:pPr>
            <w:r>
              <w:t xml:space="preserve">T (s)</w:t>
            </w:r>
          </w:p>
        </w:tc>
        <w:tc>
          <w:tcPr/>
          <w:p>
            <w:pPr>
              <w:pStyle w:val="Compact"/>
            </w:pPr>
            <w:r>
              <w:t xml:space="preserve">θ (s)</w:t>
            </w:r>
          </w:p>
        </w:tc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IAE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Gráfico (Smith)</w:t>
            </w:r>
          </w:p>
        </w:tc>
        <w:tc>
          <w:tcPr/>
          <w:p>
            <w:pPr>
              <w:pStyle w:val="Compact"/>
            </w:pPr>
            <w:r>
              <w:t xml:space="preserve">1.0000</w:t>
            </w:r>
          </w:p>
        </w:tc>
        <w:tc>
          <w:tcPr/>
          <w:p>
            <w:pPr>
              <w:pStyle w:val="Compact"/>
            </w:pPr>
            <w:r>
              <w:t xml:space="preserve">1.1550</w:t>
            </w:r>
          </w:p>
        </w:tc>
        <w:tc>
          <w:tcPr/>
          <w:p>
            <w:pPr>
              <w:pStyle w:val="Compact"/>
            </w:pPr>
            <w:r>
              <w:t xml:space="preserve">1.4100</w:t>
            </w:r>
          </w:p>
        </w:tc>
        <w:tc>
          <w:tcPr/>
          <w:p>
            <w:pPr>
              <w:pStyle w:val="Compact"/>
            </w:pPr>
            <w:r>
              <w:t xml:space="preserve">0.0154</w:t>
            </w:r>
          </w:p>
        </w:tc>
        <w:tc>
          <w:tcPr/>
          <w:p>
            <w:pPr>
              <w:pStyle w:val="Compact"/>
            </w:pPr>
            <w:r>
              <w:t xml:space="preserve">0.1106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Toolbox (tfest)</w:t>
            </w:r>
          </w:p>
        </w:tc>
        <w:tc>
          <w:tcPr/>
          <w:p>
            <w:pPr>
              <w:pStyle w:val="Compact"/>
            </w:pPr>
            <w:r>
              <w:t xml:space="preserve">1.0209</w:t>
            </w:r>
          </w:p>
        </w:tc>
        <w:tc>
          <w:tcPr/>
          <w:p>
            <w:pPr>
              <w:pStyle w:val="Compact"/>
            </w:pPr>
            <w:r>
              <w:t xml:space="preserve">2.2349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  <w:tc>
          <w:tcPr/>
          <w:p>
            <w:pPr>
              <w:pStyle w:val="Compact"/>
            </w:pPr>
            <w:r>
              <w:t xml:space="preserve">0.1077</w:t>
            </w:r>
          </w:p>
        </w:tc>
        <w:tc>
          <w:tcPr/>
          <w:p>
            <w:pPr>
              <w:pStyle w:val="Compact"/>
            </w:pPr>
            <w:r>
              <w:t xml:space="preserve">1.0647</w:t>
            </w:r>
          </w:p>
        </w:tc>
      </w:tr>
    </w:tbl>
    <w:p>
      <w:pPr>
        <w:pStyle w:val="BodyText"/>
      </w:pPr>
      <w:r>
        <w:rPr>
          <w:b/>
          <w:bCs/>
        </w:rPr>
        <w:t xml:space="preserve">Modelo FOPDT Selecionado para M1 (Método Gráfico):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1.0000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1.41</m:t>
                  </m:r>
                  <m:r>
                    <m:t>s</m:t>
                  </m:r>
                </m:sup>
              </m:sSup>
            </m:num>
            <m:den>
              <m:r>
                <m:t>1.155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Justificativa da seleção:</w:t>
      </w:r>
      <w:r>
        <w:t xml:space="preserve"> </w:t>
      </w:r>
      <w:r>
        <w:t xml:space="preserve">O método gráfico apresentou RMSE aproximadamente 7 vezes menor (0.0154 vs 0.1077) e IAE cerca de 9.6 vezes menor (0.1106 vs 1.0647) em relação ao</w:t>
      </w:r>
      <w:r>
        <w:t xml:space="preserve"> </w:t>
      </w:r>
      <w:r>
        <w:rPr>
          <w:i/>
          <w:iCs/>
        </w:rPr>
        <w:t xml:space="preserve">toolbox</w:t>
      </w:r>
      <w:r>
        <w:t xml:space="preserve">. Além disso, o método gráfico identificou corretamente o atraso de 1.41 segundos, parâmetro crítico para as regras de sintonia PID, enquanto o</w:t>
      </w:r>
      <w:r>
        <w:t xml:space="preserve"> </w:t>
      </w:r>
      <w:r>
        <w:rPr>
          <w:i/>
          <w:iCs/>
        </w:rPr>
        <w:t xml:space="preserve">toolbox</w:t>
      </w:r>
      <w:r>
        <w:t xml:space="preserve"> </w:t>
      </w:r>
      <w:r>
        <w:t xml:space="preserve">não conseguiu estimar o atraso puro (θ = 0).</w:t>
      </w:r>
    </w:p>
    <w:bookmarkEnd w:id="29"/>
    <w:bookmarkStart w:id="33" w:name="identificação-da-planta-m2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4.2. Identificação da Planta M2</w:t>
      </w:r>
    </w:p>
    <w:p>
      <w:pPr>
        <w:pStyle w:val="FirstParagraph"/>
      </w:pPr>
      <w:r>
        <w:t xml:space="preserve">A Figura 2 mostra a identificação da planta M2, que apresenta resposta inversa característica de sistemas não-mínima fase.</w:t>
      </w:r>
    </w:p>
    <w:p>
      <w:pPr>
        <w:pStyle w:val="BodyText"/>
      </w:pPr>
      <w:r>
        <w:rPr>
          <w:b/>
          <w:bCs/>
        </w:rPr>
        <w:t xml:space="preserve">Figura 2:</w:t>
      </w:r>
      <w:r>
        <w:t xml:space="preserve"> </w:t>
      </w:r>
      <w:r>
        <w:t xml:space="preserve">Comparação dos modelos FOPDT para a planta M2 (não-mínima fase). À esquerda: resposta com</w:t>
      </w:r>
      <w:r>
        <w:t xml:space="preserve"> </w:t>
      </w:r>
      <w:r>
        <w:rPr>
          <w:i/>
          <w:iCs/>
        </w:rPr>
        <w:t xml:space="preserve">undershoot</w:t>
      </w:r>
      <w:r>
        <w:t xml:space="preserve"> </w:t>
      </w:r>
      <w:r>
        <w:t xml:space="preserve">inicial (azul) e modelos aproximados. À direita: modelo gráfico selecionado capturando o comportamento dinâmico equivalente.</w:t>
      </w:r>
    </w:p>
    <w:p>
      <w:pPr>
        <w:pStyle w:val="CaptionedFigure"/>
      </w:pPr>
      <w:r>
        <w:drawing>
          <wp:inline>
            <wp:extent cx="5753100" cy="2397125"/>
            <wp:effectExtent b="0" l="0" r="0" t="0"/>
            <wp:docPr descr="M2 Identification Results" title="" id="31" name="Picture"/>
            <a:graphic>
              <a:graphicData uri="http://schemas.openxmlformats.org/drawingml/2006/picture">
                <pic:pic>
                  <pic:nvPicPr>
                    <pic:cNvPr descr="../lab3_implementation/M2_identification_result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M2 Identification Results</w:t>
      </w:r>
    </w:p>
    <w:p>
      <w:pPr>
        <w:pStyle w:val="BodyText"/>
      </w:pPr>
      <w:r>
        <w:t xml:space="preserve">A Tabela 2 resume os parâmetros obtidos para M2.</w:t>
      </w:r>
    </w:p>
    <w:p>
      <w:pPr>
        <w:pStyle w:val="BodyText"/>
      </w:pPr>
      <w:r>
        <w:rPr>
          <w:b/>
          <w:bCs/>
        </w:rPr>
        <w:t xml:space="preserve">Tabela 2:</w:t>
      </w:r>
      <w:r>
        <w:t xml:space="preserve"> </w:t>
      </w:r>
      <w:r>
        <w:t xml:space="preserve">Parâmetros FOPDT identificados para a planta M2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K</w:t>
            </w:r>
          </w:p>
        </w:tc>
        <w:tc>
          <w:tcPr/>
          <w:p>
            <w:pPr>
              <w:pStyle w:val="Compact"/>
            </w:pPr>
            <w:r>
              <w:t xml:space="preserve">T (s)</w:t>
            </w:r>
          </w:p>
        </w:tc>
        <w:tc>
          <w:tcPr/>
          <w:p>
            <w:pPr>
              <w:pStyle w:val="Compact"/>
            </w:pPr>
            <w:r>
              <w:t xml:space="preserve">θ (s)</w:t>
            </w:r>
          </w:p>
        </w:tc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IAE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Gráfico (adaptado)</w:t>
            </w:r>
          </w:p>
        </w:tc>
        <w:tc>
          <w:tcPr/>
          <w:p>
            <w:pPr>
              <w:pStyle w:val="Compact"/>
            </w:pPr>
            <w:r>
              <w:t xml:space="preserve">1.0000</w:t>
            </w:r>
          </w:p>
        </w:tc>
        <w:tc>
          <w:tcPr/>
          <w:p>
            <w:pPr>
              <w:pStyle w:val="Compact"/>
            </w:pPr>
            <w:r>
              <w:t xml:space="preserve">1.9350</w:t>
            </w:r>
          </w:p>
        </w:tc>
        <w:tc>
          <w:tcPr/>
          <w:p>
            <w:pPr>
              <w:pStyle w:val="Compact"/>
            </w:pPr>
            <w:r>
              <w:t xml:space="preserve">2.2150</w:t>
            </w:r>
          </w:p>
        </w:tc>
        <w:tc>
          <w:tcPr/>
          <w:p>
            <w:pPr>
              <w:pStyle w:val="Compact"/>
            </w:pPr>
            <w:r>
              <w:t xml:space="preserve">0.0306</w:t>
            </w:r>
          </w:p>
        </w:tc>
        <w:tc>
          <w:tcPr/>
          <w:p>
            <w:pPr>
              <w:pStyle w:val="Compact"/>
            </w:pPr>
            <w:r>
              <w:t xml:space="preserve">0.3424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Toolbox (tfest)</w:t>
            </w:r>
          </w:p>
        </w:tc>
        <w:tc>
          <w:tcPr/>
          <w:p>
            <w:pPr>
              <w:pStyle w:val="Compact"/>
            </w:pPr>
            <w:r>
              <w:t xml:space="preserve">1.0463</w:t>
            </w:r>
          </w:p>
        </w:tc>
        <w:tc>
          <w:tcPr/>
          <w:p>
            <w:pPr>
              <w:pStyle w:val="Compact"/>
            </w:pPr>
            <w:r>
              <w:t xml:space="preserve">3.4715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  <w:tc>
          <w:tcPr/>
          <w:p>
            <w:pPr>
              <w:pStyle w:val="Compact"/>
            </w:pPr>
            <w:r>
              <w:t xml:space="preserve">0.1474</w:t>
            </w:r>
          </w:p>
        </w:tc>
        <w:tc>
          <w:tcPr/>
          <w:p>
            <w:pPr>
              <w:pStyle w:val="Compact"/>
            </w:pPr>
            <w:r>
              <w:t xml:space="preserve">1.6581</w:t>
            </w:r>
          </w:p>
        </w:tc>
      </w:tr>
    </w:tbl>
    <w:p>
      <w:pPr>
        <w:pStyle w:val="BodyText"/>
      </w:pPr>
      <w:r>
        <w:rPr>
          <w:b/>
          <w:bCs/>
        </w:rPr>
        <w:t xml:space="preserve">Modelo FOPDT Selecionado para M2 (Método Gráfico):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1.0000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2.215</m:t>
                  </m:r>
                  <m:r>
                    <m:t>s</m:t>
                  </m:r>
                </m:sup>
              </m:sSup>
            </m:num>
            <m:den>
              <m:r>
                <m:t>1.935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Observações sobre a resposta inversa:</w:t>
      </w:r>
      <w:r>
        <w:t xml:space="preserve"> </w:t>
      </w:r>
      <w:r>
        <w:t xml:space="preserve">A planta M2 apresentou</w:t>
      </w:r>
      <w:r>
        <w:t xml:space="preserve"> </w:t>
      </w:r>
      <w:r>
        <w:rPr>
          <w:i/>
          <w:iCs/>
        </w:rPr>
        <w:t xml:space="preserve">undershoot</w:t>
      </w:r>
      <w:r>
        <w:t xml:space="preserve"> </w:t>
      </w:r>
      <w:r>
        <w:t xml:space="preserve">mínimo de -0.1225 em t = 1.05s, característico do zero RHP em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1.1</m:t>
        </m:r>
        <m:r>
          <m:t>s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. O método gráfico foi adaptado para capturar o comportamento dinâmico equivalente através de um atraso maior (θ = 2.215s), resultando em erro de aproximação significativamente menor que o</w:t>
      </w:r>
      <w:r>
        <w:t xml:space="preserve"> </w:t>
      </w:r>
      <w:r>
        <w:rPr>
          <w:i/>
          <w:iCs/>
        </w:rPr>
        <w:t xml:space="preserve">toolbox</w:t>
      </w:r>
      <w:r>
        <w:t xml:space="preserve"> </w:t>
      </w:r>
      <w:r>
        <w:t xml:space="preserve">(RMSE: 0.0306 vs 0.1474).</w:t>
      </w:r>
    </w:p>
    <w:bookmarkEnd w:id="33"/>
    <w:bookmarkStart w:id="37" w:name="X3673a26ea63993331ba15d531b544aab539a936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4.3. Análise Comparativa dos Métodos de Identificação</w:t>
      </w:r>
    </w:p>
    <w:p>
      <w:pPr>
        <w:pStyle w:val="FirstParagraph"/>
      </w:pPr>
      <w:r>
        <w:t xml:space="preserve">A Figura 3 apresenta comparação visual das métricas de erro para ambos os métodos.</w:t>
      </w:r>
    </w:p>
    <w:p>
      <w:pPr>
        <w:pStyle w:val="BodyText"/>
      </w:pPr>
      <w:r>
        <w:rPr>
          <w:b/>
          <w:bCs/>
        </w:rPr>
        <w:t xml:space="preserve">Figura 3:</w:t>
      </w:r>
      <w:r>
        <w:t xml:space="preserve"> </w:t>
      </w:r>
      <w:r>
        <w:t xml:space="preserve">Comparação de métricas de erro RMSE e IAE entre método gráfico e</w:t>
      </w:r>
      <w:r>
        <w:t xml:space="preserve"> </w:t>
      </w:r>
      <w:r>
        <w:rPr>
          <w:i/>
          <w:iCs/>
        </w:rPr>
        <w:t xml:space="preserve">toolbox</w:t>
      </w:r>
      <w:r>
        <w:t xml:space="preserve"> </w:t>
      </w:r>
      <w:r>
        <w:t xml:space="preserve">para as plantas M1 e M2. O método gráfico demonstra superioridade em ambas as métricas.</w:t>
      </w:r>
    </w:p>
    <w:p>
      <w:pPr>
        <w:pStyle w:val="CaptionedFigure"/>
      </w:pPr>
      <w:r>
        <w:drawing>
          <wp:inline>
            <wp:extent cx="5753100" cy="4314825"/>
            <wp:effectExtent b="0" l="0" r="0" t="0"/>
            <wp:docPr descr="Error Metrics Comparison" title="" id="35" name="Picture"/>
            <a:graphic>
              <a:graphicData uri="http://schemas.openxmlformats.org/drawingml/2006/picture">
                <pic:pic>
                  <pic:nvPicPr>
                    <pic:cNvPr descr="../lab3_implementation/error_metrics_comparis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Metrics Comparison</w:t>
      </w:r>
    </w:p>
    <w:p>
      <w:pPr>
        <w:pStyle w:val="BodyText"/>
      </w:pPr>
      <w:r>
        <w:t xml:space="preserve">A Tabela 3 resume as características comparativas dos métodos.</w:t>
      </w:r>
    </w:p>
    <w:p>
      <w:pPr>
        <w:pStyle w:val="BodyText"/>
      </w:pPr>
      <w:r>
        <w:rPr>
          <w:b/>
          <w:bCs/>
        </w:rPr>
        <w:t xml:space="preserve">Tabela 3:</w:t>
      </w:r>
      <w:r>
        <w:t xml:space="preserve"> </w:t>
      </w:r>
      <w:r>
        <w:t xml:space="preserve">Análise comparativa dos métodos de identificação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9"/>
        <w:gridCol w:w="2223"/>
        <w:gridCol w:w="430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Critério</w:t>
            </w:r>
          </w:p>
        </w:tc>
        <w:tc>
          <w:tcPr/>
          <w:p>
            <w:pPr>
              <w:pStyle w:val="Compact"/>
            </w:pPr>
            <w:r>
              <w:t xml:space="preserve">Método Gráfico</w:t>
            </w:r>
          </w:p>
        </w:tc>
        <w:tc>
          <w:tcPr/>
          <w:p>
            <w:pPr>
              <w:pStyle w:val="Compact"/>
            </w:pPr>
            <w:r>
              <w:t xml:space="preserve">System Identification Toolbox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Precisão (RMSE)</w:t>
            </w:r>
          </w:p>
        </w:tc>
        <w:tc>
          <w:tcPr/>
          <w:p>
            <w:pPr>
              <w:pStyle w:val="Compact"/>
            </w:pPr>
            <w:r>
              <w:t xml:space="preserve">✅ Excelente (0.015-0.030)</w:t>
            </w:r>
          </w:p>
        </w:tc>
        <w:tc>
          <w:tcPr/>
          <w:p>
            <w:pPr>
              <w:pStyle w:val="Compact"/>
            </w:pPr>
            <w:r>
              <w:t xml:space="preserve">⚠️ Moderada (0.108-0.147)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Identificação de θ</w:t>
            </w:r>
          </w:p>
        </w:tc>
        <w:tc>
          <w:tcPr/>
          <w:p>
            <w:pPr>
              <w:pStyle w:val="Compact"/>
            </w:pPr>
            <w:r>
              <w:t xml:space="preserve">✅ Correto (1.41s e 2.22s)</w:t>
            </w:r>
          </w:p>
        </w:tc>
        <w:tc>
          <w:tcPr/>
          <w:p>
            <w:pPr>
              <w:pStyle w:val="Compact"/>
            </w:pPr>
            <w:r>
              <w:t xml:space="preserve">❌ Não identificado (θ=0)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Tempo de execução</w:t>
            </w:r>
          </w:p>
        </w:tc>
        <w:tc>
          <w:tcPr/>
          <w:p>
            <w:pPr>
              <w:pStyle w:val="Compact"/>
            </w:pPr>
            <w:r>
              <w:t xml:space="preserve">⚠️ Manual (~10 min/planta)</w:t>
            </w:r>
          </w:p>
        </w:tc>
        <w:tc>
          <w:tcPr/>
          <w:p>
            <w:pPr>
              <w:pStyle w:val="Compact"/>
            </w:pPr>
            <w:r>
              <w:t xml:space="preserve">✅ Rápido (~1 min)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M2 (resposta inversa)</w:t>
            </w:r>
          </w:p>
        </w:tc>
        <w:tc>
          <w:tcPr/>
          <w:p>
            <w:pPr>
              <w:pStyle w:val="Compact"/>
            </w:pPr>
            <w:r>
              <w:t xml:space="preserve">✅ Adaptável</w:t>
            </w:r>
          </w:p>
        </w:tc>
        <w:tc>
          <w:tcPr/>
          <w:p>
            <w:pPr>
              <w:pStyle w:val="Compact"/>
            </w:pPr>
            <w:r>
              <w:t xml:space="preserve">❌ Limitado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Aplicação</w:t>
            </w:r>
          </w:p>
        </w:tc>
        <w:tc>
          <w:tcPr/>
          <w:p>
            <w:pPr>
              <w:pStyle w:val="Compact"/>
            </w:pPr>
            <w:r>
              <w:t xml:space="preserve">Projeto detalhado de controle</w:t>
            </w:r>
          </w:p>
        </w:tc>
        <w:tc>
          <w:tcPr/>
          <w:p>
            <w:pPr>
              <w:pStyle w:val="Compact"/>
            </w:pPr>
            <w:r>
              <w:t xml:space="preserve">Exploração inicial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Conhecimento necessário</w:t>
            </w:r>
          </w:p>
        </w:tc>
        <w:tc>
          <w:tcPr/>
          <w:p>
            <w:pPr>
              <w:pStyle w:val="Compact"/>
            </w:pPr>
            <w:r>
              <w:t xml:space="preserve">Médio-alto</w:t>
            </w:r>
          </w:p>
        </w:tc>
        <w:tc>
          <w:tcPr/>
          <w:p>
            <w:pPr>
              <w:pStyle w:val="Compact"/>
            </w:pPr>
            <w:r>
              <w:t xml:space="preserve">Baixo</w:t>
            </w:r>
          </w:p>
        </w:tc>
      </w:tr>
    </w:tbl>
    <w:bookmarkEnd w:id="37"/>
    <w:bookmarkStart w:id="41" w:name="controladores-pid-projetados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4.4. Controladores PID Projetados</w:t>
      </w:r>
    </w:p>
    <w:p>
      <w:pPr>
        <w:pStyle w:val="FirstParagraph"/>
      </w:pPr>
      <w:r>
        <w:t xml:space="preserve">Utilizando os modelos FOPDT gráficos selecionados, foram calculados os parâmetros PID por três métodos de sintonia. A Tabela 4 apresenta os resultados.</w:t>
      </w:r>
    </w:p>
    <w:p>
      <w:pPr>
        <w:pStyle w:val="BodyText"/>
      </w:pPr>
      <w:r>
        <w:rPr>
          <w:b/>
          <w:bCs/>
        </w:rPr>
        <w:t xml:space="preserve">Tabela 4:</w:t>
      </w:r>
      <w:r>
        <w:t xml:space="preserve"> </w:t>
      </w:r>
      <w:r>
        <w:t xml:space="preserve">Parâmetros dos controladores PID calculados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Planta</w:t>
            </w:r>
          </w:p>
        </w:tc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Kp</w:t>
            </w:r>
          </w:p>
        </w:tc>
        <w:tc>
          <w:tcPr/>
          <w:p>
            <w:pPr>
              <w:pStyle w:val="Compact"/>
            </w:pPr>
            <w:r>
              <w:t xml:space="preserve">Ki</w:t>
            </w:r>
          </w:p>
        </w:tc>
        <w:tc>
          <w:tcPr/>
          <w:p>
            <w:pPr>
              <w:pStyle w:val="Compact"/>
            </w:pPr>
            <w:r>
              <w:t xml:space="preserve">Kd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M1</w:t>
            </w:r>
          </w:p>
        </w:tc>
        <w:tc>
          <w:tcPr/>
          <w:p>
            <w:pPr>
              <w:pStyle w:val="Compact"/>
            </w:pPr>
            <w:r>
              <w:t xml:space="preserve">Ziegler-Nichols</w:t>
            </w:r>
          </w:p>
        </w:tc>
        <w:tc>
          <w:tcPr/>
          <w:p>
            <w:pPr>
              <w:pStyle w:val="Compact"/>
            </w:pPr>
            <w:r>
              <w:t xml:space="preserve">0.9830</w:t>
            </w:r>
          </w:p>
        </w:tc>
        <w:tc>
          <w:tcPr/>
          <w:p>
            <w:pPr>
              <w:pStyle w:val="Compact"/>
            </w:pPr>
            <w:r>
              <w:t xml:space="preserve">0.3486</w:t>
            </w:r>
          </w:p>
        </w:tc>
        <w:tc>
          <w:tcPr/>
          <w:p>
            <w:pPr>
              <w:pStyle w:val="Compact"/>
            </w:pPr>
            <w:r>
              <w:t xml:space="preserve">0.6930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M1</w:t>
            </w:r>
          </w:p>
        </w:tc>
        <w:tc>
          <w:tcPr/>
          <w:p>
            <w:pPr>
              <w:pStyle w:val="Compact"/>
            </w:pPr>
            <w:r>
              <w:t xml:space="preserve">AMIGO</w:t>
            </w:r>
          </w:p>
        </w:tc>
        <w:tc>
          <w:tcPr/>
          <w:p>
            <w:pPr>
              <w:pStyle w:val="Compact"/>
            </w:pPr>
            <w:r>
              <w:t xml:space="preserve">0.5686</w:t>
            </w:r>
          </w:p>
        </w:tc>
        <w:tc>
          <w:tcPr/>
          <w:p>
            <w:pPr>
              <w:pStyle w:val="Compact"/>
            </w:pPr>
            <w:r>
              <w:t xml:space="preserve">0.4134</w:t>
            </w:r>
          </w:p>
        </w:tc>
        <w:tc>
          <w:tcPr/>
          <w:p>
            <w:pPr>
              <w:pStyle w:val="Compact"/>
            </w:pPr>
            <w:r>
              <w:t xml:space="preserve">0.2934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M1</w:t>
            </w:r>
          </w:p>
        </w:tc>
        <w:tc>
          <w:tcPr/>
          <w:p>
            <w:pPr>
              <w:pStyle w:val="Compact"/>
            </w:pPr>
            <w:r>
              <w:t xml:space="preserve">SIMC</w:t>
            </w:r>
          </w:p>
        </w:tc>
        <w:tc>
          <w:tcPr/>
          <w:p>
            <w:pPr>
              <w:pStyle w:val="Compact"/>
            </w:pPr>
            <w:r>
              <w:t xml:space="preserve">0.4096</w:t>
            </w:r>
          </w:p>
        </w:tc>
        <w:tc>
          <w:tcPr/>
          <w:p>
            <w:pPr>
              <w:pStyle w:val="Compact"/>
            </w:pPr>
            <w:r>
              <w:t xml:space="preserve">0.3546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M2</w:t>
            </w:r>
          </w:p>
        </w:tc>
        <w:tc>
          <w:tcPr/>
          <w:p>
            <w:pPr>
              <w:pStyle w:val="Compact"/>
            </w:pPr>
            <w:r>
              <w:t xml:space="preserve">Ziegler-Nichols</w:t>
            </w:r>
          </w:p>
        </w:tc>
        <w:tc>
          <w:tcPr/>
          <w:p>
            <w:pPr>
              <w:pStyle w:val="Compact"/>
            </w:pPr>
            <w:r>
              <w:t xml:space="preserve">1.0483</w:t>
            </w:r>
          </w:p>
        </w:tc>
        <w:tc>
          <w:tcPr/>
          <w:p>
            <w:pPr>
              <w:pStyle w:val="Compact"/>
            </w:pPr>
            <w:r>
              <w:t xml:space="preserve">0.2366</w:t>
            </w:r>
          </w:p>
        </w:tc>
        <w:tc>
          <w:tcPr/>
          <w:p>
            <w:pPr>
              <w:pStyle w:val="Compact"/>
            </w:pPr>
            <w:r>
              <w:t xml:space="preserve">1.1610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M2</w:t>
            </w:r>
          </w:p>
        </w:tc>
        <w:tc>
          <w:tcPr/>
          <w:p>
            <w:pPr>
              <w:pStyle w:val="Compact"/>
            </w:pPr>
            <w:r>
              <w:t xml:space="preserve">AMIGO</w:t>
            </w:r>
          </w:p>
        </w:tc>
        <w:tc>
          <w:tcPr/>
          <w:p>
            <w:pPr>
              <w:pStyle w:val="Compact"/>
            </w:pPr>
            <w:r>
              <w:t xml:space="preserve">0.5931</w:t>
            </w:r>
          </w:p>
        </w:tc>
        <w:tc>
          <w:tcPr/>
          <w:p>
            <w:pPr>
              <w:pStyle w:val="Compact"/>
            </w:pPr>
            <w:r>
              <w:t xml:space="preserve">0.2650</w:t>
            </w:r>
          </w:p>
        </w:tc>
        <w:tc>
          <w:tcPr/>
          <w:p>
            <w:pPr>
              <w:pStyle w:val="Compact"/>
            </w:pPr>
            <w:r>
              <w:t xml:space="preserve">0.4890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M2</w:t>
            </w:r>
          </w:p>
        </w:tc>
        <w:tc>
          <w:tcPr/>
          <w:p>
            <w:pPr>
              <w:pStyle w:val="Compact"/>
            </w:pPr>
            <w:r>
              <w:t xml:space="preserve">SIMC</w:t>
            </w:r>
          </w:p>
        </w:tc>
        <w:tc>
          <w:tcPr/>
          <w:p>
            <w:pPr>
              <w:pStyle w:val="Compact"/>
            </w:pPr>
            <w:r>
              <w:t xml:space="preserve">0.4368</w:t>
            </w:r>
          </w:p>
        </w:tc>
        <w:tc>
          <w:tcPr/>
          <w:p>
            <w:pPr>
              <w:pStyle w:val="Compact"/>
            </w:pPr>
            <w:r>
              <w:t xml:space="preserve">0.2257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método SIMC resultou em controladores PI (Kd = 0) para ambas as plantas, característica típica deste método conservador que prioriza robustez e simplicidade.</w:t>
      </w:r>
    </w:p>
    <w:p>
      <w:pPr>
        <w:pStyle w:val="BodyText"/>
      </w:pPr>
      <w:r>
        <w:t xml:space="preserve">A Figura 4 mostra as respostas ao degrau em malha fechada para os três controladores.</w:t>
      </w:r>
    </w:p>
    <w:p>
      <w:pPr>
        <w:pStyle w:val="BodyText"/>
      </w:pPr>
      <w:r>
        <w:rPr>
          <w:b/>
          <w:bCs/>
        </w:rPr>
        <w:t xml:space="preserve">Figura 4:</w:t>
      </w:r>
      <w:r>
        <w:t xml:space="preserve"> </w:t>
      </w:r>
      <w:r>
        <w:t xml:space="preserve">Respostas ao degrau dos sistemas em malha fechada com controladores PID. Esquerda: M1. Direita: M2. Vermelho: Ziegler-Nichols (alto</w:t>
      </w:r>
      <w:r>
        <w:t xml:space="preserve"> </w:t>
      </w:r>
      <w:r>
        <w:rPr>
          <w:i/>
          <w:iCs/>
        </w:rPr>
        <w:t xml:space="preserve">overshoot</w:t>
      </w:r>
      <w:r>
        <w:t xml:space="preserve">). Azul: AMIGO (melhor amortecimento). Verde: SIMC (compromisso).</w:t>
      </w:r>
    </w:p>
    <w:p>
      <w:pPr>
        <w:pStyle w:val="CaptionedFigure"/>
      </w:pPr>
      <w:r>
        <w:drawing>
          <wp:inline>
            <wp:extent cx="5753100" cy="2054678"/>
            <wp:effectExtent b="0" l="0" r="0" t="0"/>
            <wp:docPr descr="Time Response Comparison" title="" id="39" name="Picture"/>
            <a:graphic>
              <a:graphicData uri="http://schemas.openxmlformats.org/drawingml/2006/picture">
                <pic:pic>
                  <pic:nvPicPr>
                    <pic:cNvPr descr="../lab3_implementation/time_response_comparison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Time Response Comparison</w:t>
      </w:r>
    </w:p>
    <w:bookmarkEnd w:id="41"/>
    <w:bookmarkStart w:id="45" w:name="análise-de-desempenho-dos-controladores"/>
    <w:p>
      <w:pPr>
        <w:pStyle w:val="Heading3"/>
      </w:pPr>
      <w:r>
        <w:rPr>
          <w:rStyle w:val="SectionNumber"/>
        </w:rPr>
        <w:t xml:space="preserve">1.5.5</w:t>
      </w:r>
      <w:r>
        <w:tab/>
      </w:r>
      <w:r>
        <w:t xml:space="preserve">4.5. Análise de Desempenho dos Controladores</w:t>
      </w:r>
    </w:p>
    <w:p>
      <w:pPr>
        <w:pStyle w:val="FirstParagraph"/>
      </w:pPr>
      <w:r>
        <w:t xml:space="preserve">A Tabela 5 apresenta métricas quantitativas de desempenho temporal, robustez e sensibilidade ao ruído.</w:t>
      </w:r>
    </w:p>
    <w:p>
      <w:pPr>
        <w:pStyle w:val="BodyText"/>
      </w:pPr>
      <w:r>
        <w:rPr>
          <w:b/>
          <w:bCs/>
        </w:rPr>
        <w:t xml:space="preserve">Tabela 5:</w:t>
      </w:r>
      <w:r>
        <w:t xml:space="preserve"> </w:t>
      </w:r>
      <w:r>
        <w:t xml:space="preserve">Métricas de desempenho dos controladores PID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609"/>
        <w:gridCol w:w="1142"/>
        <w:gridCol w:w="1446"/>
        <w:gridCol w:w="1142"/>
        <w:gridCol w:w="685"/>
        <w:gridCol w:w="609"/>
        <w:gridCol w:w="16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Planta</w:t>
            </w:r>
          </w:p>
        </w:tc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Rise Time (s)</w:t>
            </w:r>
          </w:p>
        </w:tc>
        <w:tc>
          <w:tcPr/>
          <w:p>
            <w:pPr>
              <w:pStyle w:val="Compact"/>
            </w:pPr>
            <w:r>
              <w:t xml:space="preserve">Settling Time (s)</w:t>
            </w:r>
          </w:p>
        </w:tc>
        <w:tc>
          <w:tcPr/>
          <w:p>
            <w:pPr>
              <w:pStyle w:val="Compact"/>
            </w:pPr>
            <w:r>
              <w:t xml:space="preserve">Overshoot (%)</w:t>
            </w:r>
          </w:p>
        </w:tc>
        <w:tc>
          <w:tcPr/>
          <w:p>
            <w:pPr>
              <w:pStyle w:val="Compact"/>
            </w:pPr>
            <w:r>
              <w:t xml:space="preserve">GM (dB)</w:t>
            </w:r>
          </w:p>
        </w:tc>
        <w:tc>
          <w:tcPr/>
          <w:p>
            <w:pPr>
              <w:pStyle w:val="Compact"/>
            </w:pPr>
            <w:r>
              <w:t xml:space="preserve">PM (°)</w:t>
            </w:r>
          </w:p>
        </w:tc>
        <w:tc>
          <w:tcPr/>
          <w:p>
            <w:pPr>
              <w:pStyle w:val="Compact"/>
            </w:pPr>
            <w:r>
              <w:t xml:space="preserve">Ruído</w:t>
            </w:r>
            <w:r>
              <w:t xml:space="preserve"> </w:t>
            </w:r>
            <w:r>
              <w:t xml:space="preserve">@100rad/s</w:t>
            </w:r>
            <w:r>
              <w:t xml:space="preserve"> </w:t>
            </w:r>
            <w:r>
              <w:t xml:space="preserve">(dB)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M1</w:t>
            </w:r>
          </w:p>
        </w:tc>
        <w:tc>
          <w:tcPr/>
          <w:p>
            <w:pPr>
              <w:pStyle w:val="Compact"/>
            </w:pPr>
            <w:r>
              <w:t xml:space="preserve">Z-N</w:t>
            </w:r>
          </w:p>
        </w:tc>
        <w:tc>
          <w:tcPr/>
          <w:p>
            <w:pPr>
              <w:pStyle w:val="Compact"/>
            </w:pPr>
            <w:r>
              <w:t xml:space="preserve">0.891</w:t>
            </w:r>
          </w:p>
        </w:tc>
        <w:tc>
          <w:tcPr/>
          <w:p>
            <w:pPr>
              <w:pStyle w:val="Compact"/>
            </w:pPr>
            <w:r>
              <w:t xml:space="preserve">13.592</w:t>
            </w:r>
          </w:p>
        </w:tc>
        <w:tc>
          <w:tcPr/>
          <w:p>
            <w:pPr>
              <w:pStyle w:val="Compact"/>
            </w:pPr>
            <w:r>
              <w:t xml:space="preserve">7.76</w:t>
            </w:r>
          </w:p>
        </w:tc>
        <w:tc>
          <w:tcPr/>
          <w:p>
            <w:pPr>
              <w:pStyle w:val="Compact"/>
            </w:pPr>
            <w:r>
              <w:t xml:space="preserve">4.16</w:t>
            </w:r>
          </w:p>
        </w:tc>
        <w:tc>
          <w:tcPr/>
          <w:p>
            <w:pPr>
              <w:pStyle w:val="Compact"/>
            </w:pPr>
            <w:r>
              <w:t xml:space="preserve">91.38</w:t>
            </w:r>
          </w:p>
        </w:tc>
        <w:tc>
          <w:tcPr/>
          <w:p>
            <w:pPr>
              <w:pStyle w:val="Compact"/>
            </w:pPr>
            <w:r>
              <w:t xml:space="preserve">+36.82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M1</w:t>
            </w:r>
          </w:p>
        </w:tc>
        <w:tc>
          <w:tcPr/>
          <w:p>
            <w:pPr>
              <w:pStyle w:val="Compact"/>
            </w:pPr>
            <w:r>
              <w:t xml:space="preserve">AMIGO</w:t>
            </w:r>
          </w:p>
        </w:tc>
        <w:tc>
          <w:tcPr/>
          <w:p>
            <w:pPr>
              <w:pStyle w:val="Compact"/>
            </w:pPr>
            <w:r>
              <w:t xml:space="preserve">2.947</w:t>
            </w:r>
          </w:p>
        </w:tc>
        <w:tc>
          <w:tcPr/>
          <w:p>
            <w:pPr>
              <w:pStyle w:val="Compact"/>
            </w:pPr>
            <w:r>
              <w:t xml:space="preserve">9.211</w:t>
            </w:r>
          </w:p>
        </w:tc>
        <w:tc>
          <w:tcPr/>
          <w:p>
            <w:pPr>
              <w:pStyle w:val="Compact"/>
            </w:pPr>
            <w:r>
              <w:t xml:space="preserve">2.80</w:t>
            </w:r>
          </w:p>
        </w:tc>
        <w:tc>
          <w:tcPr/>
          <w:p>
            <w:pPr>
              <w:pStyle w:val="Compact"/>
            </w:pPr>
            <w:r>
              <w:t xml:space="preserve">11.06</w:t>
            </w:r>
          </w:p>
        </w:tc>
        <w:tc>
          <w:tcPr/>
          <w:p>
            <w:pPr>
              <w:pStyle w:val="Compact"/>
            </w:pPr>
            <w:r>
              <w:t xml:space="preserve">65.14</w:t>
            </w:r>
          </w:p>
        </w:tc>
        <w:tc>
          <w:tcPr/>
          <w:p>
            <w:pPr>
              <w:pStyle w:val="Compact"/>
            </w:pPr>
            <w:r>
              <w:t xml:space="preserve">+29.35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SIMC</w:t>
            </w:r>
          </w:p>
        </w:tc>
        <w:tc>
          <w:tcPr/>
          <w:p>
            <w:pPr>
              <w:pStyle w:val="Compact"/>
            </w:pPr>
            <w:r>
              <w:t xml:space="preserve">2.687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8.537</w:t>
            </w:r>
          </w:p>
        </w:tc>
        <w:tc>
          <w:tcPr/>
          <w:p>
            <w:pPr>
              <w:pStyle w:val="Compact"/>
            </w:pPr>
            <w:r>
              <w:t xml:space="preserve">4.05</w:t>
            </w:r>
          </w:p>
        </w:tc>
        <w:tc>
          <w:tcPr/>
          <w:p>
            <w:pPr>
              <w:pStyle w:val="Compact"/>
            </w:pPr>
            <w:r>
              <w:t xml:space="preserve">9.94</w:t>
            </w:r>
          </w:p>
        </w:tc>
        <w:tc>
          <w:tcPr/>
          <w:p>
            <w:pPr>
              <w:pStyle w:val="Compact"/>
            </w:pPr>
            <w:r>
              <w:t xml:space="preserve">61.35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-7.75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M2</w:t>
            </w:r>
          </w:p>
        </w:tc>
        <w:tc>
          <w:tcPr/>
          <w:p>
            <w:pPr>
              <w:pStyle w:val="Compact"/>
            </w:pPr>
            <w:r>
              <w:t xml:space="preserve">Z-N</w:t>
            </w:r>
          </w:p>
        </w:tc>
        <w:tc>
          <w:tcPr/>
          <w:p>
            <w:pPr>
              <w:pStyle w:val="Compact"/>
            </w:pPr>
            <w:r>
              <w:t xml:space="preserve">1.287</w:t>
            </w:r>
          </w:p>
        </w:tc>
        <w:tc>
          <w:tcPr/>
          <w:p>
            <w:pPr>
              <w:pStyle w:val="Compact"/>
            </w:pPr>
            <w:r>
              <w:t xml:space="preserve">19.893</w:t>
            </w:r>
          </w:p>
        </w:tc>
        <w:tc>
          <w:tcPr/>
          <w:p>
            <w:pPr>
              <w:pStyle w:val="Compact"/>
            </w:pPr>
            <w:r>
              <w:t xml:space="preserve">11.76</w:t>
            </w:r>
          </w:p>
        </w:tc>
        <w:tc>
          <w:tcPr/>
          <w:p>
            <w:pPr>
              <w:pStyle w:val="Compact"/>
            </w:pPr>
            <w:r>
              <w:t xml:space="preserve">4.08</w:t>
            </w:r>
          </w:p>
        </w:tc>
        <w:tc>
          <w:tcPr/>
          <w:p>
            <w:pPr>
              <w:pStyle w:val="Compact"/>
            </w:pPr>
            <w:r>
              <w:t xml:space="preserve">89.25</w:t>
            </w:r>
          </w:p>
        </w:tc>
        <w:tc>
          <w:tcPr/>
          <w:p>
            <w:pPr>
              <w:pStyle w:val="Compact"/>
            </w:pPr>
            <w:r>
              <w:t xml:space="preserve">+41.30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M2</w:t>
            </w:r>
          </w:p>
        </w:tc>
        <w:tc>
          <w:tcPr/>
          <w:p>
            <w:pPr>
              <w:pStyle w:val="Compact"/>
            </w:pPr>
            <w:r>
              <w:t xml:space="preserve">AMIGO</w:t>
            </w:r>
          </w:p>
        </w:tc>
        <w:tc>
          <w:tcPr/>
          <w:p>
            <w:pPr>
              <w:pStyle w:val="Compact"/>
            </w:pPr>
            <w:r>
              <w:t xml:space="preserve">4.622</w:t>
            </w:r>
          </w:p>
        </w:tc>
        <w:tc>
          <w:tcPr/>
          <w:p>
            <w:pPr>
              <w:pStyle w:val="Compact"/>
            </w:pPr>
            <w:r>
              <w:t xml:space="preserve">14.952</w:t>
            </w:r>
          </w:p>
        </w:tc>
        <w:tc>
          <w:tcPr/>
          <w:p>
            <w:pPr>
              <w:pStyle w:val="Compact"/>
            </w:pPr>
            <w:r>
              <w:t xml:space="preserve">3.12</w:t>
            </w:r>
          </w:p>
        </w:tc>
        <w:tc>
          <w:tcPr/>
          <w:p>
            <w:pPr>
              <w:pStyle w:val="Compact"/>
            </w:pPr>
            <w:r>
              <w:t xml:space="preserve">11.05</w:t>
            </w:r>
          </w:p>
        </w:tc>
        <w:tc>
          <w:tcPr/>
          <w:p>
            <w:pPr>
              <w:pStyle w:val="Compact"/>
            </w:pPr>
            <w:r>
              <w:t xml:space="preserve">64.80</w:t>
            </w:r>
          </w:p>
        </w:tc>
        <w:tc>
          <w:tcPr/>
          <w:p>
            <w:pPr>
              <w:pStyle w:val="Compact"/>
            </w:pPr>
            <w:r>
              <w:t xml:space="preserve">+33.79</w:t>
            </w:r>
          </w:p>
        </w:tc>
      </w:tr>
      <w:tr>
        <w:tc>
          <w:tcPr/>
          <w:p>
            <w:pPr>
              <w:pStyle w:val="Compact"/>
            </w:pPr>
            <w:r>
              <w:t xml:space="preserve">M2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SIMC</w:t>
            </w:r>
          </w:p>
        </w:tc>
        <w:tc>
          <w:tcPr/>
          <w:p>
            <w:pPr>
              <w:pStyle w:val="Compact"/>
            </w:pPr>
            <w:r>
              <w:t xml:space="preserve">4.220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13.410</w:t>
            </w:r>
          </w:p>
        </w:tc>
        <w:tc>
          <w:tcPr/>
          <w:p>
            <w:pPr>
              <w:pStyle w:val="Compact"/>
            </w:pPr>
            <w:r>
              <w:t xml:space="preserve">4.05</w:t>
            </w:r>
          </w:p>
        </w:tc>
        <w:tc>
          <w:tcPr/>
          <w:p>
            <w:pPr>
              <w:pStyle w:val="Compact"/>
            </w:pPr>
            <w:r>
              <w:t xml:space="preserve">9.94</w:t>
            </w:r>
          </w:p>
        </w:tc>
        <w:tc>
          <w:tcPr/>
          <w:p>
            <w:pPr>
              <w:pStyle w:val="Compact"/>
            </w:pPr>
            <w:r>
              <w:t xml:space="preserve">61.35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-7.19</w:t>
            </w:r>
          </w:p>
        </w:tc>
      </w:tr>
    </w:tbl>
    <w:p>
      <w:pPr>
        <w:pStyle w:val="BodyText"/>
      </w:pPr>
      <w:r>
        <w:rPr>
          <w:b/>
          <w:bCs/>
        </w:rPr>
        <w:t xml:space="preserve">Análise crítica: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Ziegler-Nichols:</w:t>
      </w:r>
      <w:r>
        <w:t xml:space="preserve"> </w:t>
      </w:r>
      <w:r>
        <w:t xml:space="preserve">Apresenta o menor</w:t>
      </w:r>
      <w:r>
        <w:t xml:space="preserve"> </w:t>
      </w:r>
      <w:r>
        <w:rPr>
          <w:i/>
          <w:iCs/>
        </w:rPr>
        <w:t xml:space="preserve">rise time</w:t>
      </w:r>
      <w:r>
        <w:t xml:space="preserve">, mas margem de ganho crítica (GM &lt; 6 dB, abaixo do limiar recomendado para aplicações industriais) e pior sensibilidade ao ruído.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AMIGO:</w:t>
      </w:r>
      <w:r>
        <w:t xml:space="preserve"> </w:t>
      </w:r>
      <w:r>
        <w:t xml:space="preserve">Menor</w:t>
      </w:r>
      <w:r>
        <w:t xml:space="preserve"> </w:t>
      </w:r>
      <w:r>
        <w:rPr>
          <w:i/>
          <w:iCs/>
        </w:rPr>
        <w:t xml:space="preserve">overshoot</w:t>
      </w:r>
      <w:r>
        <w:t xml:space="preserve"> </w:t>
      </w:r>
      <w:r>
        <w:t xml:space="preserve">(2.80-3.12%) e melhor robustez (GM ~11 dB), mas sensibilidade ao ruído moderada devido à ação derivativa.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SIMC:</w:t>
      </w:r>
      <w:r>
        <w:t xml:space="preserve"> </w:t>
      </w:r>
      <w:r>
        <w:t xml:space="preserve">Melhor tempo de acomodação, única configuração com ganho negativo em alta frequência (rejeição de ruído), robustez adequada (GM ~10 dB &gt; 6 dB).</w:t>
      </w:r>
    </w:p>
    <w:p>
      <w:pPr>
        <w:pStyle w:val="BodyText"/>
      </w:pPr>
      <w:r>
        <w:t xml:space="preserve">A Figura 5 apresenta comparação visual de todas as métricas.</w:t>
      </w:r>
    </w:p>
    <w:p>
      <w:pPr>
        <w:pStyle w:val="BodyText"/>
      </w:pPr>
      <w:r>
        <w:rPr>
          <w:b/>
          <w:bCs/>
        </w:rPr>
        <w:t xml:space="preserve">Figura 5:</w:t>
      </w:r>
      <w:r>
        <w:t xml:space="preserve"> </w:t>
      </w:r>
      <w:r>
        <w:t xml:space="preserve">Comparação gráfica em 6 painéis:</w:t>
      </w:r>
      <w:r>
        <w:t xml:space="preserve"> </w:t>
      </w:r>
      <w:r>
        <w:rPr>
          <w:i/>
          <w:iCs/>
        </w:rPr>
        <w:t xml:space="preserve">rise time</w:t>
      </w:r>
      <w:r>
        <w:t xml:space="preserve">,</w:t>
      </w:r>
      <w:r>
        <w:t xml:space="preserve"> </w:t>
      </w:r>
      <w:r>
        <w:rPr>
          <w:i/>
          <w:iCs/>
        </w:rPr>
        <w:t xml:space="preserve">settling time</w:t>
      </w:r>
      <w:r>
        <w:t xml:space="preserve">,</w:t>
      </w:r>
      <w:r>
        <w:t xml:space="preserve"> </w:t>
      </w:r>
      <w:r>
        <w:rPr>
          <w:i/>
          <w:iCs/>
        </w:rPr>
        <w:t xml:space="preserve">overshoot</w:t>
      </w:r>
      <w:r>
        <w:t xml:space="preserve">, margem de ganho, margem de fase e sensibilidade ao ruído. SIMC destaca-se na rejeição de ruído e tempo de acomodação.</w:t>
      </w:r>
    </w:p>
    <w:p>
      <w:pPr>
        <w:pStyle w:val="CaptionedFigure"/>
      </w:pPr>
      <w:r>
        <w:drawing>
          <wp:inline>
            <wp:extent cx="5753100" cy="3698421"/>
            <wp:effectExtent b="0" l="0" r="0" t="0"/>
            <wp:docPr descr="Metrics Comparison" title="" id="43" name="Picture"/>
            <a:graphic>
              <a:graphicData uri="http://schemas.openxmlformats.org/drawingml/2006/picture">
                <pic:pic>
                  <pic:nvPicPr>
                    <pic:cNvPr descr="../lab3_implementation/metrics_comparison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Metrics Comparison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discussão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DISCUSSÃO</w:t>
      </w:r>
    </w:p>
    <w:bookmarkStart w:id="47" w:name="X8d0832b6445ffbc8c7556991b93296c7968603e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5.1. Eficácia dos Modelos FOPDT para Projeto de Controladores PID</w:t>
      </w:r>
    </w:p>
    <w:p>
      <w:pPr>
        <w:pStyle w:val="FirstParagraph"/>
      </w:pPr>
      <w:r>
        <w:t xml:space="preserve">Os resultados demonstram claramente que</w:t>
      </w:r>
      <w:r>
        <w:t xml:space="preserve"> </w:t>
      </w:r>
      <w:r>
        <w:rPr>
          <w:b/>
          <w:bCs/>
        </w:rPr>
        <w:t xml:space="preserve">o modelo FOPDT obtido pelo método gráfico é o mais eficaz para o projeto de controladores PID</w:t>
      </w:r>
      <w:r>
        <w:t xml:space="preserve">. Esta conclusão fundamenta-se em três aspectos principais:</w:t>
      </w:r>
    </w:p>
    <w:p>
      <w:pPr>
        <w:pStyle w:val="BodyText"/>
      </w:pPr>
      <w:r>
        <w:rPr>
          <w:b/>
          <w:bCs/>
        </w:rPr>
        <w:t xml:space="preserve">1. Precisão de Aproximação Superior</w:t>
      </w:r>
    </w:p>
    <w:p>
      <w:pPr>
        <w:pStyle w:val="BodyText"/>
      </w:pPr>
      <w:r>
        <w:t xml:space="preserve">O método gráfico apresentou erro de aproximação significativamente menor que o</w:t>
      </w:r>
      <w:r>
        <w:t xml:space="preserve"> </w:t>
      </w:r>
      <w:r>
        <w:rPr>
          <w:i/>
          <w:iCs/>
        </w:rPr>
        <w:t xml:space="preserve">toolbox</w:t>
      </w:r>
      <w:r>
        <w:t xml:space="preserve"> </w:t>
      </w:r>
      <w:r>
        <w:t xml:space="preserve">automatizado:</w:t>
      </w:r>
      <w:r>
        <w:t xml:space="preserve"> </w:t>
      </w:r>
      <w:r>
        <w:t xml:space="preserve">- M1: RMSE 7 vezes menor (0.0154 vs 0.1077)</w:t>
      </w:r>
      <w:r>
        <w:t xml:space="preserve"> </w:t>
      </w:r>
      <w:r>
        <w:t xml:space="preserve">- M2: RMSE 4.8 vezes menor (0.0306 vs 0.1474)</w:t>
      </w:r>
    </w:p>
    <w:p>
      <w:pPr>
        <w:pStyle w:val="BodyText"/>
      </w:pPr>
      <w:r>
        <w:t xml:space="preserve">Esta precisão é fundamental, pois os parâmetros K, T e θ do modelo FOPDT são diretamente utilizados nas fórmulas de sintonia PID. Erros na identificação propagam-se para os ganhos do controlador, comprometendo o desempenho em malha fechada.</w:t>
      </w:r>
    </w:p>
    <w:p>
      <w:pPr>
        <w:pStyle w:val="BodyText"/>
      </w:pPr>
      <w:r>
        <w:rPr>
          <w:b/>
          <w:bCs/>
        </w:rPr>
        <w:t xml:space="preserve">2. Identificação Correta do Tempo Morto (θ)</w:t>
      </w:r>
    </w:p>
    <w:p>
      <w:pPr>
        <w:pStyle w:val="BodyText"/>
      </w:pPr>
      <w:r>
        <w:t xml:space="preserve">O parâmetro de atraso θ é crítico para as regras de sintonia PID, especialmente Ziegler-Nichols e AMIGO, que utilizam θ tanto no numerador quanto no denominador das fórmulas [3,4]. O método gráfico identificou corretamente:</w:t>
      </w:r>
      <w:r>
        <w:t xml:space="preserve"> </w:t>
      </w:r>
      <w:r>
        <w:t xml:space="preserve">- M1: θ = 1.41 s (próximo ao atraso real de 1s da planta)</w:t>
      </w:r>
      <w:r>
        <w:t xml:space="preserve"> </w:t>
      </w:r>
      <w:r>
        <w:t xml:space="preserve">- M2: θ = 2.215 s (atraso equivalente considerando resposta inversa)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  <w:iCs/>
        </w:rPr>
        <w:t xml:space="preserve">toolbox</w:t>
      </w:r>
      <w:r>
        <w:t xml:space="preserve">, por outro lado, apresentou limitação sistemática na identificação de atrasos puros (θ = 0 para ambas plantas), resultando em modelos que não capturam adequadamente a dinâmica de transporte ou atrasos de processamento presentes nos sistemas reais.</w:t>
      </w:r>
    </w:p>
    <w:p>
      <w:pPr>
        <w:pStyle w:val="BodyText"/>
      </w:pPr>
      <w:r>
        <w:rPr>
          <w:b/>
          <w:bCs/>
        </w:rPr>
        <w:t xml:space="preserve">3. Adaptabilidade para Sistemas Não-Mínima Fase</w:t>
      </w:r>
    </w:p>
    <w:p>
      <w:pPr>
        <w:pStyle w:val="BodyText"/>
      </w:pPr>
      <w:r>
        <w:t xml:space="preserve">A planta M2, com zero RHP (</w:t>
      </w:r>
      <m:oMath>
        <m:r>
          <m:rPr>
            <m:sty m:val="p"/>
          </m:rPr>
          <m:t>−</m:t>
        </m:r>
        <m:r>
          <m:t>1.1</m:t>
        </m:r>
        <m:r>
          <m:t>s</m:t>
        </m:r>
        <m:r>
          <m:rPr>
            <m:sty m:val="p"/>
          </m:rPr>
          <m:t>+</m:t>
        </m:r>
        <m:r>
          <m:t>1</m:t>
        </m:r>
      </m:oMath>
      <w:r>
        <w:t xml:space="preserve">), apresenta resposta inversa que desafia métodos automatizados de identificação. O método gráfico, adaptado para este caso, conseguiu representar o comportamento dinâmico equivalente através de um modelo FOPDT com atraso maior, mantendo RMSE baixo (0.0306). Esta adaptabilidade é valiosa em processos industriais onde respostas inversas são comuns (e.g., sistemas de nível com vazão de saída, reatores químicos).</w:t>
      </w:r>
    </w:p>
    <w:p>
      <w:pPr>
        <w:pStyle w:val="BodyText"/>
      </w:pPr>
      <w:r>
        <w:rPr>
          <w:b/>
          <w:bCs/>
        </w:rPr>
        <w:t xml:space="preserve">Limitações do Método Gráfico:</w:t>
      </w:r>
      <w:r>
        <w:t xml:space="preserve"> </w:t>
      </w:r>
      <w:r>
        <w:t xml:space="preserve">- Requer inspeção visual e análise manual (~10 minutos por planta)</w:t>
      </w:r>
      <w:r>
        <w:t xml:space="preserve"> </w:t>
      </w:r>
      <w:r>
        <w:t xml:space="preserve">- Subjetividade na determinação do ponto de inflexão</w:t>
      </w:r>
      <w:r>
        <w:t xml:space="preserve"> </w:t>
      </w:r>
      <w:r>
        <w:t xml:space="preserve">- Demanda conhecimento técnico do operador</w:t>
      </w:r>
    </w:p>
    <w:p>
      <w:pPr>
        <w:pStyle w:val="BodyText"/>
      </w:pPr>
      <w:r>
        <w:rPr>
          <w:b/>
          <w:bCs/>
        </w:rPr>
        <w:t xml:space="preserve">Aplicação do Toolbox:</w:t>
      </w:r>
      <w:r>
        <w:t xml:space="preserve"> </w:t>
      </w:r>
      <w:r>
        <w:t xml:space="preserve">- Útil para exploração rápida e comparação preliminar</w:t>
      </w:r>
      <w:r>
        <w:t xml:space="preserve"> </w:t>
      </w:r>
      <w:r>
        <w:t xml:space="preserve">- Inadequado para projeto final de controladores críticos</w:t>
      </w:r>
      <w:r>
        <w:t xml:space="preserve"> </w:t>
      </w:r>
      <w:r>
        <w:t xml:space="preserve">- Pode servir como estimativa inicial para refinamento gráfico</w:t>
      </w:r>
    </w:p>
    <w:bookmarkEnd w:id="47"/>
    <w:bookmarkStart w:id="48" w:name="Xfef68ebb0f9f31b1787018be6628558ce7f7942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5.2. Análise Crítica dos Métodos de Sintonia PID</w:t>
      </w:r>
    </w:p>
    <w:p>
      <w:pPr>
        <w:pStyle w:val="FirstParagraph"/>
      </w:pPr>
      <w:r>
        <w:rPr>
          <w:b/>
          <w:bCs/>
        </w:rPr>
        <w:t xml:space="preserve">Ziegler-Nichols: Agressivo e Arriscado</w:t>
      </w:r>
    </w:p>
    <w:p>
      <w:pPr>
        <w:pStyle w:val="BodyText"/>
      </w:pPr>
      <w:r>
        <w:t xml:space="preserve">Vantagens:</w:t>
      </w:r>
      <w:r>
        <w:t xml:space="preserve"> </w:t>
      </w:r>
      <w:r>
        <w:t xml:space="preserve">- Resposta mais rápida (</w:t>
      </w:r>
      <w:r>
        <w:rPr>
          <w:i/>
          <w:iCs/>
        </w:rPr>
        <w:t xml:space="preserve">rise time</w:t>
      </w:r>
      <w:r>
        <w:t xml:space="preserve"> </w:t>
      </w:r>
      <w:r>
        <w:t xml:space="preserve">de 0.89-1.29s)</w:t>
      </w:r>
      <w:r>
        <w:t xml:space="preserve"> </w:t>
      </w:r>
      <w:r>
        <w:t xml:space="preserve">- Procedimento clássico e bem estabelecido</w:t>
      </w:r>
    </w:p>
    <w:p>
      <w:pPr>
        <w:pStyle w:val="BodyText"/>
      </w:pPr>
      <w:r>
        <w:t xml:space="preserve">Desvantagens críticas: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Margem de ganho inadequada:</w:t>
      </w:r>
      <w:r>
        <w:t xml:space="preserve"> </w:t>
      </w:r>
      <w:r>
        <w:t xml:space="preserve">GM = 4.16 dB (M1) e 4.08 dB (M2), ambas abaixo do limite industrial de 6 dB [7]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Alto sobressinal:</w:t>
      </w:r>
      <w:r>
        <w:t xml:space="preserve"> </w:t>
      </w:r>
      <w:r>
        <w:t xml:space="preserve">7.76% (M1) e 11.76% (M2), inaceitável para muitos processos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Pior sensibilidade ao ruído:</w:t>
      </w:r>
      <w:r>
        <w:t xml:space="preserve"> </w:t>
      </w:r>
      <w:r>
        <w:t xml:space="preserve">+36.82 dB (M1) e +41.30 dB (M2), amplificação de ruído de medição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Tempo de acomodação elevado:</w:t>
      </w:r>
      <w:r>
        <w:t xml:space="preserve"> </w:t>
      </w:r>
      <w:r>
        <w:t xml:space="preserve">13.6s (M1) e 19.9s (M2), pior que os demais</w:t>
      </w:r>
    </w:p>
    <w:p>
      <w:pPr>
        <w:pStyle w:val="BodyText"/>
      </w:pPr>
      <w:r>
        <w:rPr>
          <w:b/>
          <w:bCs/>
        </w:rPr>
        <w:t xml:space="preserve">Recomendação:</w:t>
      </w:r>
      <w:r>
        <w:t xml:space="preserve"> </w:t>
      </w:r>
      <w:r>
        <w:t xml:space="preserve">Não adequado para as plantas analisadas. Requer redução manual de ganhos (~30-40%) para uso seguro.</w:t>
      </w:r>
    </w:p>
    <w:p>
      <w:pPr>
        <w:pStyle w:val="BodyText"/>
      </w:pPr>
      <w:r>
        <w:rPr>
          <w:b/>
          <w:bCs/>
        </w:rPr>
        <w:t xml:space="preserve">AMIGO: Balanceado com Limitações</w:t>
      </w:r>
    </w:p>
    <w:p>
      <w:pPr>
        <w:pStyle w:val="BodyText"/>
      </w:pPr>
      <w:r>
        <w:t xml:space="preserve">Vantagens: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Menor sobressinal:</w:t>
      </w:r>
      <w:r>
        <w:t xml:space="preserve"> </w:t>
      </w:r>
      <w:r>
        <w:t xml:space="preserve">2.80% (M1) e 3.12% (M2), excelente para processos sensíveis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Melhor robustez:</w:t>
      </w:r>
      <w:r>
        <w:t xml:space="preserve"> </w:t>
      </w:r>
      <w:r>
        <w:t xml:space="preserve">GM = 11.06 dB (M1) e 11.05 dB (M2), ampla margem de segurança</w:t>
      </w:r>
      <w:r>
        <w:t xml:space="preserve"> </w:t>
      </w:r>
      <w:r>
        <w:t xml:space="preserve">- Bom tempo de acomodação: 9.2s (M1) e 15.0s (M2)</w:t>
      </w:r>
    </w:p>
    <w:p>
      <w:pPr>
        <w:pStyle w:val="BodyText"/>
      </w:pPr>
      <w:r>
        <w:t xml:space="preserve">Desvantagens:</w:t>
      </w:r>
      <w:r>
        <w:t xml:space="preserve"> </w:t>
      </w:r>
      <w:r>
        <w:t xml:space="preserve">- Sensibilidade ao ruído moderada: +29.35 dB (M1) devido à ação derivativa significativa (Kd = 0.2934)</w:t>
      </w:r>
      <w:r>
        <w:t xml:space="preserve"> </w:t>
      </w:r>
      <w:r>
        <w:t xml:space="preserve">- Complexidade de implementação: requer filtro na ação derivativa</w:t>
      </w:r>
    </w:p>
    <w:p>
      <w:pPr>
        <w:pStyle w:val="BodyText"/>
      </w:pPr>
      <w:r>
        <w:rPr>
          <w:b/>
          <w:bCs/>
        </w:rPr>
        <w:t xml:space="preserve">Recomendação:</w:t>
      </w:r>
      <w:r>
        <w:t xml:space="preserve"> </w:t>
      </w:r>
      <w:r>
        <w:t xml:space="preserve">Ideal para processos com baixo ruído de medição onde mínimo</w:t>
      </w:r>
      <w:r>
        <w:t xml:space="preserve"> </w:t>
      </w:r>
      <w:r>
        <w:rPr>
          <w:i/>
          <w:iCs/>
        </w:rPr>
        <w:t xml:space="preserve">overshoot</w:t>
      </w:r>
      <w:r>
        <w:t xml:space="preserve"> </w:t>
      </w:r>
      <w:r>
        <w:t xml:space="preserve">é prioritário.</w:t>
      </w:r>
    </w:p>
    <w:p>
      <w:pPr>
        <w:pStyle w:val="BodyText"/>
      </w:pPr>
      <w:r>
        <w:rPr>
          <w:b/>
          <w:bCs/>
        </w:rPr>
        <w:t xml:space="preserve">Skogestad SIMC: Robusto e Prático (Selecionado)</w:t>
      </w:r>
    </w:p>
    <w:p>
      <w:pPr>
        <w:pStyle w:val="BodyText"/>
      </w:pPr>
      <w:r>
        <w:t xml:space="preserve">Vantagens decisivas: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Rejeição de ruído superior:</w:t>
      </w:r>
      <w:r>
        <w:t xml:space="preserve"> </w:t>
      </w:r>
      <w:r>
        <w:t xml:space="preserve">Único método com ganho negativo em alta frequência (-7.75 dB para M1, -7.19 dB para M2)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Controlador PI simplificado:</w:t>
      </w:r>
      <w:r>
        <w:t xml:space="preserve"> </w:t>
      </w:r>
      <w:r>
        <w:t xml:space="preserve">Kd = 0, elimina necessidade de filtro derivativo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Melhor tempo de acomodação:</w:t>
      </w:r>
      <w:r>
        <w:t xml:space="preserve"> </w:t>
      </w:r>
      <w:r>
        <w:t xml:space="preserve">8.54s (M1) e 13.41s (M2), 7-32% mais rápido que concorrentes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Robustez adequada:</w:t>
      </w:r>
      <w:r>
        <w:t xml:space="preserve"> </w:t>
      </w:r>
      <w:r>
        <w:t xml:space="preserve">GM = 9.94 dB &gt; 6 dB (limiar industrial)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Sobressinal aceitável:</w:t>
      </w:r>
      <w:r>
        <w:t xml:space="preserve"> </w:t>
      </w:r>
      <w:r>
        <w:t xml:space="preserve">4.05% para ambas plantas</w:t>
      </w:r>
    </w:p>
    <w:p>
      <w:pPr>
        <w:pStyle w:val="BodyText"/>
      </w:pPr>
      <w:r>
        <w:t xml:space="preserve">Trade-offs: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Overshoot</w:t>
      </w:r>
      <w:r>
        <w:t xml:space="preserve"> </w:t>
      </w:r>
      <w:r>
        <w:t xml:space="preserve">ligeiramente maior que AMIGO (4.05% vs 2.80-3.12%)</w:t>
      </w:r>
      <w:r>
        <w:t xml:space="preserve"> </w:t>
      </w:r>
      <w:r>
        <w:t xml:space="preserve">- Margem de ganho inferior ao AMIGO (9.94 vs 11.06 dB)</w:t>
      </w:r>
    </w:p>
    <w:p>
      <w:pPr>
        <w:pStyle w:val="BodyText"/>
      </w:pPr>
      <w:r>
        <w:rPr>
          <w:b/>
          <w:bCs/>
        </w:rPr>
        <w:t xml:space="preserve">Justificativa da Seleção:</w:t>
      </w:r>
    </w:p>
    <w:p>
      <w:pPr>
        <w:pStyle w:val="BodyText"/>
      </w:pPr>
      <w:r>
        <w:t xml:space="preserve">O método SIMC foi selecionado para ambas as plantas (M1 e M2) baseado em análise multicritério que priorizou: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Rejeição de ruído (25%):</w:t>
      </w:r>
      <w:r>
        <w:t xml:space="preserve"> </w:t>
      </w:r>
      <w:r>
        <w:t xml:space="preserve">SIMC pontuou 100/100 vs 0-16/100 dos concorrentes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Tempo de acomodação (20%):</w:t>
      </w:r>
      <w:r>
        <w:t xml:space="preserve"> </w:t>
      </w:r>
      <w:r>
        <w:t xml:space="preserve">SIMC mais rápido em ambos casos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Robustez (30%):</w:t>
      </w:r>
      <w:r>
        <w:t xml:space="preserve"> </w:t>
      </w:r>
      <w:r>
        <w:t xml:space="preserve">GM = 9.94 dB atende requisito &gt; 6 dB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Sobressinal (25%):</w:t>
      </w:r>
      <w:r>
        <w:t xml:space="preserve"> </w:t>
      </w:r>
      <w:r>
        <w:t xml:space="preserve">4.05% é aceitável para processos industriais</w:t>
      </w:r>
    </w:p>
    <w:p>
      <w:pPr>
        <w:pStyle w:val="BodyText"/>
      </w:pPr>
      <w:r>
        <w:t xml:space="preserve">A ausência de ação derivativa (Kd = 0) é particularmente vantajosa em ambientes industriais com ruído de medição, onde o termo derivativo amplificaria perturbações de alta frequência, exigindo filtros adicionais que aumentam complexidade e podem degradar desempenho [5].</w:t>
      </w:r>
    </w:p>
    <w:bookmarkEnd w:id="48"/>
    <w:bookmarkStart w:id="49" w:name="validação-nas-plantas-originais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5.3. Validação nas Plantas Originais</w:t>
      </w:r>
    </w:p>
    <w:p>
      <w:pPr>
        <w:pStyle w:val="FirstParagraph"/>
      </w:pPr>
      <w:r>
        <w:t xml:space="preserve">Os controladores SIMC, projetados com os modelos FOPDT gráficos, foram testados nas plantas originais de ordem superior para validar a eficácia da aproximação FOPDT.</w:t>
      </w:r>
    </w:p>
    <w:p>
      <w:pPr>
        <w:pStyle w:val="BodyText"/>
      </w:pPr>
      <w:r>
        <w:rPr>
          <w:b/>
          <w:bCs/>
        </w:rPr>
        <w:t xml:space="preserve">M1 (4ª ordem original):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Overshoot</w:t>
      </w:r>
      <w:r>
        <w:t xml:space="preserve"> </w:t>
      </w:r>
      <w:r>
        <w:t xml:space="preserve">na planta original: 6.81% (vs 4.05% predito no modelo FOPDT)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Settling time</w:t>
      </w:r>
      <w:r>
        <w:t xml:space="preserve"> </w:t>
      </w:r>
      <w:r>
        <w:t xml:space="preserve">na planta original: 8.77s (vs 8.54s predito)</w:t>
      </w:r>
      <w:r>
        <w:t xml:space="preserve"> </w:t>
      </w:r>
      <w:r>
        <w:t xml:space="preserve">- Desvio de 68% no</w:t>
      </w:r>
      <w:r>
        <w:t xml:space="preserve"> </w:t>
      </w:r>
      <w:r>
        <w:rPr>
          <w:i/>
          <w:iCs/>
        </w:rPr>
        <w:t xml:space="preserve">overshoot</w:t>
      </w:r>
      <w:r>
        <w:t xml:space="preserve">, mas ainda dentro de limites aceitáveis (&lt;10%)</w:t>
      </w:r>
    </w:p>
    <w:p>
      <w:pPr>
        <w:pStyle w:val="BodyText"/>
      </w:pPr>
      <w:r>
        <w:rPr>
          <w:b/>
          <w:bCs/>
        </w:rPr>
        <w:t xml:space="preserve">M2 (3ª ordem não-mínima fase original):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Overshoot</w:t>
      </w:r>
      <w:r>
        <w:t xml:space="preserve"> </w:t>
      </w:r>
      <w:r>
        <w:t xml:space="preserve">na planta original: 5.28% (vs 4.05% predito)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Settling time</w:t>
      </w:r>
      <w:r>
        <w:t xml:space="preserve"> </w:t>
      </w:r>
      <w:r>
        <w:t xml:space="preserve">na planta original: 11.68s (vs 13.41s predito)</w:t>
      </w:r>
      <w:r>
        <w:t xml:space="preserve"> </w:t>
      </w:r>
      <w:r>
        <w:t xml:space="preserve">- Controlador SIMC demonstrou excelente capacidade de lidar com resposta inversa</w:t>
      </w:r>
    </w:p>
    <w:p>
      <w:pPr>
        <w:pStyle w:val="BodyText"/>
      </w:pPr>
      <w:r>
        <w:rPr>
          <w:b/>
          <w:bCs/>
        </w:rPr>
        <w:t xml:space="preserve">Conclusão da Validação:</w:t>
      </w:r>
    </w:p>
    <w:p>
      <w:pPr>
        <w:pStyle w:val="BodyText"/>
      </w:pPr>
      <w:r>
        <w:t xml:space="preserve">Os modelos FOPDT gráficos são suficientemente precisos para projeto de controladores robustos. As diferenças entre modelo e planta real (desvios de 30-70% no</w:t>
      </w:r>
      <w:r>
        <w:t xml:space="preserve"> </w:t>
      </w:r>
      <w:r>
        <w:rPr>
          <w:i/>
          <w:iCs/>
        </w:rPr>
        <w:t xml:space="preserve">overshoot</w:t>
      </w:r>
      <w:r>
        <w:t xml:space="preserve">) são aceitáveis e não comprometem estabilidade ou desempenho funcional. A margem de robustez do SIMC (GM = 9.94 dB) absorve estas incertezas de modelagem.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clusão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CONCLUSÃO</w:t>
      </w:r>
    </w:p>
    <w:p>
      <w:pPr>
        <w:pStyle w:val="FirstParagraph"/>
      </w:pPr>
      <w:r>
        <w:t xml:space="preserve">Este trabalho apresentou análise comparativa de métodos de identificação de sistemas FOPDT aplicados a processos de ordem superior com características distintas (M1: 4ª ordem com atraso; M2: 3ª ordem não-mínima fase) e avaliação crítica de três regras clássicas de sintonia PID.</w:t>
      </w:r>
    </w:p>
    <w:p>
      <w:pPr>
        <w:pStyle w:val="BodyText"/>
      </w:pPr>
      <w:r>
        <w:rPr>
          <w:b/>
          <w:bCs/>
        </w:rPr>
        <w:t xml:space="preserve">Principais Contribuições: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Superioridade do Método Gráfico para Identificação FOPDT:</w:t>
      </w:r>
    </w:p>
    <w:p>
      <w:pPr>
        <w:pStyle w:val="Compact"/>
        <w:numPr>
          <w:ilvl w:val="1"/>
          <w:numId w:val="1003"/>
        </w:numPr>
      </w:pPr>
      <w:r>
        <w:t xml:space="preserve">Erro de aproximação 5 a 7 vezes menor que o</w:t>
      </w:r>
      <w:r>
        <w:t xml:space="preserve"> </w:t>
      </w:r>
      <w:r>
        <w:rPr>
          <w:i/>
          <w:iCs/>
        </w:rPr>
        <w:t xml:space="preserve">System Identification Toolbox</w:t>
      </w:r>
      <w:r>
        <w:t xml:space="preserve"> </w:t>
      </w:r>
      <w:r>
        <w:t xml:space="preserve">(RMSE: 0.015-0.030 vs 0.108-0.147)</w:t>
      </w:r>
    </w:p>
    <w:p>
      <w:pPr>
        <w:pStyle w:val="Compact"/>
        <w:numPr>
          <w:ilvl w:val="1"/>
          <w:numId w:val="1003"/>
        </w:numPr>
      </w:pPr>
      <w:r>
        <w:t xml:space="preserve">Identificação correta do tempo morto θ, parâmetro crítico para sintonia PID</w:t>
      </w:r>
    </w:p>
    <w:p>
      <w:pPr>
        <w:pStyle w:val="Compact"/>
        <w:numPr>
          <w:ilvl w:val="1"/>
          <w:numId w:val="1003"/>
        </w:numPr>
      </w:pPr>
      <w:r>
        <w:t xml:space="preserve">Adaptabilidade para sistemas não-mínima fase com resposta inversa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Modelos FOPDT Mais Eficazes para Projeto de Controladores PID: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M1:</w:t>
      </w:r>
      <w:r>
        <w:t xml:space="preserve"> </w:t>
      </w:r>
      <m:oMath>
        <m:sSub>
          <m:e>
            <m:r>
              <m:t>G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1.0</m:t>
            </m:r>
            <m:r>
              <m:rPr>
                <m:sty m:val="p"/>
              </m:rPr>
              <m:t>⋅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1.41</m:t>
                </m:r>
                <m:r>
                  <m:t>s</m:t>
                </m:r>
              </m:sup>
            </m:sSup>
          </m:num>
          <m:den>
            <m:r>
              <m:t>1.155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(Método Gráfico, RMSE = 0.0154)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M2:</w:t>
      </w:r>
      <w:r>
        <w:t xml:space="preserve"> </w:t>
      </w:r>
      <m:oMath>
        <m:sSub>
          <m:e>
            <m:r>
              <m:t>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1.0</m:t>
            </m:r>
            <m:r>
              <m:rPr>
                <m:sty m:val="p"/>
              </m:rPr>
              <m:t>⋅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2.215</m:t>
                </m:r>
                <m:r>
                  <m:t>s</m:t>
                </m:r>
              </m:sup>
            </m:sSup>
          </m:num>
          <m:den>
            <m:r>
              <m:t>1.935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(Método Gráfico, RMSE = 0.0306)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Justificativa:</w:t>
      </w:r>
      <w:r>
        <w:t xml:space="preserve"> </w:t>
      </w:r>
      <w:r>
        <w:t xml:space="preserve">Combinação de baixo erro de aproximação, correta identificação de atraso, e capacidade de capturar dinâmicas complexas (resposta inversa).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Análise Crítica de Métodos de Sintonia PID: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Ziegler-Nichols:</w:t>
      </w:r>
      <w:r>
        <w:t xml:space="preserve"> </w:t>
      </w:r>
      <w:r>
        <w:t xml:space="preserve">Inadequado devido a GM &lt; 6 dB e alto</w:t>
      </w:r>
      <w:r>
        <w:t xml:space="preserve"> </w:t>
      </w:r>
      <w:r>
        <w:rPr>
          <w:i/>
          <w:iCs/>
        </w:rPr>
        <w:t xml:space="preserve">overshoot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AMIGO:</w:t>
      </w:r>
      <w:r>
        <w:t xml:space="preserve"> </w:t>
      </w:r>
      <w:r>
        <w:t xml:space="preserve">Excelente para processos críticos (melhor</w:t>
      </w:r>
      <w:r>
        <w:t xml:space="preserve"> </w:t>
      </w:r>
      <w:r>
        <w:rPr>
          <w:i/>
          <w:iCs/>
        </w:rPr>
        <w:t xml:space="preserve">overshoot</w:t>
      </w:r>
      <w:r>
        <w:t xml:space="preserve"> </w:t>
      </w:r>
      <w:r>
        <w:t xml:space="preserve">e robustez)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SIMC:</w:t>
      </w:r>
      <w:r>
        <w:t xml:space="preserve"> </w:t>
      </w:r>
      <w:r>
        <w:t xml:space="preserve">Selecionado para ambas plantas devido à rejeição de ruído superior (Kd = 0), menor tempo de acomodação e robustez adequada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Validação Experimental:</w:t>
      </w:r>
    </w:p>
    <w:p>
      <w:pPr>
        <w:pStyle w:val="Compact"/>
        <w:numPr>
          <w:ilvl w:val="1"/>
          <w:numId w:val="1005"/>
        </w:numPr>
      </w:pPr>
      <w:r>
        <w:t xml:space="preserve">Controladores SIMC mantiveram desempenho estável nas plantas originais de ordem superior</w:t>
      </w:r>
    </w:p>
    <w:p>
      <w:pPr>
        <w:pStyle w:val="Compact"/>
        <w:numPr>
          <w:ilvl w:val="1"/>
          <w:numId w:val="1005"/>
        </w:numPr>
      </w:pPr>
      <w:r>
        <w:t xml:space="preserve">Desvios entre modelo FOPDT e planta real são aceitáveis e absorvidos pela margem de robustez do controlador</w:t>
      </w:r>
    </w:p>
    <w:p>
      <w:pPr>
        <w:pStyle w:val="FirstParagraph"/>
      </w:pPr>
      <w:r>
        <w:rPr>
          <w:b/>
          <w:bCs/>
        </w:rPr>
        <w:t xml:space="preserve">Recomendações Práticas: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Para identificação de sistemas:</w:t>
      </w:r>
      <w:r>
        <w:t xml:space="preserve"> </w:t>
      </w:r>
      <w:r>
        <w:t xml:space="preserve">Utilizar método gráfico (Smith) quando precisão é crítica para projeto de controladores;</w:t>
      </w:r>
      <w:r>
        <w:t xml:space="preserve"> </w:t>
      </w:r>
      <w:r>
        <w:rPr>
          <w:i/>
          <w:iCs/>
        </w:rPr>
        <w:t xml:space="preserve">toolbox</w:t>
      </w:r>
      <w:r>
        <w:t xml:space="preserve"> </w:t>
      </w:r>
      <w:r>
        <w:t xml:space="preserve">apenas para exploração preliminar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Para plantas não-mínima fase:</w:t>
      </w:r>
      <w:r>
        <w:t xml:space="preserve"> </w:t>
      </w:r>
      <w:r>
        <w:t xml:space="preserve">Adaptar método gráfico considerando resposta inversa e atraso equivalente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Para sintonia PID em ambientes industriais com ruído:</w:t>
      </w:r>
      <w:r>
        <w:t xml:space="preserve"> </w:t>
      </w:r>
      <w:r>
        <w:t xml:space="preserve">Preferir SIMC (controlador PI, Kd = 0) devido à rejeição de ruído superior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Para processos críticos sem ruído:</w:t>
      </w:r>
      <w:r>
        <w:t xml:space="preserve"> </w:t>
      </w:r>
      <w:r>
        <w:t xml:space="preserve">Considerar AMIGO se mínimo</w:t>
      </w:r>
      <w:r>
        <w:t xml:space="preserve"> </w:t>
      </w:r>
      <w:r>
        <w:rPr>
          <w:i/>
          <w:iCs/>
        </w:rPr>
        <w:t xml:space="preserve">overshoot</w:t>
      </w:r>
      <w:r>
        <w:t xml:space="preserve"> </w:t>
      </w:r>
      <w:r>
        <w:t xml:space="preserve">for prioritário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Evitar Ziegler-Nichols clássico:</w:t>
      </w:r>
      <w:r>
        <w:t xml:space="preserve"> </w:t>
      </w:r>
      <w:r>
        <w:t xml:space="preserve">Ajustar ganhos manualmente se utilizado (redução de 30-40%)</w:t>
      </w:r>
    </w:p>
    <w:p>
      <w:pPr>
        <w:pStyle w:val="FirstParagraph"/>
      </w:pPr>
      <w:r>
        <w:rPr>
          <w:b/>
          <w:bCs/>
        </w:rPr>
        <w:t xml:space="preserve">Limitações e Trabalhos Futuros:</w:t>
      </w:r>
    </w:p>
    <w:p>
      <w:pPr>
        <w:pStyle w:val="BodyText"/>
      </w:pPr>
      <w:r>
        <w:t xml:space="preserve">Este estudo analisou plantas estáveis em simulação. Trabalhos futuros devem incluir:</w:t>
      </w:r>
      <w:r>
        <w:t xml:space="preserve"> </w:t>
      </w:r>
      <w:r>
        <w:t xml:space="preserve">- Validação experimental em processos industriais reais</w:t>
      </w:r>
      <w:r>
        <w:t xml:space="preserve"> </w:t>
      </w:r>
      <w:r>
        <w:t xml:space="preserve">- Análise de robustez a variações paramétricas e incertezas de modelagem</w:t>
      </w:r>
      <w:r>
        <w:t xml:space="preserve"> </w:t>
      </w:r>
      <w:r>
        <w:t xml:space="preserve">- Comparação com métodos avançados (controle preditivo MPC, otimização H-infinito)</w:t>
      </w:r>
      <w:r>
        <w:t xml:space="preserve"> </w:t>
      </w:r>
      <w:r>
        <w:t xml:space="preserve">- Extensão para sistemas multivariáveis</w:t>
      </w:r>
    </w:p>
    <w:p>
      <w:r>
        <w:pict>
          <v:rect style="width:0;height:1.5pt" o:hralign="center" o:hrstd="t" o:hr="t"/>
        </w:pict>
      </w:r>
    </w:p>
    <w:bookmarkEnd w:id="51"/>
    <w:bookmarkStart w:id="52" w:name="referência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REFERÊNCIAS</w:t>
      </w:r>
    </w:p>
    <w:p>
      <w:pPr>
        <w:pStyle w:val="FirstParagraph"/>
      </w:pPr>
      <w:r>
        <w:t xml:space="preserve">[1] SMITH, C. L.</w:t>
      </w:r>
      <w:r>
        <w:t xml:space="preserve"> </w:t>
      </w:r>
      <w:r>
        <w:rPr>
          <w:b/>
          <w:bCs/>
        </w:rPr>
        <w:t xml:space="preserve">Digital Computer Process Control</w:t>
      </w:r>
      <w:r>
        <w:t xml:space="preserve">. Scranton: Intext Educational Publishers, 1972.</w:t>
      </w:r>
    </w:p>
    <w:p>
      <w:pPr>
        <w:pStyle w:val="BodyText"/>
      </w:pPr>
      <w:r>
        <w:t xml:space="preserve">[2] OGATA, K.</w:t>
      </w:r>
      <w:r>
        <w:t xml:space="preserve"> </w:t>
      </w:r>
      <w:r>
        <w:rPr>
          <w:b/>
          <w:bCs/>
        </w:rPr>
        <w:t xml:space="preserve">Engenharia de Controle Moderno</w:t>
      </w:r>
      <w:r>
        <w:t xml:space="preserve">. 5. ed. São Paulo: Pearson Prentice Hall, 2010.</w:t>
      </w:r>
    </w:p>
    <w:p>
      <w:pPr>
        <w:pStyle w:val="BodyText"/>
      </w:pPr>
      <w:r>
        <w:t xml:space="preserve">[3] ZIEGLER, J. G.; NICHOLS, N. B. Optimum settings for automatic controllers.</w:t>
      </w:r>
      <w:r>
        <w:t xml:space="preserve"> </w:t>
      </w:r>
      <w:r>
        <w:rPr>
          <w:b/>
          <w:bCs/>
        </w:rPr>
        <w:t xml:space="preserve">Transactions of the ASME</w:t>
      </w:r>
      <w:r>
        <w:t xml:space="preserve">, v. 64, n. 11, p. 759-768, 1942.</w:t>
      </w:r>
    </w:p>
    <w:p>
      <w:pPr>
        <w:pStyle w:val="BodyText"/>
      </w:pPr>
      <w:r>
        <w:t xml:space="preserve">[4] ÅSTRÖM, K. J.; HÄGGLUND, T. Revisiting the Ziegler-Nichols step response method for PID control.</w:t>
      </w:r>
      <w:r>
        <w:t xml:space="preserve"> </w:t>
      </w:r>
      <w:r>
        <w:rPr>
          <w:b/>
          <w:bCs/>
        </w:rPr>
        <w:t xml:space="preserve">Journal of Process Control</w:t>
      </w:r>
      <w:r>
        <w:t xml:space="preserve">, v. 14, n. 6, p. 635-650, 2004.</w:t>
      </w:r>
    </w:p>
    <w:p>
      <w:pPr>
        <w:pStyle w:val="BodyText"/>
      </w:pPr>
      <w:r>
        <w:t xml:space="preserve">[5] SKOGESTAD, S. Simple analytic rules for model reduction and PID controller tuning.</w:t>
      </w:r>
      <w:r>
        <w:t xml:space="preserve"> </w:t>
      </w:r>
      <w:r>
        <w:rPr>
          <w:b/>
          <w:bCs/>
        </w:rPr>
        <w:t xml:space="preserve">Journal of Process Control</w:t>
      </w:r>
      <w:r>
        <w:t xml:space="preserve">, v. 13, n. 4, p. 291-309, 2003.</w:t>
      </w:r>
    </w:p>
    <w:p>
      <w:pPr>
        <w:pStyle w:val="BodyText"/>
      </w:pPr>
      <w:r>
        <w:t xml:space="preserve">[6] LJUNG, L.</w:t>
      </w:r>
      <w:r>
        <w:t xml:space="preserve"> </w:t>
      </w:r>
      <w:r>
        <w:rPr>
          <w:b/>
          <w:bCs/>
        </w:rPr>
        <w:t xml:space="preserve">System Identification: Theory for the User</w:t>
      </w:r>
      <w:r>
        <w:t xml:space="preserve">. 2. ed. Upper Saddle River: Prentice Hall, 1999.</w:t>
      </w:r>
    </w:p>
    <w:p>
      <w:pPr>
        <w:pStyle w:val="BodyText"/>
      </w:pPr>
      <w:r>
        <w:t xml:space="preserve">[7] SKOGESTAD, S.; POSTLETHWAITE, I.</w:t>
      </w:r>
      <w:r>
        <w:t xml:space="preserve"> </w:t>
      </w:r>
      <w:r>
        <w:rPr>
          <w:b/>
          <w:bCs/>
        </w:rPr>
        <w:t xml:space="preserve">Multivariable Feedback Control: Analysis and Design</w:t>
      </w:r>
      <w:r>
        <w:t xml:space="preserve">. 2. ed. Chichester: John Wiley &amp; Sons, 2005.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Os autores agradecem ao Programa de Pós-Graduação em Engenharia de Produção e Sistemas (PPGEPS) da PUCPR pelo suporte acadêmico e infraestrutura computacional disponibilizada para realização deste trabalho.</w:t>
      </w:r>
    </w:p>
    <w:bookmarkEnd w:id="52"/>
    <w:bookmarkEnd w:id="53"/>
    <w:sectPr w:rsidR="00FC693F" w:rsidRPr="0006063C" w:rsidSect="00034616">
      <w:pgSz w:h="16838" w:w="11906"/>
      <w:pgMar w:bottom="1417" w:footer="720" w:gutter="0" w:header="720" w:left="1417" w:right="1417" w:top="1417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after="120" w:before="0" w:line="360" w:lineRule="auto"/>
      <w:ind w:firstLine="0"/>
      <w:jc w:val="both"/>
    </w:pPr>
    <w:rPr>
      <w:rFonts w:ascii="Times New Roman" w:hAnsi="Times New Roman"/>
      <w:sz w:val="24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120" w:before="360"/>
      <w:jc w:val="left"/>
      <w:outlineLvl w:val="0"/>
    </w:pPr>
    <w:rPr>
      <w:rFonts w:ascii="Times New Roman" w:asciiTheme="majorHAnsi" w:cstheme="majorBidi" w:eastAsiaTheme="majorEastAsia" w:hAnsi="Times New Roman" w:hAnsiTheme="majorHAnsi"/>
      <w:b/>
      <w:bCs/>
      <w:caps/>
      <w:color w:val="000000"/>
      <w:sz w:val="24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120" w:before="240"/>
      <w:jc w:val="left"/>
      <w:outlineLvl w:val="1"/>
    </w:pPr>
    <w:rPr>
      <w:rFonts w:ascii="Times New Roman" w:asciiTheme="majorHAnsi" w:cstheme="majorBidi" w:eastAsiaTheme="majorEastAsia" w:hAnsi="Times New Roman" w:hAnsiTheme="majorHAnsi"/>
      <w:b/>
      <w:bCs/>
      <w:color w:val="000000"/>
      <w:sz w:val="24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120" w:before="120"/>
      <w:jc w:val="left"/>
      <w:outlineLvl w:val="2"/>
    </w:pPr>
    <w:rPr>
      <w:rFonts w:ascii="Times New Roman" w:asciiTheme="majorHAnsi" w:cstheme="majorBidi" w:eastAsiaTheme="majorEastAsia" w:hAnsi="Times New Roman" w:hAnsiTheme="majorHAnsi"/>
      <w:b/>
      <w:bCs/>
      <w:i/>
      <w:color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240" w:before="0" w:line="240" w:lineRule="auto"/>
      <w:contextualSpacing/>
      <w:jc w:val="center"/>
    </w:pPr>
    <w:rPr>
      <w:rFonts w:ascii="Times New Roman" w:asciiTheme="majorHAnsi" w:cstheme="majorBidi" w:eastAsiaTheme="majorEastAsia" w:hAnsi="Times New Roman" w:hAnsiTheme="majorHAnsi"/>
      <w:b/>
      <w:color w:val="000000"/>
      <w:spacing w:val="5"/>
      <w:kern w:val="28"/>
      <w:sz w:val="28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after="120" w:before="0"/>
      <w:jc w:val="center"/>
    </w:pPr>
    <w:rPr>
      <w:rFonts w:ascii="Times New Roman" w:asciiTheme="majorHAnsi" w:cstheme="majorBidi" w:eastAsiaTheme="majorEastAsia" w:hAnsi="Times New Roman" w:hAnsiTheme="majorHAnsi"/>
      <w:b/>
      <w:i/>
      <w:iCs/>
      <w:color w:val="000000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after="240" w:before="120" w:line="240" w:lineRule="auto"/>
      <w:jc w:val="center"/>
    </w:pPr>
    <w:rPr>
      <w:rFonts w:ascii="Times New Roman" w:hAnsi="Times New Roman"/>
      <w:b/>
      <w:bCs/>
      <w:color w:val="000000"/>
      <w:sz w:val="22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40" w:before="120"/>
      <w:ind w:left="0" w:right="0"/>
      <w:jc w:val="both"/>
    </w:pPr>
    <w:rPr>
      <w:rFonts w:ascii="Times New Roman" w:hAnsi="Times New Roman"/>
      <w:b/>
      <w:bCs/>
      <w:i/>
      <w:iCs/>
      <w:color w:themeColor="accent1" w:val="4F81BD"/>
      <w:sz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customStyle="1" w:styleId="Affiliation" w:type="paragraph">
    <w:name w:val="Affiliation"/>
    <w:pPr>
      <w:spacing w:after="60" w:before="0"/>
      <w:jc w:val="center"/>
    </w:pPr>
    <w:rPr>
      <w:rFonts w:ascii="Times New Roman" w:hAnsi="Times New Roman"/>
      <w:i/>
      <w:color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2025-10-07T02:16:39Z</dcterms:created>
  <dcterms:modified xsi:type="dcterms:W3CDTF">2025-10-07T02:16:39Z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