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6BDA9" w14:textId="2C1F15EE" w:rsidR="000A4BDD" w:rsidRPr="0032530D" w:rsidRDefault="000A4BDD" w:rsidP="0032530D">
      <w:pPr>
        <w:pStyle w:val="Heading2"/>
        <w:rPr>
          <w:rFonts w:ascii="Corbel" w:hAnsi="Corbel"/>
          <w:color w:val="auto"/>
        </w:rPr>
      </w:pPr>
      <w:bookmarkStart w:id="0" w:name="_Toc205027396"/>
      <w:r w:rsidRPr="0032530D">
        <w:rPr>
          <w:rFonts w:ascii="Corbel" w:hAnsi="Corbel"/>
          <w:color w:val="auto"/>
        </w:rPr>
        <w:t>User Guide to OpenHENS</w:t>
      </w:r>
      <w:bookmarkEnd w:id="0"/>
    </w:p>
    <w:p w14:paraId="21D700F2" w14:textId="36AE1858" w:rsidR="000A4BDD" w:rsidRDefault="000A4BDD" w:rsidP="000A4BDD">
      <w:r>
        <w:t>OpenHENS v</w:t>
      </w:r>
      <w:r>
        <w:t>0.5</w:t>
      </w:r>
      <w:r>
        <w:t xml:space="preserve"> is now publicly available as an open-source GitHub repository which can be accessed via Appendix A. </w:t>
      </w:r>
      <w:r w:rsidRPr="006A1675">
        <w:t>OpenHENS is entirely free to use, as it relies solely on open-source solvers, modelling languages, and libraries</w:t>
      </w:r>
      <w:r>
        <w:t xml:space="preserve">, </w:t>
      </w:r>
      <w:r w:rsidRPr="006A1675">
        <w:t>eliminating any software licensing costs. The package is released under the MIT License, allowing users to use, copy, modify, publish, sublicense, and/or distribute the software, provided that appropriate citation is given and the license text is included with any distribution. Future contributions from the community, such as the addition of new HEN problem types or features, are strongly encouraged</w:t>
      </w:r>
      <w:r>
        <w:t>.</w:t>
      </w:r>
    </w:p>
    <w:p w14:paraId="504C03D4" w14:textId="4FE8C537" w:rsidR="000A4BDD" w:rsidRDefault="000A4BDD" w:rsidP="000A4BDD">
      <w:r w:rsidRPr="004A3B06">
        <w:t>OpenHENS</w:t>
      </w:r>
      <w:r>
        <w:t xml:space="preserve"> includes a simple </w:t>
      </w:r>
      <w:r w:rsidRPr="00B462AD">
        <w:t>visualisation module</w:t>
      </w:r>
      <w:r>
        <w:t>, enabling the results to be viewed and shared easily. The</w:t>
      </w:r>
      <w:r w:rsidRPr="004A3B06">
        <w:t xml:space="preserve"> visualisation </w:t>
      </w:r>
      <w:r>
        <w:t>module also offers</w:t>
      </w:r>
      <w:r w:rsidRPr="004A3B06">
        <w:t xml:space="preserve"> options to show or hide layers of fidelity such as heat exchanger duties, stream temperatures, mixer nodes, and branch properties. </w:t>
      </w:r>
    </w:p>
    <w:p w14:paraId="0063483E" w14:textId="48C4488C" w:rsidR="000A4BDD" w:rsidRDefault="000A4BDD" w:rsidP="000A4BDD">
      <w:pPr>
        <w:spacing w:after="240"/>
      </w:pPr>
      <w:r>
        <w:t>OpenHENS v</w:t>
      </w:r>
      <w:r>
        <w:t>0.5</w:t>
      </w:r>
      <w:r>
        <w:t xml:space="preserve"> i</w:t>
      </w:r>
      <w:r w:rsidRPr="00E940A5">
        <w:t xml:space="preserve">s </w:t>
      </w:r>
      <w:r>
        <w:t>intended</w:t>
      </w:r>
      <w:r w:rsidRPr="002205CB">
        <w:t xml:space="preserve"> </w:t>
      </w:r>
      <w:r w:rsidRPr="009C5D87">
        <w:t xml:space="preserve">for users </w:t>
      </w:r>
      <w:r>
        <w:t>who are comfortable</w:t>
      </w:r>
      <w:r w:rsidRPr="009C5D87">
        <w:t xml:space="preserve"> </w:t>
      </w:r>
      <w:r>
        <w:t xml:space="preserve">working </w:t>
      </w:r>
      <w:r w:rsidRPr="009C5D87">
        <w:t>with computers and terminal interfaces</w:t>
      </w:r>
      <w:r>
        <w:t xml:space="preserve">. </w:t>
      </w:r>
      <w:r>
        <w:t xml:space="preserve">The full release of v1.0 is expected to be more accessible to those with minimal experience in terminal programming. </w:t>
      </w:r>
      <w:r>
        <w:t xml:space="preserve">While modification of the source code is not required, </w:t>
      </w:r>
      <w:r w:rsidRPr="0001533E">
        <w:t xml:space="preserve">the package is </w:t>
      </w:r>
      <w:r>
        <w:t>executed</w:t>
      </w:r>
      <w:r w:rsidRPr="0001533E">
        <w:t xml:space="preserve"> via a script </w:t>
      </w:r>
      <w:r>
        <w:t xml:space="preserve">interface that expects the user to specify values for nine options, listed in </w:t>
      </w:r>
      <w:r>
        <w:rPr>
          <w:i/>
          <w:iCs/>
        </w:rPr>
        <w:fldChar w:fldCharType="begin"/>
      </w:r>
      <w:r>
        <w:instrText xml:space="preserve"> REF _Ref204675657 \h </w:instrText>
      </w:r>
      <w:r>
        <w:rPr>
          <w:i/>
          <w:iCs/>
        </w:rPr>
      </w:r>
      <w:r>
        <w:rPr>
          <w:i/>
          <w:iCs/>
        </w:rPr>
        <w:fldChar w:fldCharType="separate"/>
      </w:r>
      <w:r>
        <w:t>Table</w:t>
      </w:r>
      <w:r>
        <w:t xml:space="preserve"> </w:t>
      </w:r>
      <w:r>
        <w:rPr>
          <w:noProof/>
        </w:rPr>
        <w:t>1</w:t>
      </w:r>
      <w:r>
        <w:rPr>
          <w:i/>
          <w:iCs/>
        </w:rPr>
        <w:fldChar w:fldCharType="end"/>
      </w:r>
      <w:r>
        <w:t>. All options have default values but to solve a new problem, the user must specify at minimum the input and output file paths.</w:t>
      </w:r>
    </w:p>
    <w:p w14:paraId="7BD73236" w14:textId="77777777" w:rsidR="000A4BDD" w:rsidRPr="00313C4C" w:rsidRDefault="000A4BDD" w:rsidP="000A4BDD">
      <w:pPr>
        <w:pStyle w:val="ListParagraph"/>
        <w:numPr>
          <w:ilvl w:val="0"/>
          <w:numId w:val="3"/>
        </w:numPr>
      </w:pPr>
      <w:r w:rsidRPr="00313C4C">
        <w:t>The input path should point to the stream data file for a new case</w:t>
      </w:r>
      <w:r>
        <w:t>.</w:t>
      </w:r>
    </w:p>
    <w:p w14:paraId="09AE2A99" w14:textId="77777777" w:rsidR="000A4BDD" w:rsidRDefault="000A4BDD" w:rsidP="000A4BDD">
      <w:pPr>
        <w:pStyle w:val="ListParagraph"/>
        <w:numPr>
          <w:ilvl w:val="0"/>
          <w:numId w:val="3"/>
        </w:numPr>
        <w:spacing w:after="240"/>
      </w:pPr>
      <w:r w:rsidRPr="00313C4C">
        <w:t>The output path designates where the solution data, parameter plots, and summary metrics will be stored.</w:t>
      </w:r>
    </w:p>
    <w:p w14:paraId="79A4DD83" w14:textId="5B84E9EA" w:rsidR="000A4BDD" w:rsidRDefault="000A4BDD" w:rsidP="000A4BDD">
      <w:r>
        <w:t xml:space="preserve">It is recommended that users specify appropriate value ranges for </w:t>
      </w:r>
      <m:oMath>
        <m:r>
          <w:rPr>
            <w:rFonts w:ascii="Cambria Math" w:hAnsi="Cambria Math"/>
          </w:rPr>
          <m:t>∆</m:t>
        </m:r>
        <m:sSup>
          <m:sSupPr>
            <m:ctrlPr>
              <w:rPr>
                <w:rFonts w:ascii="Cambria Math" w:hAnsi="Cambria Math"/>
                <w:i/>
              </w:rPr>
            </m:ctrlPr>
          </m:sSupPr>
          <m:e>
            <m:r>
              <w:rPr>
                <w:rFonts w:ascii="Cambria Math" w:hAnsi="Cambria Math"/>
              </w:rPr>
              <m:t>T</m:t>
            </m:r>
          </m:e>
          <m:sup>
            <m:r>
              <m:rPr>
                <m:sty m:val="p"/>
              </m:rPr>
              <w:rPr>
                <w:rFonts w:ascii="Cambria Math" w:hAnsi="Cambria Math"/>
              </w:rPr>
              <m:t>min</m:t>
            </m:r>
          </m:sup>
        </m:sSup>
      </m:oMath>
      <w:r>
        <w:rPr>
          <w:rFonts w:eastAsiaTheme="minorEastAsia"/>
        </w:rPr>
        <w:t xml:space="preserve"> and </w:t>
      </w:r>
      <m:oMath>
        <m:sSub>
          <m:sSubPr>
            <m:ctrlPr>
              <w:rPr>
                <w:rFonts w:ascii="Cambria Math" w:eastAsiaTheme="minorEastAsia" w:hAnsi="Cambria Math"/>
                <w:i/>
              </w:rPr>
            </m:ctrlPr>
          </m:sSubPr>
          <m:e>
            <m:d>
              <m:dPr>
                <m:ctrlPr>
                  <w:rPr>
                    <w:rFonts w:ascii="Cambria Math" w:eastAsiaTheme="minorEastAsia" w:hAnsi="Cambria Math"/>
                    <w:i/>
                  </w:rPr>
                </m:ctrlPr>
              </m:dPr>
              <m:e>
                <m:f>
                  <m:fPr>
                    <m:ctrlPr>
                      <w:rPr>
                        <w:rFonts w:ascii="Cambria Math" w:hAnsi="Cambria Math"/>
                        <w:i/>
                      </w:rPr>
                    </m:ctrlPr>
                  </m:fPr>
                  <m:num>
                    <m:r>
                      <w:rPr>
                        <w:rFonts w:ascii="Cambria Math" w:hAnsi="Cambria Math"/>
                      </w:rPr>
                      <m:t>dQ</m:t>
                    </m:r>
                  </m:num>
                  <m:den>
                    <m:r>
                      <w:rPr>
                        <w:rFonts w:ascii="Cambria Math" w:hAnsi="Cambria Math"/>
                      </w:rPr>
                      <m:t>dA</m:t>
                    </m:r>
                  </m:den>
                </m:f>
              </m:e>
            </m:d>
          </m:e>
          <m:sub>
            <m:r>
              <m:rPr>
                <m:sty m:val="p"/>
              </m:rPr>
              <w:rPr>
                <w:rFonts w:ascii="Cambria Math" w:eastAsiaTheme="minorEastAsia" w:hAnsi="Cambria Math"/>
              </w:rPr>
              <m:t>min</m:t>
            </m:r>
          </m:sub>
        </m:sSub>
      </m:oMath>
      <w:r>
        <w:rPr>
          <w:rFonts w:eastAsiaTheme="minorEastAsia"/>
        </w:rPr>
        <w:t xml:space="preserve"> for the problem, guidance will be provided here upon publishing the OpenHENS journal article</w:t>
      </w:r>
      <w:r>
        <w:rPr>
          <w:rFonts w:eastAsiaTheme="minorEastAsia"/>
        </w:rPr>
        <w:t xml:space="preserve">. </w:t>
      </w:r>
      <w:r w:rsidRPr="00B8789B">
        <w:t xml:space="preserve">Additionally, the user may </w:t>
      </w:r>
      <w:r>
        <w:t xml:space="preserve">choose to override the automated stage selection in the PDM sub-models by specifying the stages explicitly. </w:t>
      </w:r>
      <w:r w:rsidRPr="00590459">
        <w:t>While the remaining four options can be modified, they are best left at their default values for initial users.</w:t>
      </w:r>
    </w:p>
    <w:p w14:paraId="66C34ABD" w14:textId="6C81DD7C" w:rsidR="000A4BDD" w:rsidRDefault="000A4BDD" w:rsidP="000A4BDD">
      <w:pPr>
        <w:pStyle w:val="Caption"/>
        <w:keepNext/>
      </w:pPr>
      <w:bookmarkStart w:id="1" w:name="_Ref204675657"/>
      <w:bookmarkStart w:id="2" w:name="_Toc205124021"/>
      <w:r>
        <w:lastRenderedPageBreak/>
        <w:t>Table</w:t>
      </w:r>
      <w:r>
        <w:t xml:space="preserve"> </w:t>
      </w:r>
      <w:r>
        <w:fldChar w:fldCharType="begin"/>
      </w:r>
      <w:r>
        <w:instrText xml:space="preserve"> SEQ Table \* ARABIC \s 1 </w:instrText>
      </w:r>
      <w:r>
        <w:fldChar w:fldCharType="separate"/>
      </w:r>
      <w:r>
        <w:rPr>
          <w:noProof/>
        </w:rPr>
        <w:t>1</w:t>
      </w:r>
      <w:r>
        <w:rPr>
          <w:noProof/>
        </w:rPr>
        <w:fldChar w:fldCharType="end"/>
      </w:r>
      <w:bookmarkEnd w:id="1"/>
      <w:r>
        <w:t>: Description of OpenHENS user options.</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9"/>
        <w:gridCol w:w="2861"/>
        <w:gridCol w:w="2789"/>
      </w:tblGrid>
      <w:tr w:rsidR="000A4BDD" w14:paraId="5C37B926" w14:textId="77777777" w:rsidTr="00854CBC">
        <w:tc>
          <w:tcPr>
            <w:tcW w:w="2809" w:type="dxa"/>
            <w:tcBorders>
              <w:top w:val="single" w:sz="4" w:space="0" w:color="auto"/>
              <w:bottom w:val="single" w:sz="4" w:space="0" w:color="auto"/>
            </w:tcBorders>
          </w:tcPr>
          <w:p w14:paraId="6D1733E3" w14:textId="77777777" w:rsidR="000A4BDD" w:rsidRPr="00CF0F7E" w:rsidRDefault="000A4BDD" w:rsidP="00854CBC">
            <w:pPr>
              <w:spacing w:before="60" w:after="60" w:line="240" w:lineRule="auto"/>
              <w:jc w:val="left"/>
              <w:rPr>
                <w:b/>
                <w:bCs/>
              </w:rPr>
            </w:pPr>
            <w:r>
              <w:rPr>
                <w:b/>
                <w:bCs/>
              </w:rPr>
              <w:t>Option</w:t>
            </w:r>
          </w:p>
        </w:tc>
        <w:tc>
          <w:tcPr>
            <w:tcW w:w="2861" w:type="dxa"/>
            <w:tcBorders>
              <w:top w:val="single" w:sz="4" w:space="0" w:color="auto"/>
              <w:bottom w:val="single" w:sz="4" w:space="0" w:color="auto"/>
            </w:tcBorders>
          </w:tcPr>
          <w:p w14:paraId="2E2E75A4" w14:textId="77777777" w:rsidR="000A4BDD" w:rsidRPr="00CF0F7E" w:rsidRDefault="000A4BDD" w:rsidP="00854CBC">
            <w:pPr>
              <w:spacing w:before="60" w:after="60" w:line="240" w:lineRule="auto"/>
              <w:jc w:val="left"/>
              <w:rPr>
                <w:b/>
                <w:bCs/>
              </w:rPr>
            </w:pPr>
            <w:r w:rsidRPr="00CF0F7E">
              <w:rPr>
                <w:b/>
                <w:bCs/>
              </w:rPr>
              <w:t>Description</w:t>
            </w:r>
          </w:p>
        </w:tc>
        <w:tc>
          <w:tcPr>
            <w:tcW w:w="2789" w:type="dxa"/>
            <w:tcBorders>
              <w:top w:val="single" w:sz="4" w:space="0" w:color="auto"/>
              <w:bottom w:val="single" w:sz="4" w:space="0" w:color="auto"/>
            </w:tcBorders>
          </w:tcPr>
          <w:p w14:paraId="4763D6E4" w14:textId="77777777" w:rsidR="000A4BDD" w:rsidRPr="002E5528" w:rsidRDefault="000A4BDD" w:rsidP="00854CBC">
            <w:pPr>
              <w:spacing w:before="60" w:after="60" w:line="240" w:lineRule="auto"/>
              <w:jc w:val="left"/>
              <w:rPr>
                <w:b/>
                <w:bCs/>
              </w:rPr>
            </w:pPr>
            <w:r>
              <w:rPr>
                <w:b/>
                <w:bCs/>
              </w:rPr>
              <w:t>Default</w:t>
            </w:r>
          </w:p>
        </w:tc>
      </w:tr>
      <w:tr w:rsidR="000A4BDD" w14:paraId="42423171" w14:textId="77777777" w:rsidTr="00854CBC">
        <w:tc>
          <w:tcPr>
            <w:tcW w:w="2809" w:type="dxa"/>
            <w:tcBorders>
              <w:top w:val="single" w:sz="4" w:space="0" w:color="auto"/>
            </w:tcBorders>
          </w:tcPr>
          <w:p w14:paraId="60C6DC37" w14:textId="77777777" w:rsidR="000A4BDD" w:rsidRPr="00725F23" w:rsidRDefault="000A4BDD" w:rsidP="00854CBC">
            <w:pPr>
              <w:pStyle w:val="Code"/>
              <w:rPr>
                <w:szCs w:val="18"/>
                <w:highlight w:val="lightGray"/>
              </w:rPr>
            </w:pPr>
            <w:proofErr w:type="spellStart"/>
            <w:r w:rsidRPr="00725F23">
              <w:rPr>
                <w:szCs w:val="18"/>
                <w:highlight w:val="lightGray"/>
              </w:rPr>
              <w:t>input_folder</w:t>
            </w:r>
            <w:proofErr w:type="spellEnd"/>
          </w:p>
        </w:tc>
        <w:tc>
          <w:tcPr>
            <w:tcW w:w="2861" w:type="dxa"/>
            <w:tcBorders>
              <w:top w:val="single" w:sz="4" w:space="0" w:color="auto"/>
            </w:tcBorders>
          </w:tcPr>
          <w:p w14:paraId="47FB1C05" w14:textId="77777777" w:rsidR="000A4BDD" w:rsidRDefault="000A4BDD" w:rsidP="00854CBC">
            <w:pPr>
              <w:spacing w:before="60" w:after="60" w:line="240" w:lineRule="auto"/>
              <w:jc w:val="left"/>
            </w:pPr>
            <w:r>
              <w:t>File path to the stream data CSV</w:t>
            </w:r>
          </w:p>
        </w:tc>
        <w:tc>
          <w:tcPr>
            <w:tcW w:w="2789" w:type="dxa"/>
            <w:tcBorders>
              <w:top w:val="single" w:sz="4" w:space="0" w:color="auto"/>
            </w:tcBorders>
          </w:tcPr>
          <w:p w14:paraId="076ED731" w14:textId="77777777" w:rsidR="000A4BDD" w:rsidRPr="00725F23" w:rsidRDefault="000A4BDD" w:rsidP="00854CBC">
            <w:pPr>
              <w:pStyle w:val="Code"/>
              <w:rPr>
                <w:szCs w:val="18"/>
                <w:highlight w:val="lightGray"/>
              </w:rPr>
            </w:pPr>
            <w:r w:rsidRPr="00725F23">
              <w:rPr>
                <w:szCs w:val="18"/>
                <w:highlight w:val="lightGray"/>
              </w:rPr>
              <w:t>examples/cases/Six-steam-Yee-and-Grossmann-1990-1.csv</w:t>
            </w:r>
          </w:p>
        </w:tc>
      </w:tr>
      <w:tr w:rsidR="000A4BDD" w14:paraId="45B9851B" w14:textId="77777777" w:rsidTr="00854CBC">
        <w:tc>
          <w:tcPr>
            <w:tcW w:w="2809" w:type="dxa"/>
          </w:tcPr>
          <w:p w14:paraId="006F9033" w14:textId="77777777" w:rsidR="000A4BDD" w:rsidRPr="00725F23" w:rsidRDefault="000A4BDD" w:rsidP="00854CBC">
            <w:pPr>
              <w:pStyle w:val="Code"/>
              <w:rPr>
                <w:szCs w:val="18"/>
                <w:highlight w:val="lightGray"/>
              </w:rPr>
            </w:pPr>
            <w:proofErr w:type="spellStart"/>
            <w:r w:rsidRPr="00725F23">
              <w:rPr>
                <w:szCs w:val="18"/>
                <w:highlight w:val="lightGray"/>
              </w:rPr>
              <w:t>output_folder</w:t>
            </w:r>
            <w:proofErr w:type="spellEnd"/>
          </w:p>
        </w:tc>
        <w:tc>
          <w:tcPr>
            <w:tcW w:w="2861" w:type="dxa"/>
          </w:tcPr>
          <w:p w14:paraId="52FBA754" w14:textId="77777777" w:rsidR="000A4BDD" w:rsidRDefault="000A4BDD" w:rsidP="00854CBC">
            <w:pPr>
              <w:spacing w:before="60" w:after="60" w:line="240" w:lineRule="auto"/>
              <w:jc w:val="left"/>
            </w:pPr>
            <w:r w:rsidRPr="00116E20">
              <w:t>File path to results folder where outputs will be saved</w:t>
            </w:r>
          </w:p>
        </w:tc>
        <w:tc>
          <w:tcPr>
            <w:tcW w:w="2789" w:type="dxa"/>
          </w:tcPr>
          <w:p w14:paraId="1B4F2134" w14:textId="77777777" w:rsidR="000A4BDD" w:rsidRPr="00725F23" w:rsidRDefault="000A4BDD" w:rsidP="00854CBC">
            <w:pPr>
              <w:pStyle w:val="Code"/>
              <w:rPr>
                <w:szCs w:val="18"/>
                <w:highlight w:val="lightGray"/>
              </w:rPr>
            </w:pPr>
            <w:r w:rsidRPr="00725F23">
              <w:rPr>
                <w:szCs w:val="18"/>
                <w:highlight w:val="lightGray"/>
              </w:rPr>
              <w:t>Examples/results/Case 1</w:t>
            </w:r>
          </w:p>
        </w:tc>
      </w:tr>
      <w:tr w:rsidR="000A4BDD" w14:paraId="75D51647" w14:textId="77777777" w:rsidTr="00854CBC">
        <w:tc>
          <w:tcPr>
            <w:tcW w:w="2809" w:type="dxa"/>
          </w:tcPr>
          <w:p w14:paraId="79344601" w14:textId="77777777" w:rsidR="000A4BDD" w:rsidRPr="00725F23" w:rsidRDefault="000A4BDD" w:rsidP="00854CBC">
            <w:pPr>
              <w:pStyle w:val="Code"/>
              <w:rPr>
                <w:szCs w:val="18"/>
                <w:highlight w:val="lightGray"/>
              </w:rPr>
            </w:pPr>
            <w:proofErr w:type="spellStart"/>
            <w:r w:rsidRPr="00725F23">
              <w:rPr>
                <w:szCs w:val="18"/>
                <w:highlight w:val="lightGray"/>
              </w:rPr>
              <w:t>min_dT_list</w:t>
            </w:r>
            <w:proofErr w:type="spellEnd"/>
          </w:p>
        </w:tc>
        <w:tc>
          <w:tcPr>
            <w:tcW w:w="2861" w:type="dxa"/>
          </w:tcPr>
          <w:p w14:paraId="656E9576" w14:textId="77777777" w:rsidR="000A4BDD" w:rsidRDefault="000A4BDD" w:rsidP="00854CBC">
            <w:pPr>
              <w:spacing w:before="60" w:after="60" w:line="240" w:lineRule="auto"/>
              <w:jc w:val="left"/>
            </w:pPr>
            <w:r>
              <w:t xml:space="preserve">List of </w:t>
            </w:r>
            <m:oMath>
              <m:r>
                <w:rPr>
                  <w:rFonts w:ascii="Cambria Math" w:hAnsi="Cambria Math"/>
                </w:rPr>
                <m:t>∆</m:t>
              </m:r>
              <m:sSup>
                <m:sSupPr>
                  <m:ctrlPr>
                    <w:rPr>
                      <w:rFonts w:ascii="Cambria Math" w:hAnsi="Cambria Math"/>
                      <w:i/>
                    </w:rPr>
                  </m:ctrlPr>
                </m:sSupPr>
                <m:e>
                  <m:r>
                    <w:rPr>
                      <w:rFonts w:ascii="Cambria Math" w:hAnsi="Cambria Math"/>
                    </w:rPr>
                    <m:t>T</m:t>
                  </m:r>
                </m:e>
                <m:sup>
                  <m:r>
                    <m:rPr>
                      <m:sty m:val="p"/>
                    </m:rPr>
                    <w:rPr>
                      <w:rFonts w:ascii="Cambria Math" w:hAnsi="Cambria Math"/>
                    </w:rPr>
                    <m:t>min</m:t>
                  </m:r>
                </m:sup>
              </m:sSup>
            </m:oMath>
            <w:r>
              <w:rPr>
                <w:rFonts w:eastAsiaTheme="minorEastAsia"/>
              </w:rPr>
              <w:t xml:space="preserve"> values that define distinct PDM instances</w:t>
            </w:r>
          </w:p>
        </w:tc>
        <w:tc>
          <w:tcPr>
            <w:tcW w:w="2789" w:type="dxa"/>
          </w:tcPr>
          <w:p w14:paraId="5E68CEDE" w14:textId="77777777" w:rsidR="000A4BDD" w:rsidRPr="00725F23" w:rsidRDefault="000A4BDD" w:rsidP="00854CBC">
            <w:pPr>
              <w:pStyle w:val="Code"/>
              <w:rPr>
                <w:szCs w:val="18"/>
                <w:highlight w:val="lightGray"/>
              </w:rPr>
            </w:pPr>
            <w:r w:rsidRPr="00725F23">
              <w:rPr>
                <w:rFonts w:eastAsiaTheme="minorEastAsia"/>
                <w:szCs w:val="18"/>
                <w:highlight w:val="lightGray"/>
              </w:rPr>
              <w:t>2, 4, 6, 8, 10, 12, 14, 16, 18 and 20˚C</w:t>
            </w:r>
          </w:p>
        </w:tc>
      </w:tr>
      <w:tr w:rsidR="000A4BDD" w14:paraId="2350090F" w14:textId="77777777" w:rsidTr="00854CBC">
        <w:tc>
          <w:tcPr>
            <w:tcW w:w="2809" w:type="dxa"/>
          </w:tcPr>
          <w:p w14:paraId="0AC496C2" w14:textId="77777777" w:rsidR="000A4BDD" w:rsidRPr="00725F23" w:rsidRDefault="000A4BDD" w:rsidP="00854CBC">
            <w:pPr>
              <w:pStyle w:val="Code"/>
              <w:rPr>
                <w:szCs w:val="18"/>
                <w:highlight w:val="lightGray"/>
              </w:rPr>
            </w:pPr>
            <w:proofErr w:type="spellStart"/>
            <w:r w:rsidRPr="00725F23">
              <w:rPr>
                <w:szCs w:val="18"/>
                <w:highlight w:val="lightGray"/>
              </w:rPr>
              <w:t>min_dqda_list</w:t>
            </w:r>
            <w:proofErr w:type="spellEnd"/>
          </w:p>
        </w:tc>
        <w:tc>
          <w:tcPr>
            <w:tcW w:w="2861" w:type="dxa"/>
          </w:tcPr>
          <w:p w14:paraId="32D858C9" w14:textId="77777777" w:rsidR="000A4BDD" w:rsidRDefault="000A4BDD" w:rsidP="00854CBC">
            <w:pPr>
              <w:spacing w:before="60" w:after="60" w:line="240" w:lineRule="auto"/>
              <w:jc w:val="left"/>
            </w:pPr>
            <w:r>
              <w:t xml:space="preserve">List of </w:t>
            </w:r>
            <m:oMath>
              <m:sSub>
                <m:sSubPr>
                  <m:ctrlPr>
                    <w:rPr>
                      <w:rFonts w:ascii="Cambria Math" w:eastAsiaTheme="minorEastAsia" w:hAnsi="Cambria Math"/>
                      <w:i/>
                    </w:rPr>
                  </m:ctrlPr>
                </m:sSub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dQ</m:t>
                          </m:r>
                        </m:num>
                        <m:den>
                          <m:r>
                            <w:rPr>
                              <w:rFonts w:ascii="Cambria Math" w:eastAsiaTheme="minorEastAsia" w:hAnsi="Cambria Math"/>
                            </w:rPr>
                            <m:t>dA</m:t>
                          </m:r>
                        </m:den>
                      </m:f>
                    </m:e>
                  </m:d>
                </m:e>
                <m:sub>
                  <m:r>
                    <m:rPr>
                      <m:sty m:val="p"/>
                    </m:rPr>
                    <w:rPr>
                      <w:rFonts w:ascii="Cambria Math" w:eastAsiaTheme="minorEastAsia" w:hAnsi="Cambria Math"/>
                    </w:rPr>
                    <m:t>min</m:t>
                  </m:r>
                </m:sub>
              </m:sSub>
            </m:oMath>
            <w:r>
              <w:rPr>
                <w:rFonts w:eastAsiaTheme="minorEastAsia"/>
              </w:rPr>
              <w:t xml:space="preserve"> values that define distinct TDM instances for each PDM</w:t>
            </w:r>
          </w:p>
        </w:tc>
        <w:tc>
          <w:tcPr>
            <w:tcW w:w="2789" w:type="dxa"/>
          </w:tcPr>
          <w:p w14:paraId="30D2D55C" w14:textId="77777777" w:rsidR="000A4BDD" w:rsidRPr="00725F23" w:rsidRDefault="000A4BDD" w:rsidP="00854CBC">
            <w:pPr>
              <w:pStyle w:val="Code"/>
              <w:rPr>
                <w:szCs w:val="18"/>
                <w:highlight w:val="lightGray"/>
              </w:rPr>
            </w:pPr>
            <w:r w:rsidRPr="00725F23">
              <w:rPr>
                <w:rFonts w:eastAsiaTheme="minorEastAsia"/>
                <w:szCs w:val="18"/>
                <w:highlight w:val="lightGray"/>
              </w:rPr>
              <w:t>0.5, 0.9, 1.3, 1.7, 2.1, 2.4, 2.8, 3.2, 3.6, 4.0</w:t>
            </w:r>
          </w:p>
        </w:tc>
      </w:tr>
      <w:tr w:rsidR="000A4BDD" w14:paraId="40749603" w14:textId="77777777" w:rsidTr="00854CBC">
        <w:tc>
          <w:tcPr>
            <w:tcW w:w="2809" w:type="dxa"/>
          </w:tcPr>
          <w:p w14:paraId="507847BC" w14:textId="77777777" w:rsidR="000A4BDD" w:rsidRPr="00725F23" w:rsidRDefault="000A4BDD" w:rsidP="00854CBC">
            <w:pPr>
              <w:pStyle w:val="Code"/>
              <w:rPr>
                <w:szCs w:val="18"/>
                <w:highlight w:val="lightGray"/>
              </w:rPr>
            </w:pPr>
            <w:proofErr w:type="spellStart"/>
            <w:r w:rsidRPr="00725F23">
              <w:rPr>
                <w:szCs w:val="18"/>
                <w:highlight w:val="lightGray"/>
              </w:rPr>
              <w:t>stage_selection</w:t>
            </w:r>
            <w:proofErr w:type="spellEnd"/>
          </w:p>
        </w:tc>
        <w:tc>
          <w:tcPr>
            <w:tcW w:w="2861" w:type="dxa"/>
          </w:tcPr>
          <w:p w14:paraId="3164D57C" w14:textId="77777777" w:rsidR="000A4BDD" w:rsidRDefault="000A4BDD" w:rsidP="00854CBC">
            <w:pPr>
              <w:spacing w:before="60" w:after="60" w:line="240" w:lineRule="auto"/>
              <w:jc w:val="left"/>
            </w:pPr>
            <w:r w:rsidRPr="00116E20">
              <w:t>Manual override for number of stages in each PDM sub-model</w:t>
            </w:r>
          </w:p>
        </w:tc>
        <w:tc>
          <w:tcPr>
            <w:tcW w:w="2789" w:type="dxa"/>
          </w:tcPr>
          <w:p w14:paraId="045EB5E4" w14:textId="77777777" w:rsidR="000A4BDD" w:rsidRPr="00725F23" w:rsidRDefault="000A4BDD" w:rsidP="00854CBC">
            <w:pPr>
              <w:pStyle w:val="Code"/>
              <w:rPr>
                <w:rFonts w:eastAsiaTheme="minorEastAsia"/>
                <w:szCs w:val="18"/>
                <w:highlight w:val="lightGray"/>
              </w:rPr>
            </w:pPr>
            <w:r w:rsidRPr="00725F23">
              <w:rPr>
                <w:rFonts w:eastAsiaTheme="minorEastAsia"/>
                <w:szCs w:val="18"/>
                <w:highlight w:val="lightGray"/>
              </w:rPr>
              <w:t>"automated"</w:t>
            </w:r>
          </w:p>
        </w:tc>
      </w:tr>
      <w:tr w:rsidR="000A4BDD" w14:paraId="567A6DA0" w14:textId="77777777" w:rsidTr="00854CBC">
        <w:tc>
          <w:tcPr>
            <w:tcW w:w="2809" w:type="dxa"/>
          </w:tcPr>
          <w:p w14:paraId="53ABD50B" w14:textId="77777777" w:rsidR="000A4BDD" w:rsidRPr="00725F23" w:rsidRDefault="000A4BDD" w:rsidP="00854CBC">
            <w:pPr>
              <w:pStyle w:val="Code"/>
              <w:rPr>
                <w:szCs w:val="18"/>
                <w:highlight w:val="lightGray"/>
              </w:rPr>
            </w:pPr>
            <w:r w:rsidRPr="00725F23">
              <w:rPr>
                <w:szCs w:val="18"/>
                <w:highlight w:val="lightGray"/>
              </w:rPr>
              <w:t>tolerance</w:t>
            </w:r>
          </w:p>
        </w:tc>
        <w:tc>
          <w:tcPr>
            <w:tcW w:w="2861" w:type="dxa"/>
          </w:tcPr>
          <w:p w14:paraId="0218ECAE" w14:textId="77777777" w:rsidR="000A4BDD" w:rsidRDefault="000A4BDD" w:rsidP="00854CBC">
            <w:pPr>
              <w:spacing w:before="60" w:after="60" w:line="240" w:lineRule="auto"/>
              <w:jc w:val="left"/>
            </w:pPr>
            <w:r w:rsidRPr="007E2D5C">
              <w:t>Numerical convergence tolerance</w:t>
            </w:r>
          </w:p>
        </w:tc>
        <w:tc>
          <w:tcPr>
            <w:tcW w:w="2789" w:type="dxa"/>
          </w:tcPr>
          <w:p w14:paraId="113C6EFC" w14:textId="77777777" w:rsidR="000A4BDD" w:rsidRPr="00725F23" w:rsidRDefault="000A4BDD" w:rsidP="00854CBC">
            <w:pPr>
              <w:pStyle w:val="Code"/>
              <w:rPr>
                <w:szCs w:val="18"/>
                <w:highlight w:val="lightGray"/>
              </w:rPr>
            </w:pPr>
            <m:oMathPara>
              <m:oMathParaPr>
                <m:jc m:val="left"/>
              </m:oMathParaPr>
              <m:oMath>
                <m:r>
                  <m:rPr>
                    <m:sty m:val="p"/>
                  </m:rPr>
                  <w:rPr>
                    <w:rFonts w:ascii="Cambria Math" w:hAnsi="Cambria Math"/>
                    <w:szCs w:val="18"/>
                    <w:highlight w:val="lightGray"/>
                  </w:rPr>
                  <m:t>1×</m:t>
                </m:r>
                <m:sSup>
                  <m:sSupPr>
                    <m:ctrlPr>
                      <w:rPr>
                        <w:rFonts w:ascii="Cambria Math" w:hAnsi="Cambria Math"/>
                        <w:szCs w:val="18"/>
                        <w:highlight w:val="lightGray"/>
                      </w:rPr>
                    </m:ctrlPr>
                  </m:sSupPr>
                  <m:e>
                    <m:r>
                      <m:rPr>
                        <m:sty m:val="p"/>
                      </m:rPr>
                      <w:rPr>
                        <w:rFonts w:ascii="Cambria Math" w:hAnsi="Cambria Math"/>
                        <w:szCs w:val="18"/>
                        <w:highlight w:val="lightGray"/>
                      </w:rPr>
                      <m:t>10</m:t>
                    </m:r>
                  </m:e>
                  <m:sup>
                    <m:r>
                      <m:rPr>
                        <m:sty m:val="p"/>
                      </m:rPr>
                      <w:rPr>
                        <w:rFonts w:ascii="Cambria Math" w:hAnsi="Cambria Math"/>
                        <w:szCs w:val="18"/>
                        <w:highlight w:val="lightGray"/>
                      </w:rPr>
                      <m:t>-3</m:t>
                    </m:r>
                  </m:sup>
                </m:sSup>
              </m:oMath>
            </m:oMathPara>
          </w:p>
        </w:tc>
      </w:tr>
      <w:tr w:rsidR="000A4BDD" w14:paraId="596FA3CC" w14:textId="77777777" w:rsidTr="00854CBC">
        <w:tc>
          <w:tcPr>
            <w:tcW w:w="2809" w:type="dxa"/>
          </w:tcPr>
          <w:p w14:paraId="31CC66D2" w14:textId="77777777" w:rsidR="000A4BDD" w:rsidRPr="00725F23" w:rsidRDefault="000A4BDD" w:rsidP="00854CBC">
            <w:pPr>
              <w:pStyle w:val="Code"/>
              <w:rPr>
                <w:szCs w:val="18"/>
                <w:highlight w:val="lightGray"/>
              </w:rPr>
            </w:pPr>
            <w:proofErr w:type="spellStart"/>
            <w:r w:rsidRPr="00725F23">
              <w:rPr>
                <w:szCs w:val="18"/>
                <w:highlight w:val="lightGray"/>
              </w:rPr>
              <w:t>max_parallel</w:t>
            </w:r>
            <w:proofErr w:type="spellEnd"/>
          </w:p>
        </w:tc>
        <w:tc>
          <w:tcPr>
            <w:tcW w:w="2861" w:type="dxa"/>
          </w:tcPr>
          <w:p w14:paraId="09915C03" w14:textId="77777777" w:rsidR="000A4BDD" w:rsidRDefault="000A4BDD" w:rsidP="00854CBC">
            <w:pPr>
              <w:spacing w:before="60" w:after="60" w:line="240" w:lineRule="auto"/>
              <w:jc w:val="left"/>
            </w:pPr>
            <w:r w:rsidRPr="007E2D5C">
              <w:t>Number of models to solve in parallel (should be ≤ CPU cores)</w:t>
            </w:r>
          </w:p>
        </w:tc>
        <w:tc>
          <w:tcPr>
            <w:tcW w:w="2789" w:type="dxa"/>
          </w:tcPr>
          <w:p w14:paraId="28838AC6" w14:textId="77777777" w:rsidR="000A4BDD" w:rsidRPr="00725F23" w:rsidRDefault="000A4BDD" w:rsidP="00854CBC">
            <w:pPr>
              <w:pStyle w:val="Code"/>
              <w:rPr>
                <w:szCs w:val="18"/>
                <w:highlight w:val="lightGray"/>
              </w:rPr>
            </w:pPr>
            <w:r w:rsidRPr="00725F23">
              <w:rPr>
                <w:szCs w:val="18"/>
                <w:highlight w:val="lightGray"/>
              </w:rPr>
              <w:t>10</w:t>
            </w:r>
          </w:p>
        </w:tc>
      </w:tr>
      <w:tr w:rsidR="000A4BDD" w14:paraId="04CFF2FA" w14:textId="77777777" w:rsidTr="00854CBC">
        <w:tc>
          <w:tcPr>
            <w:tcW w:w="2809" w:type="dxa"/>
          </w:tcPr>
          <w:p w14:paraId="2AEBA918" w14:textId="77777777" w:rsidR="000A4BDD" w:rsidRPr="00725F23" w:rsidRDefault="000A4BDD" w:rsidP="00854CBC">
            <w:pPr>
              <w:pStyle w:val="Code"/>
              <w:rPr>
                <w:szCs w:val="18"/>
                <w:highlight w:val="lightGray"/>
              </w:rPr>
            </w:pPr>
            <w:proofErr w:type="spellStart"/>
            <w:r w:rsidRPr="00725F23">
              <w:rPr>
                <w:szCs w:val="18"/>
                <w:highlight w:val="lightGray"/>
              </w:rPr>
              <w:t>best_solns_to_save</w:t>
            </w:r>
            <w:proofErr w:type="spellEnd"/>
          </w:p>
        </w:tc>
        <w:tc>
          <w:tcPr>
            <w:tcW w:w="2861" w:type="dxa"/>
          </w:tcPr>
          <w:p w14:paraId="2DC2CB59" w14:textId="77777777" w:rsidR="000A4BDD" w:rsidRDefault="000A4BDD" w:rsidP="00854CBC">
            <w:pPr>
              <w:spacing w:before="60" w:after="60" w:line="240" w:lineRule="auto"/>
              <w:jc w:val="left"/>
            </w:pPr>
            <w:r>
              <w:t>Number of N-best ESM solutions to retain</w:t>
            </w:r>
          </w:p>
        </w:tc>
        <w:tc>
          <w:tcPr>
            <w:tcW w:w="2789" w:type="dxa"/>
          </w:tcPr>
          <w:p w14:paraId="24FFCFB4" w14:textId="77777777" w:rsidR="000A4BDD" w:rsidRPr="00725F23" w:rsidRDefault="000A4BDD" w:rsidP="00854CBC">
            <w:pPr>
              <w:pStyle w:val="Code"/>
              <w:rPr>
                <w:szCs w:val="18"/>
                <w:highlight w:val="lightGray"/>
              </w:rPr>
            </w:pPr>
            <w:r w:rsidRPr="00725F23">
              <w:rPr>
                <w:szCs w:val="18"/>
                <w:highlight w:val="lightGray"/>
              </w:rPr>
              <w:t>10</w:t>
            </w:r>
          </w:p>
        </w:tc>
      </w:tr>
      <w:tr w:rsidR="000A4BDD" w14:paraId="0612EC0A" w14:textId="77777777" w:rsidTr="00854CBC">
        <w:tc>
          <w:tcPr>
            <w:tcW w:w="2809" w:type="dxa"/>
            <w:tcBorders>
              <w:bottom w:val="single" w:sz="4" w:space="0" w:color="auto"/>
            </w:tcBorders>
          </w:tcPr>
          <w:p w14:paraId="38A91858" w14:textId="77777777" w:rsidR="000A4BDD" w:rsidRPr="00725F23" w:rsidRDefault="000A4BDD" w:rsidP="00854CBC">
            <w:pPr>
              <w:pStyle w:val="Code"/>
              <w:rPr>
                <w:szCs w:val="18"/>
                <w:highlight w:val="lightGray"/>
              </w:rPr>
            </w:pPr>
            <w:proofErr w:type="spellStart"/>
            <w:r w:rsidRPr="00725F23">
              <w:rPr>
                <w:szCs w:val="18"/>
                <w:highlight w:val="lightGray"/>
              </w:rPr>
              <w:t>log_level</w:t>
            </w:r>
            <w:proofErr w:type="spellEnd"/>
          </w:p>
        </w:tc>
        <w:tc>
          <w:tcPr>
            <w:tcW w:w="2861" w:type="dxa"/>
            <w:tcBorders>
              <w:bottom w:val="single" w:sz="4" w:space="0" w:color="auto"/>
            </w:tcBorders>
          </w:tcPr>
          <w:p w14:paraId="4A17B24C" w14:textId="77777777" w:rsidR="000A4BDD" w:rsidRDefault="000A4BDD" w:rsidP="00854CBC">
            <w:pPr>
              <w:spacing w:before="60" w:after="60" w:line="240" w:lineRule="auto"/>
              <w:jc w:val="left"/>
            </w:pPr>
            <w:r w:rsidRPr="007E2D5C">
              <w:t>Logging level for controlling screen output</w:t>
            </w:r>
          </w:p>
        </w:tc>
        <w:tc>
          <w:tcPr>
            <w:tcW w:w="2789" w:type="dxa"/>
            <w:tcBorders>
              <w:bottom w:val="single" w:sz="4" w:space="0" w:color="auto"/>
            </w:tcBorders>
          </w:tcPr>
          <w:p w14:paraId="0A1FEEA5" w14:textId="77777777" w:rsidR="000A4BDD" w:rsidRPr="00725F23" w:rsidRDefault="000A4BDD" w:rsidP="00854CBC">
            <w:pPr>
              <w:pStyle w:val="Code"/>
              <w:rPr>
                <w:szCs w:val="18"/>
                <w:highlight w:val="lightGray"/>
              </w:rPr>
            </w:pPr>
            <w:proofErr w:type="spellStart"/>
            <w:proofErr w:type="gramStart"/>
            <w:r w:rsidRPr="00725F23">
              <w:rPr>
                <w:szCs w:val="18"/>
                <w:highlight w:val="lightGray"/>
              </w:rPr>
              <w:t>logging.WARNING</w:t>
            </w:r>
            <w:proofErr w:type="spellEnd"/>
            <w:proofErr w:type="gramEnd"/>
          </w:p>
        </w:tc>
      </w:tr>
    </w:tbl>
    <w:p w14:paraId="1EF5E2AC" w14:textId="77777777" w:rsidR="000A4BDD" w:rsidRDefault="000A4BDD" w:rsidP="000A4BDD">
      <w:pPr>
        <w:spacing w:before="240"/>
      </w:pPr>
      <w:r>
        <w:t>To use OpenHENS within a code editor of the user’s choice:</w:t>
      </w:r>
    </w:p>
    <w:p w14:paraId="5A05AC4F" w14:textId="77777777" w:rsidR="000A4BDD" w:rsidRDefault="000A4BDD" w:rsidP="000A4BDD">
      <w:pPr>
        <w:pStyle w:val="ListParagraph"/>
        <w:numPr>
          <w:ilvl w:val="0"/>
          <w:numId w:val="2"/>
        </w:numPr>
      </w:pPr>
      <w:r>
        <w:t>Install Python (version≥3.10).</w:t>
      </w:r>
    </w:p>
    <w:p w14:paraId="26B04C03" w14:textId="18B737E9" w:rsidR="000A4BDD" w:rsidRDefault="000A4BDD" w:rsidP="000A4BDD">
      <w:pPr>
        <w:pStyle w:val="ListParagraph"/>
        <w:numPr>
          <w:ilvl w:val="0"/>
          <w:numId w:val="2"/>
        </w:numPr>
      </w:pPr>
      <w:r>
        <w:t xml:space="preserve">Download or clone the repository from GitHub. </w:t>
      </w:r>
      <w:r w:rsidRPr="00191A55">
        <w:t xml:space="preserve">This can be done </w:t>
      </w:r>
      <w:r>
        <w:t xml:space="preserve">using a manual download, git </w:t>
      </w:r>
      <w:r w:rsidRPr="00191A55">
        <w:t>or a graphical interface like GitHub Desktop.</w:t>
      </w:r>
    </w:p>
    <w:p w14:paraId="5460C57D" w14:textId="2CD5F11D" w:rsidR="000A4BDD" w:rsidRPr="00725F23" w:rsidRDefault="000A4BDD" w:rsidP="000A4BDD">
      <w:pPr>
        <w:pStyle w:val="ListParagraph"/>
        <w:numPr>
          <w:ilvl w:val="0"/>
          <w:numId w:val="2"/>
        </w:numPr>
        <w:rPr>
          <w:sz w:val="20"/>
          <w:szCs w:val="18"/>
        </w:rPr>
      </w:pPr>
      <w:r w:rsidRPr="00460CC2">
        <w:t xml:space="preserve">Create a </w:t>
      </w:r>
      <w:proofErr w:type="spellStart"/>
      <w:r>
        <w:t>conda</w:t>
      </w:r>
      <w:proofErr w:type="spellEnd"/>
      <w:r w:rsidRPr="00460CC2">
        <w:t xml:space="preserve"> environment to isolate package dependencies (e.g., Gekko, </w:t>
      </w:r>
      <w:proofErr w:type="spellStart"/>
      <w:r w:rsidRPr="00460CC2">
        <w:t>Pyomo</w:t>
      </w:r>
      <w:proofErr w:type="spellEnd"/>
      <w:r w:rsidRPr="00460CC2">
        <w:t xml:space="preserve">). Detailed instructions are provided in the repository’s </w:t>
      </w:r>
      <w:r w:rsidRPr="00725F23">
        <w:rPr>
          <w:rStyle w:val="CodeChar"/>
          <w:szCs w:val="18"/>
          <w:highlight w:val="lightGray"/>
        </w:rPr>
        <w:t>README.md.</w:t>
      </w:r>
    </w:p>
    <w:p w14:paraId="1F85214E" w14:textId="45267D3F" w:rsidR="000A4BDD" w:rsidRDefault="000A4BDD" w:rsidP="000A4BDD">
      <w:pPr>
        <w:pStyle w:val="ListParagraph"/>
        <w:numPr>
          <w:ilvl w:val="0"/>
          <w:numId w:val="2"/>
        </w:numPr>
      </w:pPr>
      <w:r>
        <w:t xml:space="preserve">Activate the </w:t>
      </w:r>
      <w:proofErr w:type="spellStart"/>
      <w:r>
        <w:t>conda</w:t>
      </w:r>
      <w:proofErr w:type="spellEnd"/>
      <w:r>
        <w:t xml:space="preserve"> environment. T</w:t>
      </w:r>
      <w:r w:rsidRPr="00F42D47">
        <w:t>his step must be repeated each time the code editor or terminal session is restarted.</w:t>
      </w:r>
    </w:p>
    <w:p w14:paraId="515B7F75" w14:textId="77777777" w:rsidR="000A4BDD" w:rsidRPr="000C5503" w:rsidRDefault="000A4BDD" w:rsidP="000A4BDD">
      <w:pPr>
        <w:pStyle w:val="ListParagraph"/>
        <w:numPr>
          <w:ilvl w:val="0"/>
          <w:numId w:val="2"/>
        </w:numPr>
      </w:pPr>
      <w:r>
        <w:t xml:space="preserve">Install the package using </w:t>
      </w:r>
      <w:r w:rsidRPr="00725F23">
        <w:rPr>
          <w:rStyle w:val="CodeChar"/>
          <w:szCs w:val="18"/>
          <w:highlight w:val="lightGray"/>
        </w:rPr>
        <w:t xml:space="preserve">pip </w:t>
      </w:r>
      <w:proofErr w:type="gramStart"/>
      <w:r w:rsidRPr="00725F23">
        <w:rPr>
          <w:rStyle w:val="CodeChar"/>
          <w:szCs w:val="18"/>
          <w:highlight w:val="lightGray"/>
        </w:rPr>
        <w:t>install</w:t>
      </w:r>
      <w:r>
        <w:rPr>
          <w:rStyle w:val="CodeChar"/>
          <w:szCs w:val="18"/>
          <w:highlight w:val="lightGray"/>
        </w:rPr>
        <w:t xml:space="preserve"> .</w:t>
      </w:r>
      <w:proofErr w:type="gramEnd"/>
      <w:r w:rsidRPr="009B5B98">
        <w:rPr>
          <w:rStyle w:val="CodeChar"/>
          <w:szCs w:val="18"/>
        </w:rPr>
        <w:t xml:space="preserve"> </w:t>
      </w:r>
      <w:r w:rsidRPr="009B5B98">
        <w:rPr>
          <w:sz w:val="20"/>
          <w:szCs w:val="18"/>
        </w:rPr>
        <w:t>.</w:t>
      </w:r>
      <w:r w:rsidRPr="00725F23">
        <w:rPr>
          <w:sz w:val="20"/>
          <w:szCs w:val="18"/>
        </w:rPr>
        <w:t xml:space="preserve"> </w:t>
      </w:r>
    </w:p>
    <w:p w14:paraId="3E358857" w14:textId="77777777" w:rsidR="000A4BDD" w:rsidRDefault="000A4BDD" w:rsidP="000A4BDD">
      <w:pPr>
        <w:pStyle w:val="ListParagraph"/>
        <w:numPr>
          <w:ilvl w:val="0"/>
          <w:numId w:val="2"/>
        </w:numPr>
      </w:pPr>
      <w:r>
        <w:t>Prepare input and out directories:</w:t>
      </w:r>
    </w:p>
    <w:p w14:paraId="26BC4D78" w14:textId="77777777" w:rsidR="000A4BDD" w:rsidRPr="000C5503" w:rsidRDefault="000A4BDD" w:rsidP="000A4BDD">
      <w:pPr>
        <w:pStyle w:val="ListParagraph"/>
        <w:numPr>
          <w:ilvl w:val="0"/>
          <w:numId w:val="4"/>
        </w:numPr>
        <w:rPr>
          <w:rStyle w:val="CodeChar"/>
        </w:rPr>
      </w:pPr>
      <w:r w:rsidRPr="00725F23">
        <w:rPr>
          <w:lang w:eastAsia="en-NZ"/>
        </w:rPr>
        <w:t xml:space="preserve">Save </w:t>
      </w:r>
      <w:r>
        <w:rPr>
          <w:lang w:eastAsia="en-NZ"/>
        </w:rPr>
        <w:t>the</w:t>
      </w:r>
      <w:r w:rsidRPr="00725F23">
        <w:rPr>
          <w:lang w:eastAsia="en-NZ"/>
        </w:rPr>
        <w:t xml:space="preserve"> custom stream data as a </w:t>
      </w:r>
      <w:r w:rsidRPr="008B75E3">
        <w:rPr>
          <w:rStyle w:val="CodeChar"/>
          <w:highlight w:val="lightGray"/>
          <w:lang w:eastAsia="en-NZ"/>
        </w:rPr>
        <w:t>.csv</w:t>
      </w:r>
      <w:r w:rsidRPr="00725F23">
        <w:rPr>
          <w:lang w:eastAsia="en-NZ"/>
        </w:rPr>
        <w:t xml:space="preserve"> file in </w:t>
      </w:r>
      <w:r w:rsidRPr="008B75E3">
        <w:rPr>
          <w:rStyle w:val="CodeChar"/>
          <w:highlight w:val="lightGray"/>
          <w:lang w:eastAsia="en-NZ"/>
        </w:rPr>
        <w:t>examples/cases/</w:t>
      </w:r>
      <w:r w:rsidRPr="008B75E3">
        <w:rPr>
          <w:rStyle w:val="CodeChar"/>
          <w:lang w:eastAsia="en-NZ"/>
        </w:rPr>
        <w:t xml:space="preserve"> </w:t>
      </w:r>
      <w:r w:rsidRPr="008B75E3">
        <w:rPr>
          <w:rStyle w:val="CodeChar"/>
          <w:szCs w:val="28"/>
          <w:lang w:eastAsia="en-NZ"/>
        </w:rPr>
        <w:t>e.g.</w:t>
      </w:r>
      <w:r w:rsidRPr="008B75E3">
        <w:rPr>
          <w:rStyle w:val="CodeChar"/>
          <w:highlight w:val="lightGray"/>
          <w:lang w:eastAsia="en-NZ"/>
        </w:rPr>
        <w:t xml:space="preserve"> examples/cases/new_case.csv</w:t>
      </w:r>
      <w:r>
        <w:rPr>
          <w:rStyle w:val="CodeChar"/>
          <w:lang w:eastAsia="en-NZ"/>
        </w:rPr>
        <w:t>.</w:t>
      </w:r>
    </w:p>
    <w:p w14:paraId="20F4C299" w14:textId="77777777" w:rsidR="000A4BDD" w:rsidRDefault="000A4BDD" w:rsidP="000A4BDD">
      <w:pPr>
        <w:pStyle w:val="ListParagraph"/>
        <w:numPr>
          <w:ilvl w:val="0"/>
          <w:numId w:val="4"/>
        </w:numPr>
      </w:pPr>
      <w:r w:rsidRPr="00725F23">
        <w:rPr>
          <w:lang w:eastAsia="en-NZ"/>
        </w:rPr>
        <w:lastRenderedPageBreak/>
        <w:t xml:space="preserve">Create a corresponding output folder in </w:t>
      </w:r>
      <w:r w:rsidRPr="000C5503">
        <w:rPr>
          <w:rFonts w:ascii="Courier New" w:hAnsi="Courier New" w:cs="Courier New"/>
          <w:sz w:val="20"/>
          <w:szCs w:val="20"/>
          <w:highlight w:val="lightGray"/>
          <w:lang w:eastAsia="en-NZ"/>
        </w:rPr>
        <w:t>examples/results/</w:t>
      </w:r>
      <w:r w:rsidRPr="00725F23">
        <w:rPr>
          <w:lang w:eastAsia="en-NZ"/>
        </w:rPr>
        <w:t xml:space="preserve"> e.g. </w:t>
      </w:r>
      <w:r w:rsidRPr="000C5503">
        <w:rPr>
          <w:rFonts w:ascii="Courier New" w:hAnsi="Courier New" w:cs="Courier New"/>
          <w:sz w:val="20"/>
          <w:szCs w:val="20"/>
          <w:highlight w:val="lightGray"/>
          <w:lang w:eastAsia="en-NZ"/>
        </w:rPr>
        <w:t>examples/results/</w:t>
      </w:r>
      <w:proofErr w:type="spellStart"/>
      <w:r w:rsidRPr="000C5503">
        <w:rPr>
          <w:rFonts w:ascii="Courier New" w:hAnsi="Courier New" w:cs="Courier New"/>
          <w:sz w:val="20"/>
          <w:szCs w:val="20"/>
          <w:highlight w:val="lightGray"/>
          <w:lang w:eastAsia="en-NZ"/>
        </w:rPr>
        <w:t>new_case</w:t>
      </w:r>
      <w:proofErr w:type="spellEnd"/>
      <w:r w:rsidRPr="009B5B98">
        <w:rPr>
          <w:lang w:eastAsia="en-NZ"/>
        </w:rPr>
        <w:t>.</w:t>
      </w:r>
    </w:p>
    <w:p w14:paraId="68DA1E6D" w14:textId="77777777" w:rsidR="000A4BDD" w:rsidRPr="00725F23" w:rsidRDefault="000A4BDD" w:rsidP="000A4BDD">
      <w:pPr>
        <w:pStyle w:val="ListParagraph"/>
        <w:numPr>
          <w:ilvl w:val="0"/>
          <w:numId w:val="4"/>
        </w:numPr>
      </w:pPr>
      <w:r w:rsidRPr="00725F23">
        <w:rPr>
          <w:lang w:eastAsia="en-NZ"/>
        </w:rPr>
        <w:t>This step may be skipped when solving one of the built-in benchmark problems.</w:t>
      </w:r>
    </w:p>
    <w:p w14:paraId="12CE3A4E" w14:textId="77777777" w:rsidR="000A4BDD" w:rsidRDefault="000A4BDD" w:rsidP="000A4BDD">
      <w:pPr>
        <w:pStyle w:val="ListParagraph"/>
        <w:numPr>
          <w:ilvl w:val="0"/>
          <w:numId w:val="2"/>
        </w:numPr>
      </w:pPr>
      <w:r>
        <w:t xml:space="preserve">Set options. Open </w:t>
      </w:r>
      <w:r w:rsidRPr="008451A6">
        <w:rPr>
          <w:rStyle w:val="CodeChar"/>
          <w:highlight w:val="lightGray"/>
        </w:rPr>
        <w:t>run.py</w:t>
      </w:r>
      <w:r>
        <w:t xml:space="preserve"> and update the </w:t>
      </w:r>
      <w:proofErr w:type="spellStart"/>
      <w:r w:rsidRPr="008451A6">
        <w:rPr>
          <w:rStyle w:val="CodeChar"/>
          <w:highlight w:val="lightGray"/>
        </w:rPr>
        <w:t>input_folder</w:t>
      </w:r>
      <w:proofErr w:type="spellEnd"/>
      <w:r>
        <w:t xml:space="preserve"> and </w:t>
      </w:r>
      <w:proofErr w:type="spellStart"/>
      <w:r w:rsidRPr="008451A6">
        <w:rPr>
          <w:rStyle w:val="CodeChar"/>
          <w:highlight w:val="lightGray"/>
        </w:rPr>
        <w:t>output_folder</w:t>
      </w:r>
      <w:proofErr w:type="spellEnd"/>
      <w:r>
        <w:t xml:space="preserve"> paths. Modify the other parameters from </w:t>
      </w:r>
      <w:r>
        <w:rPr>
          <w:i/>
          <w:iCs/>
        </w:rPr>
        <w:fldChar w:fldCharType="begin"/>
      </w:r>
      <w:r>
        <w:instrText xml:space="preserve"> REF _Ref204675657 \h </w:instrText>
      </w:r>
      <w:r>
        <w:rPr>
          <w:i/>
          <w:iCs/>
        </w:rPr>
      </w:r>
      <w:r>
        <w:rPr>
          <w:i/>
          <w:iCs/>
        </w:rPr>
        <w:fldChar w:fldCharType="separate"/>
      </w:r>
      <w:r>
        <w:t xml:space="preserve">Table </w:t>
      </w:r>
      <w:r>
        <w:rPr>
          <w:noProof/>
        </w:rPr>
        <w:t>3</w:t>
      </w:r>
      <w:r>
        <w:t>.</w:t>
      </w:r>
      <w:r>
        <w:rPr>
          <w:noProof/>
        </w:rPr>
        <w:t>14</w:t>
      </w:r>
      <w:r>
        <w:rPr>
          <w:i/>
          <w:iCs/>
        </w:rPr>
        <w:fldChar w:fldCharType="end"/>
      </w:r>
      <w:r>
        <w:t xml:space="preserve"> as required.</w:t>
      </w:r>
    </w:p>
    <w:p w14:paraId="0C9F7BBC" w14:textId="77777777" w:rsidR="000A4BDD" w:rsidRDefault="000A4BDD" w:rsidP="000A4BDD">
      <w:pPr>
        <w:pStyle w:val="ListParagraph"/>
        <w:numPr>
          <w:ilvl w:val="0"/>
          <w:numId w:val="2"/>
        </w:numPr>
      </w:pPr>
      <w:r>
        <w:t xml:space="preserve">Execute the script. Run </w:t>
      </w:r>
      <w:r w:rsidRPr="008451A6">
        <w:rPr>
          <w:rStyle w:val="CodeChar"/>
          <w:highlight w:val="lightGray"/>
        </w:rPr>
        <w:t>run.py</w:t>
      </w:r>
      <w:r>
        <w:t xml:space="preserve"> using the preferred terminal or code editor. Console messages will indicate progress of each stage of the synthesis method.</w:t>
      </w:r>
    </w:p>
    <w:p w14:paraId="5D5A9404" w14:textId="77777777" w:rsidR="000A4BDD" w:rsidRDefault="000A4BDD" w:rsidP="000A4BDD">
      <w:pPr>
        <w:pStyle w:val="ListParagraph"/>
        <w:numPr>
          <w:ilvl w:val="0"/>
          <w:numId w:val="2"/>
        </w:numPr>
      </w:pPr>
      <w:r>
        <w:t>Analyse the results:</w:t>
      </w:r>
    </w:p>
    <w:p w14:paraId="76ED4A8C" w14:textId="77777777" w:rsidR="000A4BDD" w:rsidRDefault="000A4BDD" w:rsidP="000A4BDD">
      <w:pPr>
        <w:pStyle w:val="ListParagraph"/>
        <w:numPr>
          <w:ilvl w:val="0"/>
          <w:numId w:val="4"/>
        </w:numPr>
      </w:pPr>
      <w:r>
        <w:t xml:space="preserve"> </w:t>
      </w:r>
      <w:r>
        <w:rPr>
          <w:lang w:eastAsia="en-NZ"/>
        </w:rPr>
        <w:t>The output folder will contain:</w:t>
      </w:r>
      <w:r w:rsidRPr="00725F23">
        <w:rPr>
          <w:lang w:eastAsia="en-NZ"/>
        </w:rPr>
        <w:t xml:space="preserve"> </w:t>
      </w:r>
    </w:p>
    <w:p w14:paraId="0851C8AF" w14:textId="77777777" w:rsidR="000A4BDD" w:rsidRDefault="000A4BDD" w:rsidP="000A4BDD">
      <w:pPr>
        <w:pStyle w:val="ListParagraph"/>
        <w:numPr>
          <w:ilvl w:val="1"/>
          <w:numId w:val="4"/>
        </w:numPr>
      </w:pPr>
      <w:r>
        <w:rPr>
          <w:lang w:eastAsia="en-NZ"/>
        </w:rPr>
        <w:t>Parameter variation plots</w:t>
      </w:r>
    </w:p>
    <w:p w14:paraId="448CA3BC" w14:textId="77777777" w:rsidR="000A4BDD" w:rsidRDefault="000A4BDD" w:rsidP="000A4BDD">
      <w:pPr>
        <w:pStyle w:val="ListParagraph"/>
        <w:numPr>
          <w:ilvl w:val="1"/>
          <w:numId w:val="4"/>
        </w:numPr>
      </w:pPr>
      <w:r>
        <w:rPr>
          <w:lang w:eastAsia="en-NZ"/>
        </w:rPr>
        <w:t>A spreadsheet summary of key metrics (solve time, lowest TAC solution, solution spread)</w:t>
      </w:r>
    </w:p>
    <w:p w14:paraId="62724C0B" w14:textId="77777777" w:rsidR="000A4BDD" w:rsidRDefault="000A4BDD" w:rsidP="000A4BDD">
      <w:pPr>
        <w:pStyle w:val="ListParagraph"/>
        <w:numPr>
          <w:ilvl w:val="1"/>
          <w:numId w:val="4"/>
        </w:numPr>
      </w:pPr>
      <w:r>
        <w:rPr>
          <w:lang w:eastAsia="en-NZ"/>
        </w:rPr>
        <w:t xml:space="preserve">The N-best solutions saved as </w:t>
      </w:r>
      <w:r w:rsidRPr="00106077">
        <w:rPr>
          <w:rStyle w:val="CodeChar"/>
          <w:highlight w:val="lightGray"/>
        </w:rPr>
        <w:t>.</w:t>
      </w:r>
      <w:proofErr w:type="spellStart"/>
      <w:r w:rsidRPr="00106077">
        <w:rPr>
          <w:rStyle w:val="CodeChar"/>
          <w:highlight w:val="lightGray"/>
        </w:rPr>
        <w:t>pkl</w:t>
      </w:r>
      <w:proofErr w:type="spellEnd"/>
      <w:r>
        <w:rPr>
          <w:lang w:eastAsia="en-NZ"/>
        </w:rPr>
        <w:t xml:space="preserve"> files. </w:t>
      </w:r>
    </w:p>
    <w:p w14:paraId="55DC3FA6" w14:textId="77777777" w:rsidR="000A4BDD" w:rsidRDefault="000A4BDD" w:rsidP="000A4BDD">
      <w:pPr>
        <w:pStyle w:val="ListParagraph"/>
        <w:numPr>
          <w:ilvl w:val="0"/>
          <w:numId w:val="4"/>
        </w:numPr>
      </w:pPr>
      <w:r>
        <w:rPr>
          <w:lang w:eastAsia="en-NZ"/>
        </w:rPr>
        <w:t xml:space="preserve">These saved </w:t>
      </w:r>
      <w:r w:rsidRPr="00106077">
        <w:rPr>
          <w:rStyle w:val="CodeChar"/>
          <w:highlight w:val="lightGray"/>
        </w:rPr>
        <w:t>.</w:t>
      </w:r>
      <w:proofErr w:type="spellStart"/>
      <w:r w:rsidRPr="00106077">
        <w:rPr>
          <w:rStyle w:val="CodeChar"/>
          <w:highlight w:val="lightGray"/>
        </w:rPr>
        <w:t>pkl</w:t>
      </w:r>
      <w:proofErr w:type="spellEnd"/>
      <w:r>
        <w:rPr>
          <w:lang w:eastAsia="en-NZ"/>
        </w:rPr>
        <w:t xml:space="preserve"> files can be viewed using </w:t>
      </w:r>
      <w:r w:rsidRPr="00330632">
        <w:rPr>
          <w:rStyle w:val="CodeChar"/>
          <w:highlight w:val="lightGray"/>
        </w:rPr>
        <w:t>open_best.py</w:t>
      </w:r>
      <w:r>
        <w:rPr>
          <w:lang w:eastAsia="en-NZ"/>
        </w:rPr>
        <w:t xml:space="preserve"> which presents the grid diagram and variable values of each saved network.</w:t>
      </w:r>
    </w:p>
    <w:p w14:paraId="3805E1D0" w14:textId="77777777" w:rsidR="008C06BE" w:rsidRDefault="008C06BE"/>
    <w:sectPr w:rsidR="008C06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tantia">
    <w:altName w:val="Constantia"/>
    <w:panose1 w:val="02030602050306030303"/>
    <w:charset w:val="00"/>
    <w:family w:val="roman"/>
    <w:pitch w:val="variable"/>
    <w:sig w:usb0="A00002EF" w:usb1="4000204B" w:usb2="00000000" w:usb3="00000000" w:csb0="0000019F" w:csb1="00000000"/>
  </w:font>
  <w:font w:name="Aptos Display">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531C6"/>
    <w:multiLevelType w:val="hybridMultilevel"/>
    <w:tmpl w:val="26749716"/>
    <w:lvl w:ilvl="0" w:tplc="3ECA590C">
      <w:start w:val="1"/>
      <w:numFmt w:val="decimal"/>
      <w:lvlText w:val="%1."/>
      <w:lvlJc w:val="left"/>
      <w:pPr>
        <w:ind w:left="720" w:hanging="360"/>
      </w:pPr>
    </w:lvl>
    <w:lvl w:ilvl="1" w:tplc="14090001">
      <w:start w:val="1"/>
      <w:numFmt w:val="bullet"/>
      <w:lvlText w:val=""/>
      <w:lvlJc w:val="left"/>
      <w:pPr>
        <w:ind w:left="720" w:hanging="360"/>
      </w:pPr>
      <w:rPr>
        <w:rFonts w:ascii="Symbol" w:hAnsi="Symbol" w:hint="default"/>
      </w:r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213D4F05"/>
    <w:multiLevelType w:val="hybridMultilevel"/>
    <w:tmpl w:val="6E64722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45B44CD6"/>
    <w:multiLevelType w:val="hybridMultilevel"/>
    <w:tmpl w:val="D8023D40"/>
    <w:lvl w:ilvl="0" w:tplc="14090001">
      <w:start w:val="1"/>
      <w:numFmt w:val="bullet"/>
      <w:lvlText w:val=""/>
      <w:lvlJc w:val="left"/>
      <w:pPr>
        <w:ind w:left="1080" w:hanging="360"/>
      </w:pPr>
      <w:rPr>
        <w:rFonts w:ascii="Symbol" w:hAnsi="Symbol" w:hint="default"/>
      </w:rPr>
    </w:lvl>
    <w:lvl w:ilvl="1" w:tplc="14090003">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3" w15:restartNumberingAfterBreak="0">
    <w:nsid w:val="56055141"/>
    <w:multiLevelType w:val="multilevel"/>
    <w:tmpl w:val="BA469CD2"/>
    <w:lvl w:ilvl="0">
      <w:start w:val="1"/>
      <w:numFmt w:val="decimal"/>
      <w:suff w:val="nothing"/>
      <w:lvlText w:val="Chapter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315770404">
    <w:abstractNumId w:val="3"/>
  </w:num>
  <w:num w:numId="2" w16cid:durableId="1628195094">
    <w:abstractNumId w:val="0"/>
  </w:num>
  <w:num w:numId="3" w16cid:durableId="2034182971">
    <w:abstractNumId w:val="1"/>
  </w:num>
  <w:num w:numId="4" w16cid:durableId="1109355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3DA"/>
    <w:rsid w:val="000A4BDD"/>
    <w:rsid w:val="001F482F"/>
    <w:rsid w:val="0032530D"/>
    <w:rsid w:val="008C06BE"/>
    <w:rsid w:val="00B27AA2"/>
    <w:rsid w:val="00B433DA"/>
    <w:rsid w:val="00BC4DE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3E598"/>
  <w15:chartTrackingRefBased/>
  <w15:docId w15:val="{0138CBE6-9910-4185-9AC6-764321EAC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BDD"/>
    <w:pPr>
      <w:spacing w:after="360" w:line="360" w:lineRule="auto"/>
      <w:jc w:val="both"/>
    </w:pPr>
    <w:rPr>
      <w:rFonts w:ascii="Constantia" w:hAnsi="Constantia"/>
      <w:szCs w:val="22"/>
      <w:lang w:eastAsia="zh-CN"/>
      <w14:numForm w14:val="lining"/>
    </w:rPr>
  </w:style>
  <w:style w:type="paragraph" w:styleId="Heading1">
    <w:name w:val="heading 1"/>
    <w:basedOn w:val="Normal"/>
    <w:next w:val="Normal"/>
    <w:link w:val="Heading1Char"/>
    <w:uiPriority w:val="9"/>
    <w:qFormat/>
    <w:rsid w:val="00B43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3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3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43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3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3DA"/>
    <w:rPr>
      <w:rFonts w:eastAsiaTheme="majorEastAsia" w:cstheme="majorBidi"/>
      <w:color w:val="272727" w:themeColor="text1" w:themeTint="D8"/>
    </w:rPr>
  </w:style>
  <w:style w:type="paragraph" w:styleId="Title">
    <w:name w:val="Title"/>
    <w:basedOn w:val="Normal"/>
    <w:next w:val="Normal"/>
    <w:link w:val="TitleChar"/>
    <w:uiPriority w:val="10"/>
    <w:qFormat/>
    <w:rsid w:val="00B43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3DA"/>
    <w:pPr>
      <w:spacing w:before="160"/>
      <w:jc w:val="center"/>
    </w:pPr>
    <w:rPr>
      <w:i/>
      <w:iCs/>
      <w:color w:val="404040" w:themeColor="text1" w:themeTint="BF"/>
    </w:rPr>
  </w:style>
  <w:style w:type="character" w:customStyle="1" w:styleId="QuoteChar">
    <w:name w:val="Quote Char"/>
    <w:basedOn w:val="DefaultParagraphFont"/>
    <w:link w:val="Quote"/>
    <w:uiPriority w:val="29"/>
    <w:rsid w:val="00B433DA"/>
    <w:rPr>
      <w:i/>
      <w:iCs/>
      <w:color w:val="404040" w:themeColor="text1" w:themeTint="BF"/>
    </w:rPr>
  </w:style>
  <w:style w:type="paragraph" w:styleId="ListParagraph">
    <w:name w:val="List Paragraph"/>
    <w:basedOn w:val="Normal"/>
    <w:link w:val="ListParagraphChar"/>
    <w:uiPriority w:val="34"/>
    <w:qFormat/>
    <w:rsid w:val="00B433DA"/>
    <w:pPr>
      <w:ind w:left="720"/>
      <w:contextualSpacing/>
    </w:pPr>
  </w:style>
  <w:style w:type="character" w:styleId="IntenseEmphasis">
    <w:name w:val="Intense Emphasis"/>
    <w:basedOn w:val="DefaultParagraphFont"/>
    <w:uiPriority w:val="21"/>
    <w:qFormat/>
    <w:rsid w:val="00B433DA"/>
    <w:rPr>
      <w:i/>
      <w:iCs/>
      <w:color w:val="0F4761" w:themeColor="accent1" w:themeShade="BF"/>
    </w:rPr>
  </w:style>
  <w:style w:type="paragraph" w:styleId="IntenseQuote">
    <w:name w:val="Intense Quote"/>
    <w:basedOn w:val="Normal"/>
    <w:next w:val="Normal"/>
    <w:link w:val="IntenseQuoteChar"/>
    <w:uiPriority w:val="30"/>
    <w:qFormat/>
    <w:rsid w:val="00B433DA"/>
    <w:pPr>
      <w:pBdr>
        <w:top w:val="single" w:sz="4" w:space="10" w:color="0F4761" w:themeColor="accent1" w:themeShade="BF"/>
        <w:bottom w:val="single" w:sz="4" w:space="10" w:color="0F4761" w:themeColor="accent1" w:themeShade="BF"/>
      </w:pBdr>
      <w:spacing w:before="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3DA"/>
    <w:rPr>
      <w:i/>
      <w:iCs/>
      <w:color w:val="0F4761" w:themeColor="accent1" w:themeShade="BF"/>
    </w:rPr>
  </w:style>
  <w:style w:type="character" w:styleId="IntenseReference">
    <w:name w:val="Intense Reference"/>
    <w:basedOn w:val="DefaultParagraphFont"/>
    <w:uiPriority w:val="32"/>
    <w:qFormat/>
    <w:rsid w:val="00B433DA"/>
    <w:rPr>
      <w:b/>
      <w:bCs/>
      <w:smallCaps/>
      <w:color w:val="0F4761" w:themeColor="accent1" w:themeShade="BF"/>
      <w:spacing w:val="5"/>
    </w:rPr>
  </w:style>
  <w:style w:type="paragraph" w:styleId="Caption">
    <w:name w:val="caption"/>
    <w:basedOn w:val="Normal"/>
    <w:next w:val="Normal"/>
    <w:uiPriority w:val="35"/>
    <w:unhideWhenUsed/>
    <w:qFormat/>
    <w:rsid w:val="000A4BDD"/>
    <w:pPr>
      <w:spacing w:before="120" w:after="240" w:line="240" w:lineRule="auto"/>
    </w:pPr>
    <w:rPr>
      <w:iCs/>
      <w:szCs w:val="18"/>
    </w:rPr>
  </w:style>
  <w:style w:type="table" w:styleId="TableGrid">
    <w:name w:val="Table Grid"/>
    <w:basedOn w:val="TableNormal"/>
    <w:uiPriority w:val="39"/>
    <w:rsid w:val="000A4BD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ListParagraph"/>
    <w:link w:val="CodeChar"/>
    <w:qFormat/>
    <w:rsid w:val="000A4BDD"/>
    <w:pPr>
      <w:spacing w:before="60" w:after="60" w:line="240" w:lineRule="auto"/>
      <w:ind w:left="0"/>
    </w:pPr>
    <w:rPr>
      <w:rFonts w:ascii="Courier New" w:hAnsi="Courier New"/>
      <w:sz w:val="20"/>
    </w:rPr>
  </w:style>
  <w:style w:type="character" w:customStyle="1" w:styleId="ListParagraphChar">
    <w:name w:val="List Paragraph Char"/>
    <w:basedOn w:val="DefaultParagraphFont"/>
    <w:link w:val="ListParagraph"/>
    <w:uiPriority w:val="34"/>
    <w:rsid w:val="000A4BDD"/>
  </w:style>
  <w:style w:type="character" w:customStyle="1" w:styleId="CodeChar">
    <w:name w:val="Code Char"/>
    <w:basedOn w:val="ListParagraphChar"/>
    <w:link w:val="Code"/>
    <w:rsid w:val="000A4BDD"/>
    <w:rPr>
      <w:rFonts w:ascii="Courier New" w:hAnsi="Courier New"/>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672</Words>
  <Characters>3831</Characters>
  <Application>Microsoft Office Word</Application>
  <DocSecurity>0</DocSecurity>
  <Lines>31</Lines>
  <Paragraphs>8</Paragraphs>
  <ScaleCrop>false</ScaleCrop>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Keegan Hall</dc:creator>
  <cp:keywords/>
  <dc:description/>
  <cp:lastModifiedBy>Keegan Hall</cp:lastModifiedBy>
  <cp:revision>3</cp:revision>
  <dcterms:created xsi:type="dcterms:W3CDTF">2025-08-26T02:34:00Z</dcterms:created>
  <dcterms:modified xsi:type="dcterms:W3CDTF">2025-08-26T02:39:00Z</dcterms:modified>
</cp:coreProperties>
</file>