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0"/>
      </w:tblGrid>
      <w:tr w:rsidR="00071D59" w:rsidRPr="005D1BD6" w14:paraId="595087A2" w14:textId="77777777" w:rsidTr="450C077A">
        <w:trPr>
          <w:trHeight w:val="5139"/>
          <w:jc w:val="center"/>
        </w:trPr>
        <w:tc>
          <w:tcPr>
            <w:tcW w:w="10790" w:type="dxa"/>
          </w:tcPr>
          <w:tbl>
            <w:tblPr>
              <w:tblStyle w:val="TableGrid"/>
              <w:tblW w:w="107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794"/>
            </w:tblGrid>
            <w:tr w:rsidR="00071D59" w:rsidRPr="005D1BD6" w14:paraId="4BAA65AC" w14:textId="77777777" w:rsidTr="450C077A">
              <w:tc>
                <w:tcPr>
                  <w:tcW w:w="10794" w:type="dxa"/>
                  <w:tcMar>
                    <w:left w:w="0" w:type="dxa"/>
                    <w:right w:w="115" w:type="dxa"/>
                  </w:tcMar>
                </w:tcPr>
                <w:p w14:paraId="4CDA29B9" w14:textId="77777777" w:rsidR="00071D59" w:rsidRPr="005D1BD6" w:rsidRDefault="00071D59" w:rsidP="004D209D">
                  <w:pPr>
                    <w:rPr>
                      <w:b/>
                      <w:sz w:val="36"/>
                      <w:lang w:eastAsia="ja-JP"/>
                    </w:rPr>
                  </w:pPr>
                  <w:r>
                    <w:rPr>
                      <w:rFonts w:hint="eastAsia"/>
                      <w:b/>
                      <w:sz w:val="36"/>
                      <w:lang w:eastAsia="ja-JP"/>
                    </w:rPr>
                    <w:t>PUBLICATIONS</w:t>
                  </w:r>
                </w:p>
              </w:tc>
            </w:tr>
            <w:tr w:rsidR="00071D59" w:rsidRPr="005D1BD6" w14:paraId="0D0B940D" w14:textId="77777777" w:rsidTr="450C077A">
              <w:tc>
                <w:tcPr>
                  <w:tcW w:w="10794" w:type="dxa"/>
                </w:tcPr>
                <w:p w14:paraId="0E27B00A" w14:textId="77777777" w:rsidR="00071D59" w:rsidRPr="005D1BD6" w:rsidRDefault="00071D59" w:rsidP="004D209D">
                  <w:pPr>
                    <w:rPr>
                      <w:sz w:val="14"/>
                      <w:szCs w:val="16"/>
                    </w:rPr>
                  </w:pPr>
                </w:p>
              </w:tc>
            </w:tr>
            <w:tr w:rsidR="00071D59" w:rsidRPr="005D1BD6" w14:paraId="4F30B1C1" w14:textId="77777777" w:rsidTr="450C077A">
              <w:tc>
                <w:tcPr>
                  <w:tcW w:w="10794" w:type="dxa"/>
                  <w:tcMar>
                    <w:left w:w="0" w:type="dxa"/>
                    <w:right w:w="0" w:type="dxa"/>
                  </w:tcMar>
                </w:tcPr>
                <w:p w14:paraId="5E05A2AA" w14:textId="6BEA274B" w:rsidR="450C077A" w:rsidRDefault="450C077A" w:rsidP="450C077A">
                  <w:pPr>
                    <w:ind w:firstLineChars="50" w:firstLine="110"/>
                    <w:rPr>
                      <w:lang w:eastAsia="ja-JP"/>
                    </w:rPr>
                  </w:pPr>
                  <w:proofErr w:type="spellStart"/>
                  <w:r w:rsidRPr="450C077A">
                    <w:rPr>
                      <w:lang w:eastAsia="ja-JP"/>
                    </w:rPr>
                    <w:t>Yatabe</w:t>
                  </w:r>
                  <w:proofErr w:type="spellEnd"/>
                  <w:r w:rsidRPr="450C077A">
                    <w:rPr>
                      <w:lang w:eastAsia="ja-JP"/>
                    </w:rPr>
                    <w:t xml:space="preserve"> Shuichi and Tam Wai Lok: </w:t>
                  </w:r>
                  <w:r w:rsidRPr="450C077A">
                    <w:rPr>
                      <w:u w:val="single"/>
                      <w:lang w:eastAsia="ja-JP"/>
                    </w:rPr>
                    <w:t>In Defense of an HPSG-based Theory of Non-constituent Coordination: A Reply to Kubota and Levine</w:t>
                  </w:r>
                  <w:r w:rsidRPr="450C077A">
                    <w:rPr>
                      <w:lang w:eastAsia="ja-JP"/>
                    </w:rPr>
                    <w:t xml:space="preserve"> in </w:t>
                  </w:r>
                  <w:r w:rsidRPr="450C077A">
                    <w:rPr>
                      <w:rFonts w:ascii="Calibri" w:eastAsia="Calibri" w:hAnsi="Calibri" w:cs="Calibri"/>
                      <w:color w:val="333333"/>
                      <w:sz w:val="24"/>
                      <w:szCs w:val="24"/>
                    </w:rPr>
                    <w:t xml:space="preserve">Linguist and </w:t>
                  </w:r>
                  <w:proofErr w:type="spellStart"/>
                  <w:r w:rsidRPr="450C077A">
                    <w:rPr>
                      <w:rFonts w:ascii="Calibri" w:eastAsia="Calibri" w:hAnsi="Calibri" w:cs="Calibri"/>
                      <w:color w:val="333333"/>
                      <w:sz w:val="24"/>
                      <w:szCs w:val="24"/>
                    </w:rPr>
                    <w:t>Philos</w:t>
                  </w:r>
                  <w:proofErr w:type="spellEnd"/>
                  <w:r w:rsidRPr="450C077A">
                    <w:rPr>
                      <w:rFonts w:ascii="Calibri" w:eastAsia="Calibri" w:hAnsi="Calibri" w:cs="Calibri"/>
                      <w:color w:val="333333"/>
                      <w:sz w:val="24"/>
                      <w:szCs w:val="24"/>
                    </w:rPr>
                    <w:t xml:space="preserve"> (2019).</w:t>
                  </w:r>
                </w:p>
                <w:p w14:paraId="3009F600" w14:textId="5B384586" w:rsidR="450C077A" w:rsidRDefault="450C077A" w:rsidP="450C077A">
                  <w:pPr>
                    <w:ind w:firstLineChars="50" w:firstLine="110"/>
                    <w:rPr>
                      <w:rFonts w:eastAsia="ArialMT" w:cs="ArialMT"/>
                    </w:rPr>
                  </w:pPr>
                </w:p>
                <w:p w14:paraId="1E85D780" w14:textId="77777777" w:rsidR="00071D59" w:rsidRPr="00D47963" w:rsidRDefault="00D47963" w:rsidP="00553A6B">
                  <w:pPr>
                    <w:ind w:firstLineChars="50" w:firstLine="110"/>
                  </w:pPr>
                  <w:r w:rsidRPr="00D47963">
                    <w:rPr>
                      <w:rFonts w:eastAsia="ArialMT" w:cs="ArialMT"/>
                    </w:rPr>
                    <w:t xml:space="preserve">Tam Wai Lok et al: </w:t>
                  </w:r>
                  <w:r w:rsidRPr="004C0A42">
                    <w:rPr>
                      <w:rFonts w:eastAsia="ArialMT" w:cs="ArialMT"/>
                      <w:u w:val="single"/>
                    </w:rPr>
                    <w:t>Finding Prototypes for Improving Answer Sentence Selection</w:t>
                  </w:r>
                  <w:r w:rsidR="00553A6B" w:rsidRPr="00553A6B">
                    <w:rPr>
                      <w:rFonts w:eastAsia="ArialMT" w:cs="ArialMT"/>
                    </w:rPr>
                    <w:t xml:space="preserve"> in Proceedings of Twenty-Sixth International Joint Conference on Artificial Intelligence (IJCAI-17), pp 4103 - 4108</w:t>
                  </w:r>
                  <w:r w:rsidRPr="00D47963">
                    <w:rPr>
                      <w:rFonts w:eastAsia="ArialMT" w:cs="ArialMT"/>
                    </w:rPr>
                    <w:t xml:space="preserve">. </w:t>
                  </w:r>
                </w:p>
              </w:tc>
            </w:tr>
            <w:tr w:rsidR="00071D59" w:rsidRPr="005D1BD6" w14:paraId="4B94D5A5" w14:textId="77777777" w:rsidTr="450C077A">
              <w:tc>
                <w:tcPr>
                  <w:tcW w:w="10794" w:type="dxa"/>
                  <w:tcMar>
                    <w:left w:w="0" w:type="dxa"/>
                    <w:right w:w="0" w:type="dxa"/>
                  </w:tcMar>
                </w:tcPr>
                <w:p w14:paraId="3DEEC669" w14:textId="77777777" w:rsidR="00071D59" w:rsidRPr="005D1BD6" w:rsidRDefault="00071D59" w:rsidP="000F5606">
                  <w:pPr>
                    <w:rPr>
                      <w:lang w:eastAsia="ja-JP"/>
                    </w:rPr>
                  </w:pPr>
                </w:p>
              </w:tc>
            </w:tr>
            <w:tr w:rsidR="00D47963" w:rsidRPr="005D1BD6" w14:paraId="358B11E0" w14:textId="77777777" w:rsidTr="450C077A">
              <w:tc>
                <w:tcPr>
                  <w:tcW w:w="10794" w:type="dxa"/>
                  <w:tcMar>
                    <w:left w:w="0" w:type="dxa"/>
                    <w:right w:w="0" w:type="dxa"/>
                  </w:tcMar>
                </w:tcPr>
                <w:p w14:paraId="7922BB63" w14:textId="77777777" w:rsidR="00D47963" w:rsidRPr="005D1BD6" w:rsidRDefault="00D47963" w:rsidP="004C0A42">
                  <w:pPr>
                    <w:widowControl w:val="0"/>
                    <w:autoSpaceDE w:val="0"/>
                    <w:autoSpaceDN w:val="0"/>
                    <w:adjustRightInd w:val="0"/>
                    <w:ind w:firstLineChars="50" w:firstLine="110"/>
                    <w:rPr>
                      <w:lang w:eastAsia="ja-JP"/>
                    </w:rPr>
                  </w:pPr>
                  <w:r w:rsidRPr="001426E2">
                    <w:rPr>
                      <w:rFonts w:eastAsia="ArialMT" w:cs="ArialMT"/>
                    </w:rPr>
                    <w:t xml:space="preserve">Tam Wai Lok et al: </w:t>
                  </w:r>
                  <w:r w:rsidRPr="004C0A42">
                    <w:rPr>
                      <w:rFonts w:eastAsia="ArialMT" w:cs="ArialMT"/>
                      <w:u w:val="single"/>
                    </w:rPr>
                    <w:t>Generating Annotated Corpora with Autocompletion in Controlled Language</w:t>
                  </w:r>
                  <w:r w:rsidRPr="004C0A42">
                    <w:rPr>
                      <w:rFonts w:eastAsia="ArialMT" w:cs="ArialMT" w:hint="eastAsia"/>
                      <w:u w:val="single"/>
                      <w:lang w:eastAsia="ja-JP"/>
                    </w:rPr>
                    <w:t xml:space="preserve"> </w:t>
                  </w:r>
                  <w:r w:rsidRPr="004C0A42">
                    <w:rPr>
                      <w:rFonts w:eastAsia="ArialMT" w:cs="ArialMT"/>
                      <w:u w:val="single"/>
                    </w:rPr>
                    <w:t>Environment</w:t>
                  </w:r>
                  <w:r w:rsidRPr="001426E2">
                    <w:rPr>
                      <w:rFonts w:eastAsia="ArialMT" w:cs="ArialMT"/>
                    </w:rPr>
                    <w:t xml:space="preserve"> in </w:t>
                  </w:r>
                  <w:r w:rsidRPr="00563B5D">
                    <w:rPr>
                      <w:rFonts w:eastAsia="ArialMT" w:cs="ArialMT"/>
                      <w:i/>
                    </w:rPr>
                    <w:t>LREC 2014 the Workshop of Controlled Natural Language Simplifying</w:t>
                  </w:r>
                  <w:r w:rsidRPr="00563B5D">
                    <w:rPr>
                      <w:rFonts w:eastAsia="ArialMT" w:cs="ArialMT" w:hint="eastAsia"/>
                      <w:i/>
                      <w:lang w:eastAsia="ja-JP"/>
                    </w:rPr>
                    <w:t xml:space="preserve"> </w:t>
                  </w:r>
                  <w:r w:rsidRPr="00563B5D">
                    <w:rPr>
                      <w:rFonts w:eastAsia="ArialMT" w:cs="ArialMT"/>
                      <w:i/>
                    </w:rPr>
                    <w:t>Language</w:t>
                  </w:r>
                </w:p>
              </w:tc>
            </w:tr>
            <w:tr w:rsidR="00D47963" w:rsidRPr="005D1BD6" w14:paraId="3656B9AB" w14:textId="77777777" w:rsidTr="450C077A">
              <w:tc>
                <w:tcPr>
                  <w:tcW w:w="10794" w:type="dxa"/>
                  <w:tcMar>
                    <w:left w:w="0" w:type="dxa"/>
                    <w:right w:w="0" w:type="dxa"/>
                  </w:tcMar>
                </w:tcPr>
                <w:p w14:paraId="45FB0818" w14:textId="77777777" w:rsidR="00D47963" w:rsidRPr="005D1BD6" w:rsidRDefault="00D47963" w:rsidP="000F5606">
                  <w:pPr>
                    <w:rPr>
                      <w:lang w:eastAsia="ja-JP"/>
                    </w:rPr>
                  </w:pPr>
                </w:p>
              </w:tc>
            </w:tr>
            <w:tr w:rsidR="00071D59" w:rsidRPr="005D1BD6" w14:paraId="0CECA351" w14:textId="77777777" w:rsidTr="450C077A">
              <w:tc>
                <w:tcPr>
                  <w:tcW w:w="10794" w:type="dxa"/>
                  <w:tcMar>
                    <w:left w:w="0" w:type="dxa"/>
                    <w:right w:w="0" w:type="dxa"/>
                  </w:tcMar>
                </w:tcPr>
                <w:p w14:paraId="52282128" w14:textId="77777777" w:rsidR="00071D59" w:rsidRPr="005D1BD6" w:rsidRDefault="001426E2" w:rsidP="00563B5D">
                  <w:pPr>
                    <w:widowControl w:val="0"/>
                    <w:autoSpaceDE w:val="0"/>
                    <w:autoSpaceDN w:val="0"/>
                    <w:adjustRightInd w:val="0"/>
                    <w:ind w:firstLineChars="50" w:firstLine="110"/>
                    <w:rPr>
                      <w:lang w:eastAsia="ja-JP"/>
                    </w:rPr>
                  </w:pPr>
                  <w:r w:rsidRPr="001426E2">
                    <w:rPr>
                      <w:rFonts w:eastAsia="ArialMT" w:cs="ArialMT"/>
                    </w:rPr>
                    <w:t xml:space="preserve">Tam Wai Lok et al: </w:t>
                  </w:r>
                  <w:r w:rsidRPr="004C0A42">
                    <w:rPr>
                      <w:rFonts w:eastAsia="ArialMT" w:cs="ArialMT"/>
                      <w:u w:val="single"/>
                    </w:rPr>
                    <w:t xml:space="preserve">Proper and Efficient Treatment of Anaphora and </w:t>
                  </w:r>
                  <w:proofErr w:type="gramStart"/>
                  <w:r w:rsidRPr="004C0A42">
                    <w:rPr>
                      <w:rFonts w:eastAsia="ArialMT" w:cs="ArialMT"/>
                      <w:u w:val="single"/>
                    </w:rPr>
                    <w:t>Long Distance</w:t>
                  </w:r>
                  <w:proofErr w:type="gramEnd"/>
                  <w:r w:rsidR="00D47963" w:rsidRPr="004C0A42">
                    <w:rPr>
                      <w:rFonts w:eastAsia="ArialMT" w:cs="ArialMT" w:hint="eastAsia"/>
                      <w:u w:val="single"/>
                      <w:lang w:eastAsia="ja-JP"/>
                    </w:rPr>
                    <w:t xml:space="preserve"> </w:t>
                  </w:r>
                  <w:r w:rsidRPr="004C0A42">
                    <w:rPr>
                      <w:rFonts w:eastAsia="ArialMT" w:cs="ArialMT"/>
                      <w:u w:val="single"/>
                    </w:rPr>
                    <w:t>Dependencies: an Experiment with Medical Text</w:t>
                  </w:r>
                  <w:r w:rsidRPr="001426E2">
                    <w:rPr>
                      <w:rFonts w:eastAsia="ArialMT" w:cs="ArialMT"/>
                    </w:rPr>
                    <w:t xml:space="preserve"> in </w:t>
                  </w:r>
                  <w:r w:rsidRPr="00563B5D">
                    <w:rPr>
                      <w:rFonts w:eastAsia="ArialMT" w:cs="ArialMT"/>
                      <w:i/>
                    </w:rPr>
                    <w:t>IJCNLP 2013 the First Workshop on Natural</w:t>
                  </w:r>
                  <w:r w:rsidR="00D47963" w:rsidRPr="00563B5D">
                    <w:rPr>
                      <w:rFonts w:eastAsia="ArialMT" w:cs="ArialMT" w:hint="eastAsia"/>
                      <w:i/>
                      <w:lang w:eastAsia="ja-JP"/>
                    </w:rPr>
                    <w:t xml:space="preserve"> </w:t>
                  </w:r>
                  <w:r w:rsidRPr="00563B5D">
                    <w:rPr>
                      <w:rFonts w:eastAsia="ArialMT" w:cs="ArialMT"/>
                      <w:i/>
                    </w:rPr>
                    <w:t>Language Processing for Medical and Healthcare Fields</w:t>
                  </w:r>
                </w:p>
              </w:tc>
            </w:tr>
            <w:tr w:rsidR="00071D59" w:rsidRPr="005D1BD6" w14:paraId="049F31CB" w14:textId="77777777" w:rsidTr="450C077A">
              <w:tc>
                <w:tcPr>
                  <w:tcW w:w="10794" w:type="dxa"/>
                  <w:tcMar>
                    <w:left w:w="0" w:type="dxa"/>
                    <w:right w:w="0" w:type="dxa"/>
                  </w:tcMar>
                </w:tcPr>
                <w:p w14:paraId="53128261" w14:textId="77777777" w:rsidR="00071D59" w:rsidRDefault="00071D59" w:rsidP="004D209D">
                  <w:pPr>
                    <w:rPr>
                      <w:lang w:eastAsia="ja-JP"/>
                    </w:rPr>
                  </w:pPr>
                </w:p>
              </w:tc>
            </w:tr>
            <w:tr w:rsidR="00071D59" w:rsidRPr="005D1BD6" w14:paraId="56CF79BB" w14:textId="77777777" w:rsidTr="450C077A">
              <w:tc>
                <w:tcPr>
                  <w:tcW w:w="10794" w:type="dxa"/>
                  <w:tcMar>
                    <w:left w:w="0" w:type="dxa"/>
                    <w:right w:w="0" w:type="dxa"/>
                  </w:tcMar>
                </w:tcPr>
                <w:p w14:paraId="04671847" w14:textId="77777777" w:rsidR="00071D59" w:rsidRPr="00D47963" w:rsidRDefault="001426E2" w:rsidP="004C0A42">
                  <w:pPr>
                    <w:ind w:firstLineChars="50" w:firstLine="110"/>
                  </w:pPr>
                  <w:r w:rsidRPr="00D47963">
                    <w:t xml:space="preserve">Tam Wai Lok et al: </w:t>
                  </w:r>
                  <w:r w:rsidRPr="004C0A42">
                    <w:rPr>
                      <w:u w:val="single"/>
                    </w:rPr>
                    <w:t>Linking a Grammar to an Ontology</w:t>
                  </w:r>
                  <w:r w:rsidRPr="00D47963">
                    <w:t xml:space="preserve"> in </w:t>
                  </w:r>
                  <w:r w:rsidRPr="00563B5D">
                    <w:rPr>
                      <w:i/>
                    </w:rPr>
                    <w:t>Proceedings of the Nineteenth Annual</w:t>
                  </w:r>
                  <w:r w:rsidR="00D47963" w:rsidRPr="00563B5D">
                    <w:rPr>
                      <w:rFonts w:hint="eastAsia"/>
                      <w:i/>
                      <w:lang w:eastAsia="ja-JP"/>
                    </w:rPr>
                    <w:t xml:space="preserve"> </w:t>
                  </w:r>
                  <w:r w:rsidRPr="00563B5D">
                    <w:rPr>
                      <w:i/>
                    </w:rPr>
                    <w:t>Meeting of the Association for Natural Language Processing</w:t>
                  </w:r>
                  <w:r w:rsidRPr="00D47963">
                    <w:t>, pp91-93 (Non-reviewed Paper)</w:t>
                  </w:r>
                </w:p>
              </w:tc>
            </w:tr>
            <w:tr w:rsidR="001426E2" w:rsidRPr="005D1BD6" w14:paraId="62486C05" w14:textId="77777777" w:rsidTr="450C077A">
              <w:tc>
                <w:tcPr>
                  <w:tcW w:w="10794" w:type="dxa"/>
                  <w:tcMar>
                    <w:left w:w="0" w:type="dxa"/>
                    <w:right w:w="0" w:type="dxa"/>
                  </w:tcMar>
                </w:tcPr>
                <w:p w14:paraId="4101652C" w14:textId="77777777" w:rsidR="001426E2" w:rsidRPr="001426E2" w:rsidRDefault="001426E2" w:rsidP="001426E2">
                  <w:pPr>
                    <w:rPr>
                      <w:u w:val="single"/>
                    </w:rPr>
                  </w:pPr>
                </w:p>
              </w:tc>
            </w:tr>
            <w:tr w:rsidR="00824C85" w:rsidRPr="005D1BD6" w14:paraId="7B0B6D17" w14:textId="77777777" w:rsidTr="450C077A">
              <w:tc>
                <w:tcPr>
                  <w:tcW w:w="10794" w:type="dxa"/>
                  <w:tcMar>
                    <w:left w:w="0" w:type="dxa"/>
                    <w:right w:w="0" w:type="dxa"/>
                  </w:tcMar>
                </w:tcPr>
                <w:p w14:paraId="551D1D2B" w14:textId="77777777" w:rsidR="00824C85" w:rsidRPr="001426E2" w:rsidRDefault="00824C85" w:rsidP="004C0A42">
                  <w:pPr>
                    <w:widowControl w:val="0"/>
                    <w:autoSpaceDE w:val="0"/>
                    <w:autoSpaceDN w:val="0"/>
                    <w:adjustRightInd w:val="0"/>
                    <w:ind w:firstLineChars="50" w:firstLine="110"/>
                    <w:rPr>
                      <w:u w:val="single"/>
                    </w:rPr>
                  </w:pPr>
                  <w:r w:rsidRPr="005F69DA">
                    <w:rPr>
                      <w:rFonts w:eastAsia="ArialMT" w:cs="ArialMT"/>
                    </w:rPr>
                    <w:t xml:space="preserve">Sato </w:t>
                  </w:r>
                  <w:proofErr w:type="spellStart"/>
                  <w:r w:rsidRPr="005F69DA">
                    <w:rPr>
                      <w:rFonts w:eastAsia="ArialMT" w:cs="ArialMT"/>
                    </w:rPr>
                    <w:t>Yo</w:t>
                  </w:r>
                  <w:proofErr w:type="spellEnd"/>
                  <w:r w:rsidRPr="005F69DA">
                    <w:rPr>
                      <w:rFonts w:eastAsia="ArialMT" w:cs="ArialMT"/>
                    </w:rPr>
                    <w:t xml:space="preserve"> and Tam Wai Lok: </w:t>
                  </w:r>
                  <w:r w:rsidRPr="004C0A42">
                    <w:rPr>
                      <w:rFonts w:eastAsia="ArialMT" w:cs="ArialMT"/>
                      <w:u w:val="single"/>
                    </w:rPr>
                    <w:t>Ellipsis of Case-Markers and Information Structure in Japanese</w:t>
                  </w:r>
                  <w:r w:rsidRPr="005F69DA">
                    <w:rPr>
                      <w:rFonts w:eastAsia="ArialMT" w:cs="ArialMT"/>
                    </w:rPr>
                    <w:t xml:space="preserve"> in</w:t>
                  </w:r>
                  <w:r w:rsidR="00D47963">
                    <w:rPr>
                      <w:rFonts w:eastAsia="ArialMT" w:cs="ArialMT" w:hint="eastAsia"/>
                      <w:lang w:eastAsia="ja-JP"/>
                    </w:rPr>
                    <w:t xml:space="preserve"> </w:t>
                  </w:r>
                  <w:r w:rsidRPr="00563B5D">
                    <w:rPr>
                      <w:rFonts w:eastAsia="ArialMT" w:cs="ArialMT"/>
                      <w:i/>
                    </w:rPr>
                    <w:t>Proceedings of the HPSG12 Conference</w:t>
                  </w:r>
                  <w:r w:rsidRPr="005F69DA">
                    <w:rPr>
                      <w:rFonts w:eastAsia="ArialMT" w:cs="ArialMT"/>
                    </w:rPr>
                    <w:t>, pp 443-453</w:t>
                  </w:r>
                </w:p>
              </w:tc>
            </w:tr>
            <w:tr w:rsidR="00824C85" w:rsidRPr="005D1BD6" w14:paraId="4B99056E" w14:textId="77777777" w:rsidTr="450C077A">
              <w:tc>
                <w:tcPr>
                  <w:tcW w:w="10794" w:type="dxa"/>
                  <w:tcMar>
                    <w:left w:w="0" w:type="dxa"/>
                    <w:right w:w="0" w:type="dxa"/>
                  </w:tcMar>
                </w:tcPr>
                <w:p w14:paraId="1299C43A" w14:textId="77777777" w:rsidR="00824C85" w:rsidRPr="001426E2" w:rsidRDefault="00824C85" w:rsidP="001426E2">
                  <w:pPr>
                    <w:rPr>
                      <w:u w:val="single"/>
                    </w:rPr>
                  </w:pPr>
                </w:p>
              </w:tc>
            </w:tr>
            <w:tr w:rsidR="00824C85" w:rsidRPr="005D1BD6" w14:paraId="0716AD5B" w14:textId="77777777" w:rsidTr="450C077A">
              <w:tc>
                <w:tcPr>
                  <w:tcW w:w="10794" w:type="dxa"/>
                  <w:tcMar>
                    <w:left w:w="0" w:type="dxa"/>
                    <w:right w:w="0" w:type="dxa"/>
                  </w:tcMar>
                </w:tcPr>
                <w:p w14:paraId="47875CA0" w14:textId="77777777" w:rsidR="00824C85" w:rsidRPr="00824C85" w:rsidRDefault="00824C85" w:rsidP="004C0A42">
                  <w:pPr>
                    <w:widowControl w:val="0"/>
                    <w:autoSpaceDE w:val="0"/>
                    <w:autoSpaceDN w:val="0"/>
                    <w:adjustRightInd w:val="0"/>
                    <w:ind w:firstLineChars="50" w:firstLine="110"/>
                    <w:rPr>
                      <w:rFonts w:ascii="ArialMT" w:eastAsia="ArialMT" w:cs="ArialMT"/>
                      <w:lang w:eastAsia="ja-JP"/>
                    </w:rPr>
                  </w:pPr>
                  <w:r w:rsidRPr="00392CFE">
                    <w:rPr>
                      <w:rFonts w:eastAsia="ArialMT" w:cs="ArialMT"/>
                    </w:rPr>
                    <w:t xml:space="preserve">Sato </w:t>
                  </w:r>
                  <w:proofErr w:type="spellStart"/>
                  <w:r w:rsidRPr="00392CFE">
                    <w:rPr>
                      <w:rFonts w:eastAsia="ArialMT" w:cs="ArialMT"/>
                    </w:rPr>
                    <w:t>Yo</w:t>
                  </w:r>
                  <w:proofErr w:type="spellEnd"/>
                  <w:r w:rsidRPr="00392CFE">
                    <w:rPr>
                      <w:rFonts w:eastAsia="ArialMT" w:cs="ArialMT"/>
                    </w:rPr>
                    <w:t xml:space="preserve"> and Tam Wai Lok: </w:t>
                  </w:r>
                  <w:r w:rsidRPr="004C0A42">
                    <w:rPr>
                      <w:rFonts w:eastAsia="ArialMT" w:cs="ArialMT"/>
                      <w:u w:val="single"/>
                    </w:rPr>
                    <w:t>Underspecified Types and the Semantic Bootstrapping of Common</w:t>
                  </w:r>
                  <w:r w:rsidR="00D47963" w:rsidRPr="004C0A42">
                    <w:rPr>
                      <w:rFonts w:eastAsia="ArialMT" w:cs="ArialMT" w:hint="eastAsia"/>
                      <w:u w:val="single"/>
                      <w:lang w:eastAsia="ja-JP"/>
                    </w:rPr>
                    <w:t xml:space="preserve"> </w:t>
                  </w:r>
                  <w:r w:rsidRPr="004C0A42">
                    <w:rPr>
                      <w:rFonts w:eastAsia="ArialMT" w:cs="ArialMT"/>
                      <w:u w:val="single"/>
                    </w:rPr>
                    <w:t xml:space="preserve">Nouns and Adjectives: </w:t>
                  </w:r>
                  <w:proofErr w:type="gramStart"/>
                  <w:r w:rsidRPr="004C0A42">
                    <w:rPr>
                      <w:rFonts w:eastAsia="ArialMT" w:cs="ArialMT"/>
                      <w:u w:val="single"/>
                    </w:rPr>
                    <w:t>a</w:t>
                  </w:r>
                  <w:proofErr w:type="gramEnd"/>
                  <w:r w:rsidRPr="004C0A42">
                    <w:rPr>
                      <w:rFonts w:eastAsia="ArialMT" w:cs="ArialMT"/>
                      <w:u w:val="single"/>
                    </w:rPr>
                    <w:t xml:space="preserve"> Simulation with a Robot’s Sensory Data</w:t>
                  </w:r>
                  <w:r w:rsidRPr="00392CFE">
                    <w:rPr>
                      <w:rFonts w:eastAsia="ArialMT" w:cs="ArialMT"/>
                    </w:rPr>
                    <w:t xml:space="preserve"> in </w:t>
                  </w:r>
                  <w:r w:rsidRPr="00563B5D">
                    <w:rPr>
                      <w:rFonts w:eastAsia="ArialMT" w:cs="ArialMT"/>
                      <w:i/>
                    </w:rPr>
                    <w:t>Proceedings of the Eighth</w:t>
                  </w:r>
                  <w:r w:rsidR="00D47963" w:rsidRPr="00563B5D">
                    <w:rPr>
                      <w:rFonts w:eastAsia="ArialMT" w:cs="ArialMT" w:hint="eastAsia"/>
                      <w:i/>
                      <w:lang w:eastAsia="ja-JP"/>
                    </w:rPr>
                    <w:t xml:space="preserve"> </w:t>
                  </w:r>
                  <w:r w:rsidRPr="00563B5D">
                    <w:rPr>
                      <w:rFonts w:eastAsia="ArialMT" w:cs="ArialMT"/>
                      <w:i/>
                    </w:rPr>
                    <w:t>International Workshop on Logic and Engineering of Natural Language Semantics</w:t>
                  </w:r>
                  <w:r w:rsidRPr="00392CFE">
                    <w:rPr>
                      <w:rFonts w:eastAsia="ArialMT" w:cs="ArialMT"/>
                    </w:rPr>
                    <w:t>, pp106-117</w:t>
                  </w:r>
                </w:p>
              </w:tc>
            </w:tr>
            <w:tr w:rsidR="00824C85" w:rsidRPr="005D1BD6" w14:paraId="4DDBEF00" w14:textId="77777777" w:rsidTr="450C077A">
              <w:tc>
                <w:tcPr>
                  <w:tcW w:w="10794" w:type="dxa"/>
                  <w:tcMar>
                    <w:left w:w="0" w:type="dxa"/>
                    <w:right w:w="0" w:type="dxa"/>
                  </w:tcMar>
                </w:tcPr>
                <w:p w14:paraId="3461D779" w14:textId="77777777" w:rsidR="00824C85" w:rsidRPr="001426E2" w:rsidRDefault="00824C85" w:rsidP="001426E2">
                  <w:pPr>
                    <w:rPr>
                      <w:u w:val="single"/>
                    </w:rPr>
                  </w:pPr>
                </w:p>
              </w:tc>
            </w:tr>
            <w:tr w:rsidR="00824C85" w:rsidRPr="005D1BD6" w14:paraId="3D7AB483" w14:textId="77777777" w:rsidTr="450C077A">
              <w:tc>
                <w:tcPr>
                  <w:tcW w:w="10794" w:type="dxa"/>
                  <w:tcMar>
                    <w:left w:w="0" w:type="dxa"/>
                    <w:right w:w="0" w:type="dxa"/>
                  </w:tcMar>
                </w:tcPr>
                <w:p w14:paraId="75668A8C" w14:textId="77777777" w:rsidR="00824C85" w:rsidRPr="00392CFE" w:rsidRDefault="00824C85" w:rsidP="004C0A42">
                  <w:pPr>
                    <w:ind w:firstLineChars="50" w:firstLine="110"/>
                    <w:rPr>
                      <w:u w:val="single"/>
                      <w:lang w:eastAsia="ja-JP"/>
                    </w:rPr>
                  </w:pPr>
                  <w:r w:rsidRPr="00392CFE">
                    <w:rPr>
                      <w:rFonts w:eastAsia="ArialMT" w:cs="ArialMT"/>
                    </w:rPr>
                    <w:t xml:space="preserve">Tam Wai Lok: </w:t>
                  </w:r>
                  <w:r w:rsidRPr="00563B5D">
                    <w:rPr>
                      <w:rFonts w:eastAsia="ArialMT" w:cs="ArialMT"/>
                      <w:u w:val="single"/>
                    </w:rPr>
                    <w:t>Scope, Distributivity and Categorization in Classifier Constructions</w:t>
                  </w:r>
                  <w:r w:rsidRPr="00392CFE">
                    <w:rPr>
                      <w:rFonts w:eastAsia="ArialMT" w:cs="ArialMT"/>
                    </w:rPr>
                    <w:t xml:space="preserve"> (PhD Thesis)</w:t>
                  </w:r>
                </w:p>
              </w:tc>
            </w:tr>
            <w:tr w:rsidR="00824C85" w:rsidRPr="005D1BD6" w14:paraId="3CF2D8B6" w14:textId="77777777" w:rsidTr="450C077A">
              <w:tc>
                <w:tcPr>
                  <w:tcW w:w="10794" w:type="dxa"/>
                  <w:tcMar>
                    <w:left w:w="0" w:type="dxa"/>
                    <w:right w:w="0" w:type="dxa"/>
                  </w:tcMar>
                </w:tcPr>
                <w:p w14:paraId="0FB78278" w14:textId="77777777" w:rsidR="00824C85" w:rsidRPr="001426E2" w:rsidRDefault="00824C85" w:rsidP="001426E2">
                  <w:pPr>
                    <w:rPr>
                      <w:u w:val="single"/>
                    </w:rPr>
                  </w:pPr>
                </w:p>
              </w:tc>
            </w:tr>
            <w:tr w:rsidR="00824C85" w:rsidRPr="005D1BD6" w14:paraId="2A8EE95F" w14:textId="77777777" w:rsidTr="450C077A">
              <w:tc>
                <w:tcPr>
                  <w:tcW w:w="10794" w:type="dxa"/>
                  <w:tcMar>
                    <w:left w:w="0" w:type="dxa"/>
                    <w:right w:w="0" w:type="dxa"/>
                  </w:tcMar>
                </w:tcPr>
                <w:p w14:paraId="686E163F" w14:textId="77777777" w:rsidR="00824C85" w:rsidRPr="001426E2" w:rsidRDefault="00824C85" w:rsidP="004C0A42">
                  <w:pPr>
                    <w:widowControl w:val="0"/>
                    <w:autoSpaceDE w:val="0"/>
                    <w:autoSpaceDN w:val="0"/>
                    <w:adjustRightInd w:val="0"/>
                    <w:ind w:firstLineChars="50" w:firstLine="110"/>
                    <w:rPr>
                      <w:u w:val="single"/>
                    </w:rPr>
                  </w:pPr>
                  <w:r w:rsidRPr="00392CFE">
                    <w:rPr>
                      <w:rFonts w:eastAsia="ArialMT" w:cs="ArialMT"/>
                    </w:rPr>
                    <w:t xml:space="preserve">Tam Wai Lok and Sato </w:t>
                  </w:r>
                  <w:proofErr w:type="spellStart"/>
                  <w:r w:rsidRPr="00392CFE">
                    <w:rPr>
                      <w:rFonts w:eastAsia="ArialMT" w:cs="ArialMT"/>
                    </w:rPr>
                    <w:t>Yo</w:t>
                  </w:r>
                  <w:proofErr w:type="spellEnd"/>
                  <w:r w:rsidRPr="00392CFE">
                    <w:rPr>
                      <w:rFonts w:eastAsia="ArialMT" w:cs="ArialMT"/>
                    </w:rPr>
                    <w:t xml:space="preserve">: </w:t>
                  </w:r>
                  <w:r w:rsidRPr="00563B5D">
                    <w:rPr>
                      <w:rFonts w:eastAsia="ArialMT" w:cs="ArialMT"/>
                      <w:u w:val="single"/>
                    </w:rPr>
                    <w:t>A Practical Lexicon of Japanese Classifiers and Nouns for Use with</w:t>
                  </w:r>
                  <w:r w:rsidR="00D47963" w:rsidRPr="00563B5D">
                    <w:rPr>
                      <w:rFonts w:eastAsia="ArialMT" w:cs="ArialMT" w:hint="eastAsia"/>
                      <w:u w:val="single"/>
                      <w:lang w:eastAsia="ja-JP"/>
                    </w:rPr>
                    <w:t xml:space="preserve"> </w:t>
                  </w:r>
                  <w:r w:rsidRPr="00563B5D">
                    <w:rPr>
                      <w:rFonts w:eastAsia="ArialMT" w:cs="ArialMT"/>
                      <w:u w:val="single"/>
                    </w:rPr>
                    <w:t>a HPSG Grammar</w:t>
                  </w:r>
                  <w:r w:rsidRPr="00392CFE">
                    <w:rPr>
                      <w:rFonts w:eastAsia="ArialMT" w:cs="ArialMT"/>
                    </w:rPr>
                    <w:t xml:space="preserve"> in </w:t>
                  </w:r>
                  <w:r w:rsidRPr="00563B5D">
                    <w:rPr>
                      <w:rFonts w:eastAsia="ArialMT" w:cs="ArialMT"/>
                      <w:i/>
                    </w:rPr>
                    <w:t>HPSG10 Conference</w:t>
                  </w:r>
                  <w:r w:rsidR="004C0A42">
                    <w:rPr>
                      <w:rFonts w:eastAsia="ArialMT" w:cs="ArialMT" w:hint="eastAsia"/>
                      <w:lang w:eastAsia="ja-JP"/>
                    </w:rPr>
                    <w:t xml:space="preserve"> </w:t>
                  </w:r>
                  <w:r w:rsidRPr="00392CFE">
                    <w:rPr>
                      <w:rFonts w:eastAsia="ArialMT" w:cs="ArialMT"/>
                    </w:rPr>
                    <w:t xml:space="preserve">(Poster </w:t>
                  </w:r>
                  <w:proofErr w:type="gramStart"/>
                  <w:r w:rsidRPr="00392CFE">
                    <w:rPr>
                      <w:rFonts w:eastAsia="ArialMT" w:cs="ArialMT"/>
                    </w:rPr>
                    <w:t>Session )</w:t>
                  </w:r>
                  <w:proofErr w:type="gramEnd"/>
                </w:p>
              </w:tc>
            </w:tr>
            <w:tr w:rsidR="001426E2" w:rsidRPr="005D1BD6" w14:paraId="1FC39945" w14:textId="77777777" w:rsidTr="450C077A">
              <w:tc>
                <w:tcPr>
                  <w:tcW w:w="10794" w:type="dxa"/>
                  <w:tcMar>
                    <w:left w:w="0" w:type="dxa"/>
                    <w:right w:w="0" w:type="dxa"/>
                  </w:tcMar>
                </w:tcPr>
                <w:p w14:paraId="0562CB0E" w14:textId="77777777" w:rsidR="001426E2" w:rsidRPr="001426E2" w:rsidRDefault="001426E2" w:rsidP="005F69DA">
                  <w:pPr>
                    <w:rPr>
                      <w:u w:val="single"/>
                    </w:rPr>
                  </w:pPr>
                </w:p>
              </w:tc>
            </w:tr>
            <w:tr w:rsidR="00824C85" w:rsidRPr="005D1BD6" w14:paraId="79A8D127" w14:textId="77777777" w:rsidTr="450C077A">
              <w:tc>
                <w:tcPr>
                  <w:tcW w:w="10794" w:type="dxa"/>
                  <w:tcMar>
                    <w:left w:w="0" w:type="dxa"/>
                    <w:right w:w="0" w:type="dxa"/>
                  </w:tcMar>
                </w:tcPr>
                <w:p w14:paraId="36E3FA36" w14:textId="77777777" w:rsidR="00824C85" w:rsidRPr="00D47963" w:rsidRDefault="00824C85" w:rsidP="004C0A42">
                  <w:pPr>
                    <w:ind w:firstLineChars="50" w:firstLine="110"/>
                  </w:pPr>
                  <w:r w:rsidRPr="00D47963">
                    <w:t xml:space="preserve">Sato </w:t>
                  </w:r>
                  <w:proofErr w:type="spellStart"/>
                  <w:r w:rsidRPr="00D47963">
                    <w:t>Yo</w:t>
                  </w:r>
                  <w:proofErr w:type="spellEnd"/>
                  <w:r w:rsidRPr="00D47963">
                    <w:t xml:space="preserve"> and Tam Wai Lok: </w:t>
                  </w:r>
                  <w:r w:rsidRPr="00563B5D">
                    <w:rPr>
                      <w:u w:val="single"/>
                    </w:rPr>
                    <w:t>Towards a Unified Account of Adjuncts</w:t>
                  </w:r>
                  <w:r w:rsidRPr="00D47963">
                    <w:t xml:space="preserve"> in </w:t>
                  </w:r>
                  <w:r w:rsidRPr="00563B5D">
                    <w:rPr>
                      <w:i/>
                    </w:rPr>
                    <w:t>Proceedings of HPSG08</w:t>
                  </w:r>
                  <w:r w:rsidR="00D47963" w:rsidRPr="00563B5D">
                    <w:rPr>
                      <w:rFonts w:hint="eastAsia"/>
                      <w:i/>
                      <w:lang w:eastAsia="ja-JP"/>
                    </w:rPr>
                    <w:t xml:space="preserve"> </w:t>
                  </w:r>
                  <w:r w:rsidRPr="00563B5D">
                    <w:rPr>
                      <w:i/>
                    </w:rPr>
                    <w:t>Conference</w:t>
                  </w:r>
                  <w:r w:rsidRPr="00D47963">
                    <w:t>, pp 173-188</w:t>
                  </w:r>
                </w:p>
              </w:tc>
            </w:tr>
            <w:tr w:rsidR="00824C85" w:rsidRPr="005D1BD6" w14:paraId="34CE0A41" w14:textId="77777777" w:rsidTr="450C077A">
              <w:tc>
                <w:tcPr>
                  <w:tcW w:w="10794" w:type="dxa"/>
                  <w:tcMar>
                    <w:left w:w="0" w:type="dxa"/>
                    <w:right w:w="0" w:type="dxa"/>
                  </w:tcMar>
                </w:tcPr>
                <w:p w14:paraId="62EBF3C5" w14:textId="77777777" w:rsidR="00824C85" w:rsidRPr="001426E2" w:rsidRDefault="00824C85" w:rsidP="005F69DA">
                  <w:pPr>
                    <w:rPr>
                      <w:u w:val="single"/>
                    </w:rPr>
                  </w:pPr>
                </w:p>
              </w:tc>
            </w:tr>
            <w:tr w:rsidR="00824C85" w:rsidRPr="005D1BD6" w14:paraId="1B746FEB" w14:textId="77777777" w:rsidTr="450C077A">
              <w:tc>
                <w:tcPr>
                  <w:tcW w:w="10794" w:type="dxa"/>
                  <w:tcMar>
                    <w:left w:w="0" w:type="dxa"/>
                    <w:right w:w="0" w:type="dxa"/>
                  </w:tcMar>
                </w:tcPr>
                <w:p w14:paraId="5B6627F2" w14:textId="77777777" w:rsidR="00824C85" w:rsidRPr="001426E2" w:rsidRDefault="00392CFE" w:rsidP="004C0A42">
                  <w:pPr>
                    <w:widowControl w:val="0"/>
                    <w:autoSpaceDE w:val="0"/>
                    <w:autoSpaceDN w:val="0"/>
                    <w:adjustRightInd w:val="0"/>
                    <w:ind w:firstLineChars="50" w:firstLine="110"/>
                    <w:rPr>
                      <w:u w:val="single"/>
                    </w:rPr>
                  </w:pPr>
                  <w:r w:rsidRPr="00392CFE">
                    <w:rPr>
                      <w:rFonts w:eastAsia="ArialMT" w:cs="ArialMT"/>
                    </w:rPr>
                    <w:t xml:space="preserve">Tam Wai Lok and Sato </w:t>
                  </w:r>
                  <w:proofErr w:type="spellStart"/>
                  <w:r w:rsidRPr="00392CFE">
                    <w:rPr>
                      <w:rFonts w:eastAsia="ArialMT" w:cs="ArialMT"/>
                    </w:rPr>
                    <w:t>Yo</w:t>
                  </w:r>
                  <w:proofErr w:type="spellEnd"/>
                  <w:r w:rsidRPr="00392CFE">
                    <w:rPr>
                      <w:rFonts w:eastAsia="ArialMT" w:cs="ArialMT"/>
                    </w:rPr>
                    <w:t xml:space="preserve">: </w:t>
                  </w:r>
                  <w:r w:rsidRPr="00563B5D">
                    <w:rPr>
                      <w:rFonts w:eastAsia="ArialMT" w:cs="ArialMT"/>
                      <w:u w:val="single"/>
                    </w:rPr>
                    <w:t xml:space="preserve">An Analysis of </w:t>
                  </w:r>
                  <w:proofErr w:type="spellStart"/>
                  <w:r w:rsidRPr="00563B5D">
                    <w:rPr>
                      <w:rFonts w:eastAsia="ArialMT" w:cs="ArialMT"/>
                      <w:u w:val="single"/>
                    </w:rPr>
                    <w:t>Pseudopartitives</w:t>
                  </w:r>
                  <w:proofErr w:type="spellEnd"/>
                  <w:r w:rsidRPr="00563B5D">
                    <w:rPr>
                      <w:rFonts w:eastAsia="ArialMT" w:cs="ArialMT"/>
                      <w:u w:val="single"/>
                    </w:rPr>
                    <w:t xml:space="preserve"> and Measure Phrases that Say No</w:t>
                  </w:r>
                  <w:r w:rsidR="00D47963" w:rsidRPr="00563B5D">
                    <w:rPr>
                      <w:rFonts w:eastAsia="ArialMT" w:cs="ArialMT" w:hint="eastAsia"/>
                      <w:u w:val="single"/>
                      <w:lang w:eastAsia="ja-JP"/>
                    </w:rPr>
                    <w:t xml:space="preserve"> </w:t>
                  </w:r>
                  <w:r w:rsidRPr="00563B5D">
                    <w:rPr>
                      <w:rFonts w:eastAsia="ArialMT" w:cs="ArialMT"/>
                      <w:u w:val="single"/>
                    </w:rPr>
                    <w:t>to Extra Rules</w:t>
                  </w:r>
                  <w:r w:rsidRPr="00392CFE">
                    <w:rPr>
                      <w:rFonts w:eastAsia="ArialMT" w:cs="ArialMT"/>
                    </w:rPr>
                    <w:t xml:space="preserve"> in </w:t>
                  </w:r>
                  <w:r w:rsidRPr="00392CFE">
                    <w:rPr>
                      <w:rFonts w:eastAsia="Arial-ItalicMT" w:cs="Arial-ItalicMT"/>
                      <w:i/>
                      <w:iCs/>
                    </w:rPr>
                    <w:t>Proceedings of the HPSG08 Conference</w:t>
                  </w:r>
                  <w:r w:rsidRPr="00392CFE">
                    <w:rPr>
                      <w:rFonts w:eastAsia="ArialMT" w:cs="ArialMT"/>
                    </w:rPr>
                    <w:t>, pp 222-233</w:t>
                  </w:r>
                </w:p>
              </w:tc>
            </w:tr>
            <w:tr w:rsidR="00824C85" w:rsidRPr="005D1BD6" w14:paraId="6D98A12B" w14:textId="77777777" w:rsidTr="450C077A">
              <w:tc>
                <w:tcPr>
                  <w:tcW w:w="10794" w:type="dxa"/>
                  <w:tcMar>
                    <w:left w:w="0" w:type="dxa"/>
                    <w:right w:w="0" w:type="dxa"/>
                  </w:tcMar>
                </w:tcPr>
                <w:p w14:paraId="2946DB82" w14:textId="77777777" w:rsidR="00824C85" w:rsidRPr="001426E2" w:rsidRDefault="00824C85" w:rsidP="005F69DA">
                  <w:pPr>
                    <w:rPr>
                      <w:u w:val="single"/>
                    </w:rPr>
                  </w:pPr>
                </w:p>
              </w:tc>
            </w:tr>
            <w:tr w:rsidR="00392CFE" w:rsidRPr="005D1BD6" w14:paraId="2EA6A606" w14:textId="77777777" w:rsidTr="450C077A">
              <w:tc>
                <w:tcPr>
                  <w:tcW w:w="10794" w:type="dxa"/>
                  <w:tcMar>
                    <w:left w:w="0" w:type="dxa"/>
                    <w:right w:w="0" w:type="dxa"/>
                  </w:tcMar>
                </w:tcPr>
                <w:p w14:paraId="369179DA" w14:textId="77777777" w:rsidR="00392CFE" w:rsidRPr="004C0A42" w:rsidRDefault="00392CFE" w:rsidP="004C0A42">
                  <w:pPr>
                    <w:ind w:firstLineChars="50" w:firstLine="110"/>
                  </w:pPr>
                  <w:r w:rsidRPr="004C0A42">
                    <w:t xml:space="preserve">Tam Wai Lok, Sato </w:t>
                  </w:r>
                  <w:proofErr w:type="spellStart"/>
                  <w:r w:rsidRPr="004C0A42">
                    <w:t>Yo</w:t>
                  </w:r>
                  <w:proofErr w:type="spellEnd"/>
                  <w:r w:rsidRPr="004C0A42">
                    <w:t xml:space="preserve">, </w:t>
                  </w:r>
                  <w:proofErr w:type="spellStart"/>
                  <w:r w:rsidRPr="004C0A42">
                    <w:t>Miyao</w:t>
                  </w:r>
                  <w:proofErr w:type="spellEnd"/>
                  <w:r w:rsidRPr="004C0A42">
                    <w:t xml:space="preserve"> Yusuke and </w:t>
                  </w:r>
                  <w:proofErr w:type="spellStart"/>
                  <w:r w:rsidRPr="004C0A42">
                    <w:t>Tsujii</w:t>
                  </w:r>
                  <w:proofErr w:type="spellEnd"/>
                  <w:r w:rsidRPr="004C0A42">
                    <w:t xml:space="preserve"> Junichi: Parser Evaluation Across Frameworks</w:t>
                  </w:r>
                  <w:r w:rsidR="00D47963" w:rsidRPr="004C0A42">
                    <w:rPr>
                      <w:rFonts w:hint="eastAsia"/>
                      <w:lang w:eastAsia="ja-JP"/>
                    </w:rPr>
                    <w:t xml:space="preserve"> </w:t>
                  </w:r>
                  <w:r w:rsidRPr="004C0A42">
                    <w:t xml:space="preserve">without Format Conversion in </w:t>
                  </w:r>
                  <w:r w:rsidRPr="004C0A42">
                    <w:rPr>
                      <w:i/>
                      <w:iCs/>
                    </w:rPr>
                    <w:t xml:space="preserve">Proceedings of the workshop on Cross-Framework and Cross-Domain Parser Evaluation, </w:t>
                  </w:r>
                  <w:r w:rsidRPr="004C0A42">
                    <w:t>pp 29-35</w:t>
                  </w:r>
                </w:p>
              </w:tc>
            </w:tr>
            <w:tr w:rsidR="00392CFE" w:rsidRPr="005D1BD6" w14:paraId="5997CC1D" w14:textId="77777777" w:rsidTr="450C077A">
              <w:tc>
                <w:tcPr>
                  <w:tcW w:w="10794" w:type="dxa"/>
                  <w:tcMar>
                    <w:left w:w="0" w:type="dxa"/>
                    <w:right w:w="0" w:type="dxa"/>
                  </w:tcMar>
                </w:tcPr>
                <w:p w14:paraId="110FFD37" w14:textId="77777777" w:rsidR="00392CFE" w:rsidRPr="001426E2" w:rsidRDefault="00392CFE" w:rsidP="005F69DA">
                  <w:pPr>
                    <w:rPr>
                      <w:u w:val="single"/>
                    </w:rPr>
                  </w:pPr>
                </w:p>
              </w:tc>
            </w:tr>
            <w:tr w:rsidR="00392CFE" w:rsidRPr="005D1BD6" w14:paraId="06B558F8" w14:textId="77777777" w:rsidTr="450C077A">
              <w:tc>
                <w:tcPr>
                  <w:tcW w:w="10794" w:type="dxa"/>
                  <w:tcMar>
                    <w:left w:w="0" w:type="dxa"/>
                    <w:right w:w="0" w:type="dxa"/>
                  </w:tcMar>
                </w:tcPr>
                <w:p w14:paraId="4CFF02EF" w14:textId="77777777" w:rsidR="00392CFE" w:rsidRPr="004C0A42" w:rsidRDefault="00392CFE" w:rsidP="004C0A42">
                  <w:pPr>
                    <w:ind w:firstLineChars="50" w:firstLine="110"/>
                  </w:pPr>
                  <w:r w:rsidRPr="004C0A42">
                    <w:t xml:space="preserve">Tam, Wai Lok, </w:t>
                  </w:r>
                  <w:proofErr w:type="spellStart"/>
                  <w:r w:rsidRPr="004C0A42">
                    <w:t>Miyao</w:t>
                  </w:r>
                  <w:proofErr w:type="spellEnd"/>
                  <w:r w:rsidRPr="004C0A42">
                    <w:t xml:space="preserve"> Yusuke and </w:t>
                  </w:r>
                  <w:proofErr w:type="spellStart"/>
                  <w:r w:rsidRPr="004C0A42">
                    <w:t>Tsujii</w:t>
                  </w:r>
                  <w:proofErr w:type="spellEnd"/>
                  <w:r w:rsidRPr="004C0A42">
                    <w:t xml:space="preserve"> Junichi: Using Parser Output as a Language Resource:</w:t>
                  </w:r>
                  <w:r w:rsidR="00D47963" w:rsidRPr="004C0A42">
                    <w:rPr>
                      <w:rFonts w:hint="eastAsia"/>
                      <w:lang w:eastAsia="ja-JP"/>
                    </w:rPr>
                    <w:t xml:space="preserve"> </w:t>
                  </w:r>
                  <w:r w:rsidRPr="004C0A42">
                    <w:t xml:space="preserve">Issues of Interoperability and Solution in </w:t>
                  </w:r>
                  <w:r w:rsidRPr="004C0A42">
                    <w:rPr>
                      <w:i/>
                      <w:iCs/>
                    </w:rPr>
                    <w:t>Proceedings of The First International Workshop on</w:t>
                  </w:r>
                  <w:r w:rsidR="00D47963" w:rsidRPr="004C0A42">
                    <w:rPr>
                      <w:rFonts w:hint="eastAsia"/>
                      <w:i/>
                      <w:iCs/>
                      <w:lang w:eastAsia="ja-JP"/>
                    </w:rPr>
                    <w:t xml:space="preserve"> </w:t>
                  </w:r>
                  <w:r w:rsidRPr="004C0A42">
                    <w:rPr>
                      <w:i/>
                      <w:iCs/>
                    </w:rPr>
                    <w:t xml:space="preserve">Automated Syntactic Annotations for Interoperable Language Resources, </w:t>
                  </w:r>
                  <w:r w:rsidRPr="004C0A42">
                    <w:t>pp 69-75</w:t>
                  </w:r>
                </w:p>
              </w:tc>
            </w:tr>
            <w:tr w:rsidR="00392CFE" w:rsidRPr="005D1BD6" w14:paraId="6B699379" w14:textId="77777777" w:rsidTr="450C077A">
              <w:tc>
                <w:tcPr>
                  <w:tcW w:w="10794" w:type="dxa"/>
                  <w:tcMar>
                    <w:left w:w="0" w:type="dxa"/>
                    <w:right w:w="0" w:type="dxa"/>
                  </w:tcMar>
                </w:tcPr>
                <w:p w14:paraId="3FE9F23F" w14:textId="77777777" w:rsidR="00392CFE" w:rsidRPr="001426E2" w:rsidRDefault="00392CFE" w:rsidP="005F69DA">
                  <w:pPr>
                    <w:rPr>
                      <w:u w:val="single"/>
                    </w:rPr>
                  </w:pPr>
                </w:p>
              </w:tc>
            </w:tr>
            <w:tr w:rsidR="00392CFE" w:rsidRPr="005D1BD6" w14:paraId="10AC7399" w14:textId="77777777" w:rsidTr="450C077A">
              <w:tc>
                <w:tcPr>
                  <w:tcW w:w="10794" w:type="dxa"/>
                  <w:tcMar>
                    <w:left w:w="0" w:type="dxa"/>
                    <w:right w:w="0" w:type="dxa"/>
                  </w:tcMar>
                </w:tcPr>
                <w:p w14:paraId="6216CFEC" w14:textId="77777777" w:rsidR="00392CFE" w:rsidRPr="004C0A42" w:rsidRDefault="00392CFE" w:rsidP="004C0A42">
                  <w:pPr>
                    <w:ind w:firstLineChars="50" w:firstLine="110"/>
                  </w:pPr>
                  <w:r w:rsidRPr="00563B5D">
                    <w:t xml:space="preserve">Tam Wai Lok, </w:t>
                  </w:r>
                  <w:proofErr w:type="spellStart"/>
                  <w:r w:rsidRPr="00563B5D">
                    <w:t>Miyao</w:t>
                  </w:r>
                  <w:proofErr w:type="spellEnd"/>
                  <w:r w:rsidRPr="00563B5D">
                    <w:t xml:space="preserve"> Yusuke, and </w:t>
                  </w:r>
                  <w:proofErr w:type="spellStart"/>
                  <w:r w:rsidRPr="00563B5D">
                    <w:t>Tsujii</w:t>
                  </w:r>
                  <w:proofErr w:type="spellEnd"/>
                  <w:r w:rsidRPr="00563B5D">
                    <w:t xml:space="preserve"> </w:t>
                  </w:r>
                  <w:proofErr w:type="spellStart"/>
                  <w:r w:rsidRPr="00563B5D">
                    <w:t>Jun’ichi</w:t>
                  </w:r>
                  <w:proofErr w:type="spellEnd"/>
                  <w:r w:rsidRPr="00563B5D">
                    <w:t xml:space="preserve">: </w:t>
                  </w:r>
                  <w:r w:rsidRPr="00563B5D">
                    <w:rPr>
                      <w:u w:val="single"/>
                    </w:rPr>
                    <w:t>Framework Independent Summarized Parser</w:t>
                  </w:r>
                  <w:r w:rsidR="00D47963" w:rsidRPr="00563B5D">
                    <w:rPr>
                      <w:rFonts w:hint="eastAsia"/>
                      <w:u w:val="single"/>
                      <w:lang w:eastAsia="ja-JP"/>
                    </w:rPr>
                    <w:t xml:space="preserve"> </w:t>
                  </w:r>
                  <w:r w:rsidRPr="00563B5D">
                    <w:rPr>
                      <w:u w:val="single"/>
                    </w:rPr>
                    <w:t>Output in XML and its Example-based Documentation</w:t>
                  </w:r>
                  <w:r w:rsidRPr="00563B5D">
                    <w:t xml:space="preserve"> in </w:t>
                  </w:r>
                  <w:r w:rsidRPr="00563B5D">
                    <w:rPr>
                      <w:i/>
                      <w:iCs/>
                    </w:rPr>
                    <w:t>Proceedings of the Grammar</w:t>
                  </w:r>
                  <w:r w:rsidR="00D47963" w:rsidRPr="00563B5D">
                    <w:rPr>
                      <w:rFonts w:hint="eastAsia"/>
                      <w:i/>
                      <w:iCs/>
                      <w:lang w:eastAsia="ja-JP"/>
                    </w:rPr>
                    <w:t xml:space="preserve"> </w:t>
                  </w:r>
                  <w:r w:rsidRPr="00563B5D">
                    <w:rPr>
                      <w:i/>
                      <w:iCs/>
                    </w:rPr>
                    <w:t>Engineering Across Frameworks (GEAF07) Workshop</w:t>
                  </w:r>
                  <w:r w:rsidRPr="00563B5D">
                    <w:t>, pp 319-331</w:t>
                  </w:r>
                </w:p>
              </w:tc>
            </w:tr>
          </w:tbl>
          <w:p w14:paraId="1F72F646" w14:textId="77777777" w:rsidR="00071D59" w:rsidRPr="005D1BD6" w:rsidRDefault="00071D59" w:rsidP="00BA40CA">
            <w:pPr>
              <w:tabs>
                <w:tab w:val="left" w:pos="1590"/>
              </w:tabs>
              <w:rPr>
                <w:lang w:eastAsia="ja-JP"/>
              </w:rPr>
            </w:pPr>
          </w:p>
        </w:tc>
      </w:tr>
    </w:tbl>
    <w:p w14:paraId="08CE6F91" w14:textId="77777777" w:rsidR="00EA245A" w:rsidRPr="005D1BD6" w:rsidRDefault="00000000">
      <w:pPr>
        <w:rPr>
          <w:sz w:val="10"/>
          <w:szCs w:val="10"/>
        </w:rPr>
      </w:pPr>
    </w:p>
    <w:sectPr w:rsidR="00EA245A" w:rsidRPr="005D1BD6" w:rsidSect="004C73BC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ADA20" w14:textId="77777777" w:rsidR="00CC0B4A" w:rsidRDefault="00CC0B4A" w:rsidP="000D59B5">
      <w:pPr>
        <w:spacing w:after="0" w:line="240" w:lineRule="auto"/>
      </w:pPr>
      <w:r>
        <w:separator/>
      </w:r>
    </w:p>
  </w:endnote>
  <w:endnote w:type="continuationSeparator" w:id="0">
    <w:p w14:paraId="6B1DE1EB" w14:textId="77777777" w:rsidR="00CC0B4A" w:rsidRDefault="00CC0B4A" w:rsidP="000D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HGPGothic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Italic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041F2" w14:textId="77777777" w:rsidR="00005A95" w:rsidRDefault="00005A95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C97819F" wp14:editId="5B549BE8">
              <wp:simplePos x="0" y="0"/>
              <wp:positionH relativeFrom="margin">
                <wp:posOffset>-457200</wp:posOffset>
              </wp:positionH>
              <wp:positionV relativeFrom="margin">
                <wp:posOffset>9303224</wp:posOffset>
              </wp:positionV>
              <wp:extent cx="7562088" cy="586816"/>
              <wp:effectExtent l="0" t="0" r="1270" b="381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2088" cy="586816"/>
                      </a:xfrm>
                      <a:prstGeom prst="rect">
                        <a:avLst/>
                      </a:prstGeom>
                      <a:solidFill>
                        <a:srgbClr val="2F383A"/>
                      </a:solidFill>
                      <a:ln>
                        <a:noFill/>
                      </a:ln>
                    </wps:spPr>
                    <wps:txbx>
                      <w:txbxContent>
                        <w:p w14:paraId="70DF9E56" w14:textId="77777777" w:rsidR="00005A95" w:rsidRPr="00B77709" w:rsidRDefault="00005A95" w:rsidP="00B77709">
                          <w:pPr>
                            <w:tabs>
                              <w:tab w:val="left" w:pos="540"/>
                            </w:tabs>
                            <w:ind w:left="540"/>
                            <w:jc w:val="center"/>
                            <w:rPr>
                              <w:color w:val="F2F2F2" w:themeColor="background1" w:themeShade="F2"/>
                            </w:rPr>
                          </w:pPr>
                        </w:p>
                      </w:txbxContent>
                    </wps:txbx>
                    <wps:bodyPr vert="horz" wrap="square" lIns="121920" tIns="60960" rIns="121920" bIns="60960" numCol="1" anchor="ctr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97819F" id="Rectangle 4" o:spid="_x0000_s1028" style="position:absolute;margin-left:-36pt;margin-top:732.55pt;width:595.45pt;height:46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" fillcolor="#2f383a" stroked="f">
              <v:textbox inset="9.6pt,4.8pt,9.6pt,4.8pt">
                <w:txbxContent>
                  <w:p w14:paraId="70DF9E56" w14:textId="77777777" w:rsidR="00005A95" w:rsidRPr="00B77709" w:rsidRDefault="00005A95" w:rsidP="00B77709">
                    <w:pPr>
                      <w:tabs>
                        <w:tab w:val="left" w:pos="540"/>
                      </w:tabs>
                      <w:ind w:left="540"/>
                      <w:jc w:val="center"/>
                      <w:rPr>
                        <w:color w:val="F2F2F2" w:themeColor="background1" w:themeShade="F2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82AB4" w14:textId="77777777" w:rsidR="00CC0B4A" w:rsidRDefault="00CC0B4A" w:rsidP="000D59B5">
      <w:pPr>
        <w:spacing w:after="0" w:line="240" w:lineRule="auto"/>
      </w:pPr>
      <w:r>
        <w:separator/>
      </w:r>
    </w:p>
  </w:footnote>
  <w:footnote w:type="continuationSeparator" w:id="0">
    <w:p w14:paraId="2059A238" w14:textId="77777777" w:rsidR="00CC0B4A" w:rsidRDefault="00CC0B4A" w:rsidP="000D5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4411F" w14:textId="77777777" w:rsidR="0033215C" w:rsidRDefault="00071D59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074FCC" wp14:editId="798D3DAA">
              <wp:simplePos x="0" y="0"/>
              <wp:positionH relativeFrom="margin">
                <wp:posOffset>-457039</wp:posOffset>
              </wp:positionH>
              <wp:positionV relativeFrom="margin">
                <wp:posOffset>-800735</wp:posOffset>
              </wp:positionV>
              <wp:extent cx="347980" cy="10688955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7980" cy="1068895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1CDCEAD" w14:textId="77777777" w:rsidR="0033215C" w:rsidRPr="00903F8F" w:rsidRDefault="0033215C" w:rsidP="0033215C">
                          <w:pPr>
                            <w:ind w:left="540"/>
                            <w:rPr>
                              <w:smallCaps/>
                              <w:color w:val="A6A6A6" w:themeColor="background1" w:themeShade="A6"/>
                              <w:sz w:val="36"/>
                            </w:rPr>
                          </w:pPr>
                        </w:p>
                      </w:txbxContent>
                    </wps:txbx>
                    <wps:bodyPr vert="horz" wrap="square" lIns="121920" tIns="60960" rIns="121920" bIns="60960" numCol="1" anchor="b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074FCC" id="Rectangle 3" o:spid="_x0000_s1026" style="position:absolute;margin-left:-36pt;margin-top:-63.05pt;width:27.4pt;height:841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" fillcolor="#d8d8d8 [2732]" stroked="f">
              <v:textbox inset="9.6pt,4.8pt,9.6pt,4.8pt">
                <w:txbxContent>
                  <w:p w14:paraId="61CDCEAD" w14:textId="77777777" w:rsidR="0033215C" w:rsidRPr="00903F8F" w:rsidRDefault="0033215C" w:rsidP="0033215C">
                    <w:pPr>
                      <w:ind w:left="540"/>
                      <w:rPr>
                        <w:smallCaps/>
                        <w:color w:val="A6A6A6" w:themeColor="background1" w:themeShade="A6"/>
                        <w:sz w:val="36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5EE77F" wp14:editId="56E3D8F7">
              <wp:simplePos x="0" y="0"/>
              <wp:positionH relativeFrom="margin">
                <wp:posOffset>6758779</wp:posOffset>
              </wp:positionH>
              <wp:positionV relativeFrom="margin">
                <wp:posOffset>-801854</wp:posOffset>
              </wp:positionV>
              <wp:extent cx="348018" cy="10689336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8018" cy="10689336"/>
                      </a:xfrm>
                      <a:prstGeom prst="rect">
                        <a:avLst/>
                      </a:prstGeom>
                      <a:solidFill>
                        <a:sysClr val="window" lastClr="FFFFFF">
                          <a:lumMod val="85000"/>
                        </a:sys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3DE523C" w14:textId="77777777" w:rsidR="00071D59" w:rsidRPr="00903F8F" w:rsidRDefault="00071D59" w:rsidP="00071D59">
                          <w:pPr>
                            <w:ind w:left="540"/>
                            <w:rPr>
                              <w:smallCaps/>
                              <w:color w:val="A6A6A6" w:themeColor="background1" w:themeShade="A6"/>
                              <w:sz w:val="36"/>
                            </w:rPr>
                          </w:pPr>
                        </w:p>
                      </w:txbxContent>
                    </wps:txbx>
                    <wps:bodyPr vert="horz" wrap="square" lIns="121920" tIns="60960" rIns="121920" bIns="60960" numCol="1" anchor="b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5EE77F" id="Rectangle 1" o:spid="_x0000_s1027" style="position:absolute;margin-left:532.2pt;margin-top:-63.15pt;width:27.4pt;height:841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" fillcolor="#d9d9d9" stroked="f">
              <v:textbox inset="9.6pt,4.8pt,9.6pt,4.8pt">
                <w:txbxContent>
                  <w:p w14:paraId="23DE523C" w14:textId="77777777" w:rsidR="00071D59" w:rsidRPr="00903F8F" w:rsidRDefault="00071D59" w:rsidP="00071D59">
                    <w:pPr>
                      <w:ind w:left="540"/>
                      <w:rPr>
                        <w:smallCaps/>
                        <w:color w:val="A6A6A6" w:themeColor="background1" w:themeShade="A6"/>
                        <w:sz w:val="36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  <w:p w14:paraId="07547A01" w14:textId="77777777" w:rsidR="0033215C" w:rsidRDefault="003321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D5F2C"/>
    <w:multiLevelType w:val="hybridMultilevel"/>
    <w:tmpl w:val="AA54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0191B"/>
    <w:multiLevelType w:val="hybridMultilevel"/>
    <w:tmpl w:val="C698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276063">
    <w:abstractNumId w:val="2"/>
  </w:num>
  <w:num w:numId="2" w16cid:durableId="1230768575">
    <w:abstractNumId w:val="0"/>
  </w:num>
  <w:num w:numId="3" w16cid:durableId="58333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BE"/>
    <w:rsid w:val="00005A95"/>
    <w:rsid w:val="00011250"/>
    <w:rsid w:val="00071D59"/>
    <w:rsid w:val="00087F46"/>
    <w:rsid w:val="000955A5"/>
    <w:rsid w:val="000D59B5"/>
    <w:rsid w:val="000D6A5B"/>
    <w:rsid w:val="000F5606"/>
    <w:rsid w:val="0010439F"/>
    <w:rsid w:val="001218C5"/>
    <w:rsid w:val="001426E2"/>
    <w:rsid w:val="001A17E3"/>
    <w:rsid w:val="001B4F77"/>
    <w:rsid w:val="001C0044"/>
    <w:rsid w:val="001C7DD0"/>
    <w:rsid w:val="001D12D1"/>
    <w:rsid w:val="001E31C2"/>
    <w:rsid w:val="002249AB"/>
    <w:rsid w:val="00242F4D"/>
    <w:rsid w:val="0025433D"/>
    <w:rsid w:val="002A3401"/>
    <w:rsid w:val="002C60D8"/>
    <w:rsid w:val="002D2984"/>
    <w:rsid w:val="002F1EEE"/>
    <w:rsid w:val="002F43D7"/>
    <w:rsid w:val="002F6506"/>
    <w:rsid w:val="003310D0"/>
    <w:rsid w:val="00331D75"/>
    <w:rsid w:val="0033215C"/>
    <w:rsid w:val="00334D99"/>
    <w:rsid w:val="00366BD6"/>
    <w:rsid w:val="003671FE"/>
    <w:rsid w:val="00392CFE"/>
    <w:rsid w:val="003B3F65"/>
    <w:rsid w:val="003F072B"/>
    <w:rsid w:val="003F7253"/>
    <w:rsid w:val="00494947"/>
    <w:rsid w:val="00495CA2"/>
    <w:rsid w:val="00496805"/>
    <w:rsid w:val="004A6B93"/>
    <w:rsid w:val="004C0A42"/>
    <w:rsid w:val="004C73BC"/>
    <w:rsid w:val="004D209D"/>
    <w:rsid w:val="00502B2A"/>
    <w:rsid w:val="00502D17"/>
    <w:rsid w:val="005309FB"/>
    <w:rsid w:val="00533D7E"/>
    <w:rsid w:val="0053403A"/>
    <w:rsid w:val="00553A6B"/>
    <w:rsid w:val="00562660"/>
    <w:rsid w:val="00563B5D"/>
    <w:rsid w:val="00570480"/>
    <w:rsid w:val="005B2998"/>
    <w:rsid w:val="005B4E98"/>
    <w:rsid w:val="005D0C6F"/>
    <w:rsid w:val="005D1BD6"/>
    <w:rsid w:val="005F2E6A"/>
    <w:rsid w:val="005F69DA"/>
    <w:rsid w:val="006620DD"/>
    <w:rsid w:val="006833F4"/>
    <w:rsid w:val="00691849"/>
    <w:rsid w:val="006B23E0"/>
    <w:rsid w:val="006B5DC1"/>
    <w:rsid w:val="006C4E22"/>
    <w:rsid w:val="006E5A48"/>
    <w:rsid w:val="00704D51"/>
    <w:rsid w:val="0073614E"/>
    <w:rsid w:val="00771B6E"/>
    <w:rsid w:val="007810CB"/>
    <w:rsid w:val="00794CDB"/>
    <w:rsid w:val="007A74A7"/>
    <w:rsid w:val="007C359A"/>
    <w:rsid w:val="00824C85"/>
    <w:rsid w:val="008301BC"/>
    <w:rsid w:val="00861666"/>
    <w:rsid w:val="0086598B"/>
    <w:rsid w:val="00876D28"/>
    <w:rsid w:val="008873FD"/>
    <w:rsid w:val="008B492B"/>
    <w:rsid w:val="008B679D"/>
    <w:rsid w:val="00903F8F"/>
    <w:rsid w:val="00906EB3"/>
    <w:rsid w:val="00924F56"/>
    <w:rsid w:val="00927DEB"/>
    <w:rsid w:val="009677A2"/>
    <w:rsid w:val="009C1220"/>
    <w:rsid w:val="009D177E"/>
    <w:rsid w:val="009D1E16"/>
    <w:rsid w:val="009F4013"/>
    <w:rsid w:val="00A13537"/>
    <w:rsid w:val="00A34978"/>
    <w:rsid w:val="00A71570"/>
    <w:rsid w:val="00A77122"/>
    <w:rsid w:val="00AA6A04"/>
    <w:rsid w:val="00AB34BA"/>
    <w:rsid w:val="00AD125F"/>
    <w:rsid w:val="00B15876"/>
    <w:rsid w:val="00B15D93"/>
    <w:rsid w:val="00B22C9D"/>
    <w:rsid w:val="00B361B6"/>
    <w:rsid w:val="00B36E7D"/>
    <w:rsid w:val="00B560FF"/>
    <w:rsid w:val="00B60736"/>
    <w:rsid w:val="00B77709"/>
    <w:rsid w:val="00BA40CA"/>
    <w:rsid w:val="00BA7588"/>
    <w:rsid w:val="00BC679F"/>
    <w:rsid w:val="00BD4892"/>
    <w:rsid w:val="00BE0407"/>
    <w:rsid w:val="00C15F05"/>
    <w:rsid w:val="00C17739"/>
    <w:rsid w:val="00C22008"/>
    <w:rsid w:val="00C43030"/>
    <w:rsid w:val="00C51726"/>
    <w:rsid w:val="00C76E77"/>
    <w:rsid w:val="00C84F8C"/>
    <w:rsid w:val="00C97CAC"/>
    <w:rsid w:val="00CC0B4A"/>
    <w:rsid w:val="00CC62C0"/>
    <w:rsid w:val="00CD59BE"/>
    <w:rsid w:val="00D11CAE"/>
    <w:rsid w:val="00D25659"/>
    <w:rsid w:val="00D41323"/>
    <w:rsid w:val="00D47963"/>
    <w:rsid w:val="00D64614"/>
    <w:rsid w:val="00D7565F"/>
    <w:rsid w:val="00D90AAE"/>
    <w:rsid w:val="00DC528E"/>
    <w:rsid w:val="00DD47B5"/>
    <w:rsid w:val="00DE1A5D"/>
    <w:rsid w:val="00E07223"/>
    <w:rsid w:val="00E1034F"/>
    <w:rsid w:val="00E17B37"/>
    <w:rsid w:val="00E65182"/>
    <w:rsid w:val="00EE23C8"/>
    <w:rsid w:val="00F12C64"/>
    <w:rsid w:val="00F25514"/>
    <w:rsid w:val="00F263C1"/>
    <w:rsid w:val="00F46341"/>
    <w:rsid w:val="00F51832"/>
    <w:rsid w:val="00F63D56"/>
    <w:rsid w:val="00F71E2C"/>
    <w:rsid w:val="00F97656"/>
    <w:rsid w:val="00FA37B8"/>
    <w:rsid w:val="00FA6DD2"/>
    <w:rsid w:val="00FF20CA"/>
    <w:rsid w:val="25C98CB2"/>
    <w:rsid w:val="450C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9696652"/>
  <w15:docId w15:val="{7E3EDCD1-83A3-4127-88F1-17D9D31D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7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12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9B5"/>
  </w:style>
  <w:style w:type="paragraph" w:styleId="Footer">
    <w:name w:val="footer"/>
    <w:basedOn w:val="Normal"/>
    <w:link w:val="Foot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9B5"/>
  </w:style>
  <w:style w:type="paragraph" w:styleId="BalloonText">
    <w:name w:val="Balloon Text"/>
    <w:basedOn w:val="Normal"/>
    <w:link w:val="BalloonTextChar"/>
    <w:uiPriority w:val="99"/>
    <w:semiHidden/>
    <w:unhideWhenUsed/>
    <w:rsid w:val="00366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D6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794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ABC09-140A-4FD1-B70F-736A575D4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JORDAAN - Resume Template</dc:title>
  <dc:creator>Rezumeet.com</dc:creator>
  <dc:description>© Copyright Rezumeet.com</dc:description>
  <cp:lastModifiedBy>Tam, Wai Lok | Pete | RP</cp:lastModifiedBy>
  <cp:revision>5</cp:revision>
  <cp:lastPrinted>2023-08-10T09:02:00Z</cp:lastPrinted>
  <dcterms:created xsi:type="dcterms:W3CDTF">2022-04-15T05:24:00Z</dcterms:created>
  <dcterms:modified xsi:type="dcterms:W3CDTF">2023-08-10T09:02:00Z</dcterms:modified>
</cp:coreProperties>
</file>