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9DB" w:rsidRDefault="004969DB" w:rsidP="00293CE7">
      <w:r>
        <w:t>November 4</w:t>
      </w:r>
      <w:r w:rsidRPr="004969DB">
        <w:rPr>
          <w:vertAlign w:val="superscript"/>
        </w:rPr>
        <w:t>th</w:t>
      </w:r>
      <w:r>
        <w:t xml:space="preserve"> – TLH project update</w:t>
      </w:r>
      <w:r w:rsidR="0047628B">
        <w:t xml:space="preserve"> </w:t>
      </w:r>
    </w:p>
    <w:p w:rsidR="00293CE7" w:rsidRDefault="00293CE7" w:rsidP="00293CE7">
      <w:pPr>
        <w:pStyle w:val="ListParagraph"/>
        <w:numPr>
          <w:ilvl w:val="0"/>
          <w:numId w:val="3"/>
        </w:numPr>
      </w:pPr>
      <w:r>
        <w:t xml:space="preserve">Coded a simple </w:t>
      </w:r>
      <w:r w:rsidR="00666D03">
        <w:t xml:space="preserve">TLH </w:t>
      </w:r>
      <w:r>
        <w:t>model with the following assumptions:</w:t>
      </w:r>
    </w:p>
    <w:p w:rsidR="00666D03" w:rsidRDefault="00666D03" w:rsidP="00666D03">
      <w:pPr>
        <w:ind w:left="1080"/>
      </w:pPr>
      <w:r>
        <w:t>Client assumptions:</w:t>
      </w:r>
    </w:p>
    <w:p w:rsidR="00666D03" w:rsidRDefault="00254E99" w:rsidP="00666D03">
      <w:pPr>
        <w:pStyle w:val="ListParagraph"/>
        <w:numPr>
          <w:ilvl w:val="3"/>
          <w:numId w:val="5"/>
        </w:numPr>
      </w:pPr>
      <w:r>
        <w:t>100,000</w:t>
      </w:r>
      <w:r w:rsidR="00293CE7">
        <w:t xml:space="preserve"> initial deposit, no subsequent </w:t>
      </w:r>
      <w:proofErr w:type="spellStart"/>
      <w:r w:rsidR="00293CE7">
        <w:t>withdrawls</w:t>
      </w:r>
      <w:proofErr w:type="spellEnd"/>
      <w:r w:rsidR="00293CE7">
        <w:t>/deposits during investment horizon</w:t>
      </w:r>
    </w:p>
    <w:p w:rsidR="00666D03" w:rsidRDefault="004D518C" w:rsidP="00666D03">
      <w:pPr>
        <w:pStyle w:val="ListParagraph"/>
        <w:numPr>
          <w:ilvl w:val="3"/>
          <w:numId w:val="5"/>
        </w:numPr>
      </w:pPr>
      <w:r>
        <w:t xml:space="preserve">70%/30% </w:t>
      </w:r>
      <w:r w:rsidR="004B4BE2">
        <w:t xml:space="preserve">initial </w:t>
      </w:r>
      <w:r>
        <w:t>allocation in V</w:t>
      </w:r>
      <w:r w:rsidR="00666D03">
        <w:t>anguard Total Stock Market ETF</w:t>
      </w:r>
      <w:r w:rsidR="00B33271">
        <w:t xml:space="preserve"> (VTI)</w:t>
      </w:r>
      <w:r w:rsidR="00666D03">
        <w:t xml:space="preserve"> and </w:t>
      </w:r>
      <w:proofErr w:type="spellStart"/>
      <w:r>
        <w:t>iShares</w:t>
      </w:r>
      <w:proofErr w:type="spellEnd"/>
      <w:r>
        <w:t xml:space="preserve"> 1-5 year laddered corporate bond index</w:t>
      </w:r>
      <w:r w:rsidR="00B33271">
        <w:t xml:space="preserve"> (CBO)</w:t>
      </w:r>
      <w:r w:rsidR="004B4BE2">
        <w:t>.  No re-balancing.</w:t>
      </w:r>
    </w:p>
    <w:p w:rsidR="00666D03" w:rsidRDefault="00293CE7" w:rsidP="00666D03">
      <w:pPr>
        <w:pStyle w:val="ListParagraph"/>
        <w:numPr>
          <w:ilvl w:val="3"/>
          <w:numId w:val="5"/>
        </w:numPr>
      </w:pPr>
      <w:r>
        <w:t xml:space="preserve">30 year investment horizon, capital tax rate </w:t>
      </w:r>
      <w:r w:rsidR="006A6A02">
        <w:t xml:space="preserve">constant </w:t>
      </w:r>
      <w:r>
        <w:t>at 0.5*(0.29 + 0.1316)</w:t>
      </w:r>
      <w:r w:rsidR="006A6A02">
        <w:t xml:space="preserve"> = 21.08%</w:t>
      </w:r>
      <w:r w:rsidR="000D61A2">
        <w:t>.</w:t>
      </w:r>
    </w:p>
    <w:p w:rsidR="00293CE7" w:rsidRDefault="006A6A02" w:rsidP="00666D03">
      <w:pPr>
        <w:pStyle w:val="ListParagraph"/>
        <w:numPr>
          <w:ilvl w:val="3"/>
          <w:numId w:val="5"/>
        </w:numPr>
      </w:pPr>
      <w:r>
        <w:t>At the end of investment horizon, client liquidates portfolio at capital tax rate 10%</w:t>
      </w:r>
      <w:r w:rsidR="000D61A2">
        <w:t>.</w:t>
      </w:r>
    </w:p>
    <w:p w:rsidR="008D6522" w:rsidRDefault="00666D03" w:rsidP="008D6522">
      <w:pPr>
        <w:ind w:left="1080"/>
      </w:pPr>
      <w:r>
        <w:t>Model assumptions:</w:t>
      </w:r>
    </w:p>
    <w:p w:rsidR="00666D03" w:rsidRDefault="000D61A2" w:rsidP="00666D03">
      <w:pPr>
        <w:pStyle w:val="ListParagraph"/>
        <w:numPr>
          <w:ilvl w:val="3"/>
          <w:numId w:val="4"/>
        </w:numPr>
      </w:pPr>
      <w:r>
        <w:t xml:space="preserve">TLH is executed </w:t>
      </w:r>
      <w:r w:rsidR="007F1BD9">
        <w:t>whenever the cumulative depreciation of VTI or CBO exceeds the threshold.  Cumulative depreciation is calculated daily with res</w:t>
      </w:r>
      <w:r w:rsidR="00E60BCE">
        <w:t>pect to the last harvest date.  TLH is also executed whenever the cumulative depreciation of the correlated ETFs to VTI or CBO exceeds the threshold.</w:t>
      </w:r>
    </w:p>
    <w:p w:rsidR="008D6522" w:rsidRDefault="008D6522" w:rsidP="008D6522">
      <w:pPr>
        <w:pStyle w:val="ListParagraph"/>
        <w:numPr>
          <w:ilvl w:val="3"/>
          <w:numId w:val="4"/>
        </w:numPr>
      </w:pPr>
      <w:r>
        <w:t>Harvested tax losses for a calendar year are invested at the beginning of the following year, earning returns equal to the portfolio for the investment horizon.</w:t>
      </w:r>
    </w:p>
    <w:p w:rsidR="008D6522" w:rsidRDefault="008D6522" w:rsidP="008D6522">
      <w:pPr>
        <w:pStyle w:val="ListParagraph"/>
        <w:numPr>
          <w:ilvl w:val="3"/>
          <w:numId w:val="4"/>
        </w:numPr>
      </w:pPr>
      <w:r>
        <w:t>Client incurs 0.2% transaction costs (bid-ask spread) for selling an ETF and purchasing a correlated ETF.</w:t>
      </w:r>
    </w:p>
    <w:p w:rsidR="00C566C0" w:rsidRDefault="008D6522" w:rsidP="00872395">
      <w:pPr>
        <w:pStyle w:val="ListParagraph"/>
        <w:numPr>
          <w:ilvl w:val="3"/>
          <w:numId w:val="4"/>
        </w:numPr>
        <w:spacing w:after="0"/>
      </w:pPr>
      <w:r>
        <w:t>For both VTI and CBO, there exists a perfectly correlated ETF</w:t>
      </w:r>
      <w:r w:rsidR="007F77FD">
        <w:t xml:space="preserve"> available for substitute</w:t>
      </w:r>
      <w:r>
        <w:t>.  That is, the daily returns are identical.</w:t>
      </w:r>
    </w:p>
    <w:p w:rsidR="008D6522" w:rsidRDefault="008D6522" w:rsidP="008D6522">
      <w:pPr>
        <w:pStyle w:val="ListParagraph"/>
        <w:ind w:left="1440"/>
      </w:pPr>
    </w:p>
    <w:p w:rsidR="00C566C0" w:rsidRDefault="00AA1ABE" w:rsidP="00C566C0">
      <w:pPr>
        <w:pStyle w:val="ListParagraph"/>
        <w:numPr>
          <w:ilvl w:val="0"/>
          <w:numId w:val="3"/>
        </w:numPr>
      </w:pPr>
      <w:r>
        <w:t>D</w:t>
      </w:r>
      <w:r w:rsidR="003332B0">
        <w:t xml:space="preserve">ownloaded daily </w:t>
      </w:r>
      <w:r>
        <w:t>price data</w:t>
      </w:r>
      <w:r w:rsidR="003332B0">
        <w:t xml:space="preserve"> (close price, adjusted for splits but not dividends)</w:t>
      </w:r>
      <w:r>
        <w:t xml:space="preserve"> for VTI and CBO, calculated the daily log-returns, </w:t>
      </w:r>
      <w:r w:rsidR="002D5CEA">
        <w:t xml:space="preserve">and fed it into the TLH model.  </w:t>
      </w:r>
      <w:r w:rsidR="002E1B0F">
        <w:t>VTI data back to Jun-2001, CBO data back to Feb-2009.</w:t>
      </w:r>
      <w:r w:rsidR="00B3364D">
        <w:t xml:space="preserve">  Model </w:t>
      </w:r>
      <w:r w:rsidR="00646A6C">
        <w:t xml:space="preserve">run on the intersection of these </w:t>
      </w:r>
      <w:r w:rsidR="00EA7E66">
        <w:t>periods.</w:t>
      </w:r>
    </w:p>
    <w:p w:rsidR="002D5CEA" w:rsidRDefault="002E1B0F" w:rsidP="002E1B0F">
      <w:r>
        <w:t xml:space="preserve"> </w:t>
      </w:r>
      <w:r w:rsidRPr="002E1B0F">
        <w:rPr>
          <w:noProof/>
          <w:lang w:eastAsia="en-CA"/>
        </w:rPr>
        <w:drawing>
          <wp:inline distT="0" distB="0" distL="0" distR="0">
            <wp:extent cx="2979050" cy="2235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76" cy="22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CEA" w:rsidRPr="002D5CEA">
        <w:rPr>
          <w:noProof/>
          <w:lang w:eastAsia="en-CA"/>
        </w:rPr>
        <w:drawing>
          <wp:inline distT="0" distB="0" distL="0" distR="0">
            <wp:extent cx="2875831" cy="215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46" cy="21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66" w:rsidRDefault="00484FC9" w:rsidP="00247540">
      <w:pPr>
        <w:pStyle w:val="ListParagraph"/>
        <w:numPr>
          <w:ilvl w:val="0"/>
          <w:numId w:val="3"/>
        </w:numPr>
      </w:pPr>
      <w:r>
        <w:t xml:space="preserve">Ran the TLH model for combination of thresholds varying from 5% to 20%.  </w:t>
      </w:r>
      <w:r w:rsidR="004D6ADB">
        <w:t>The optimal combination of threshold to execute TLH is 11%</w:t>
      </w:r>
      <w:r w:rsidR="0069508B">
        <w:t xml:space="preserve"> for VTI</w:t>
      </w:r>
      <w:r w:rsidR="004D6ADB">
        <w:t>.</w:t>
      </w:r>
      <w:r>
        <w:t xml:space="preserve">  CBO was never tax-harvested.</w:t>
      </w:r>
      <w:r w:rsidR="003D2DB6">
        <w:t xml:space="preserve">  The after-tax dollar growth is </w:t>
      </w:r>
      <w:r w:rsidR="003D2DB6" w:rsidRPr="003D2DB6">
        <w:rPr>
          <w:b/>
          <w:u w:val="single"/>
        </w:rPr>
        <w:t>$66,841</w:t>
      </w:r>
      <w:r w:rsidR="00165447">
        <w:t>.  T</w:t>
      </w:r>
      <w:r w:rsidR="00FF1D58">
        <w:t xml:space="preserve">he after-tax dollar growth without </w:t>
      </w:r>
      <w:r w:rsidR="00165447">
        <w:t xml:space="preserve">TLH is </w:t>
      </w:r>
      <w:r w:rsidR="00165447" w:rsidRPr="00165447">
        <w:rPr>
          <w:b/>
          <w:u w:val="single"/>
        </w:rPr>
        <w:t>$65,778</w:t>
      </w:r>
      <w:r w:rsidR="00165447">
        <w:t>.</w:t>
      </w:r>
      <w:r w:rsidR="00247540">
        <w:t xml:space="preserve">  Period is </w:t>
      </w:r>
      <w:r w:rsidR="00247540" w:rsidRPr="00247540">
        <w:t>Feb-</w:t>
      </w:r>
      <w:r w:rsidR="00247540">
        <w:t>26-</w:t>
      </w:r>
      <w:r w:rsidR="00247540" w:rsidRPr="00247540">
        <w:t>2009</w:t>
      </w:r>
      <w:r w:rsidR="00247540">
        <w:t xml:space="preserve"> to</w:t>
      </w:r>
      <w:r w:rsidR="00E60BCE">
        <w:t xml:space="preserve"> Oct-31-2014.</w:t>
      </w:r>
    </w:p>
    <w:p w:rsidR="0020458E" w:rsidRDefault="0020458E" w:rsidP="0020458E">
      <w:r>
        <w:t>Next Steps:  1</w:t>
      </w:r>
      <w:proofErr w:type="gramStart"/>
      <w:r>
        <w:t>.  Download</w:t>
      </w:r>
      <w:proofErr w:type="gramEnd"/>
      <w:r>
        <w:t xml:space="preserve"> data for other ETFs and include it in the model.  2.  </w:t>
      </w:r>
      <w:r w:rsidR="003C3160">
        <w:t>Estimate statistical model of returns and simulate future daily returns, and run TLH model based on these.</w:t>
      </w:r>
    </w:p>
    <w:p w:rsidR="00342464" w:rsidRDefault="00342464" w:rsidP="0020458E"/>
    <w:p w:rsidR="00342464" w:rsidRDefault="00342464">
      <w:r>
        <w:br w:type="page"/>
      </w:r>
    </w:p>
    <w:p w:rsidR="00342464" w:rsidRDefault="00342464" w:rsidP="00342464">
      <w:r>
        <w:lastRenderedPageBreak/>
        <w:t>November 5</w:t>
      </w:r>
      <w:r w:rsidRPr="00342464">
        <w:rPr>
          <w:vertAlign w:val="superscript"/>
        </w:rPr>
        <w:t>th</w:t>
      </w:r>
      <w:r>
        <w:t xml:space="preserve"> – TLH update</w:t>
      </w:r>
    </w:p>
    <w:p w:rsidR="00342464" w:rsidRDefault="00C93986" w:rsidP="00342464">
      <w:pPr>
        <w:pStyle w:val="ListParagraph"/>
        <w:numPr>
          <w:ilvl w:val="0"/>
          <w:numId w:val="6"/>
        </w:numPr>
      </w:pPr>
      <w:r>
        <w:t xml:space="preserve">Fixed </w:t>
      </w:r>
      <w:r w:rsidR="00371F03">
        <w:t xml:space="preserve">TLH </w:t>
      </w:r>
      <w:r>
        <w:t>code to make it run faster.  It can handle a portfolio of multiple assets for an arbitrary time horizon.</w:t>
      </w:r>
    </w:p>
    <w:p w:rsidR="00FE5C71" w:rsidRDefault="00FE5C71" w:rsidP="00FE5C71">
      <w:pPr>
        <w:pStyle w:val="ListParagraph"/>
        <w:ind w:left="360"/>
      </w:pPr>
    </w:p>
    <w:p w:rsidR="00342464" w:rsidRDefault="00A73A45" w:rsidP="00342464">
      <w:pPr>
        <w:pStyle w:val="ListParagraph"/>
        <w:numPr>
          <w:ilvl w:val="0"/>
          <w:numId w:val="6"/>
        </w:numPr>
      </w:pPr>
      <w:r>
        <w:t xml:space="preserve">Re-ran TLH model for daily return data </w:t>
      </w:r>
      <w:r>
        <w:t>for VTI and CBO</w:t>
      </w:r>
      <w:r>
        <w:t xml:space="preserve">.  </w:t>
      </w:r>
      <w:r>
        <w:t xml:space="preserve">Period is </w:t>
      </w:r>
      <w:r w:rsidRPr="00247540">
        <w:t>Feb-</w:t>
      </w:r>
      <w:r>
        <w:t>26-</w:t>
      </w:r>
      <w:r w:rsidRPr="00247540">
        <w:t>2009</w:t>
      </w:r>
      <w:r>
        <w:t xml:space="preserve"> to Oct-31-2014.</w:t>
      </w:r>
      <w:r w:rsidR="00514A8B">
        <w:t xml:space="preserve">  Thresholds</w:t>
      </w:r>
      <w:r w:rsidR="00514A8B">
        <w:t xml:space="preserve"> </w:t>
      </w:r>
      <w:r w:rsidR="00514A8B">
        <w:t>are varied from 2</w:t>
      </w:r>
      <w:r w:rsidR="00514A8B">
        <w:t>% to 20%.</w:t>
      </w:r>
      <w:r w:rsidR="00514A8B">
        <w:t xml:space="preserve">  </w:t>
      </w:r>
      <w:r w:rsidR="00FE5C71">
        <w:t xml:space="preserve">Optimal threshold is 11.0% for VTI and 2.5% for CBO.  After-tax growth using these thresholds is </w:t>
      </w:r>
      <w:r w:rsidR="00FE5C71" w:rsidRPr="007F44B8">
        <w:rPr>
          <w:b/>
          <w:u w:val="single"/>
        </w:rPr>
        <w:t>$88836</w:t>
      </w:r>
      <w:r w:rsidR="00FE5C71">
        <w:t xml:space="preserve">.  After-tax growth with no TLH is </w:t>
      </w:r>
      <w:r w:rsidR="00FE5C71" w:rsidRPr="007F44B8">
        <w:rPr>
          <w:b/>
          <w:u w:val="single"/>
        </w:rPr>
        <w:t>$85250</w:t>
      </w:r>
      <w:r w:rsidR="00FE5C71">
        <w:t xml:space="preserve">.  </w:t>
      </w:r>
    </w:p>
    <w:p w:rsidR="00CB2C6F" w:rsidRDefault="00CB2C6F" w:rsidP="00CB2C6F">
      <w:pPr>
        <w:pStyle w:val="ListParagraph"/>
      </w:pPr>
    </w:p>
    <w:p w:rsidR="00CB2C6F" w:rsidRDefault="00766E2B" w:rsidP="00342464">
      <w:pPr>
        <w:pStyle w:val="ListParagraph"/>
        <w:numPr>
          <w:ilvl w:val="0"/>
          <w:numId w:val="6"/>
        </w:numPr>
      </w:pPr>
      <w:r>
        <w:t>Ran model on portfol</w:t>
      </w:r>
      <w:r w:rsidR="00B45A2B">
        <w:t>ios consisting of single ETFs with the following parameters:  $100,000 initial deposit, 21.08% capital tax rate during investment horizon, 10% capital tax rate at end of investment horizon.  Position is fully liquidated at end of investment horizon.</w:t>
      </w:r>
      <w:r w:rsidR="00181936">
        <w:t xml:space="preserve">  TLH threshold is varied from 2% to 20% (by 0.5% increments) to determine the optimal threshold.  Optimal in the sense that after-tax gain is maximized.</w:t>
      </w:r>
      <w:r w:rsidR="00D454FA">
        <w:t xml:space="preserve">  See next page for some graphics.</w:t>
      </w:r>
    </w:p>
    <w:p w:rsidR="00D37543" w:rsidRDefault="00D37543" w:rsidP="00D37543">
      <w:pPr>
        <w:pStyle w:val="ListParagraph"/>
      </w:pPr>
    </w:p>
    <w:p w:rsidR="00A61A64" w:rsidRDefault="00D37543" w:rsidP="00A61A64">
      <w:pPr>
        <w:pStyle w:val="ListParagraph"/>
        <w:numPr>
          <w:ilvl w:val="1"/>
          <w:numId w:val="6"/>
        </w:numPr>
      </w:pPr>
      <w:r>
        <w:t xml:space="preserve">VTI:  </w:t>
      </w:r>
      <w:r w:rsidR="00A61A64">
        <w:t xml:space="preserve"> Optimal threshold:  14.5%.  After-tax gain:  $94,747.  After-tax gain without TLH:  $78,181.</w:t>
      </w:r>
    </w:p>
    <w:p w:rsidR="007F5CDA" w:rsidRDefault="007F5CDA" w:rsidP="00A61A64">
      <w:pPr>
        <w:pStyle w:val="ListParagraph"/>
        <w:numPr>
          <w:ilvl w:val="1"/>
          <w:numId w:val="6"/>
        </w:numPr>
      </w:pPr>
      <w:r>
        <w:t xml:space="preserve">CBO:  Optimal threshold:  3.0%.  </w:t>
      </w:r>
      <w:r>
        <w:t xml:space="preserve">After-tax gain:  </w:t>
      </w:r>
      <w:r w:rsidR="00D17BFF">
        <w:t>-</w:t>
      </w:r>
      <w:r>
        <w:t>$</w:t>
      </w:r>
      <w:r w:rsidR="00D17BFF">
        <w:t>2,636</w:t>
      </w:r>
      <w:r>
        <w:t xml:space="preserve">.  After-tax gain without TLH:  </w:t>
      </w:r>
      <w:r w:rsidR="00D17BFF">
        <w:t>-</w:t>
      </w:r>
      <w:r>
        <w:t>$</w:t>
      </w:r>
      <w:r w:rsidR="00D17BFF">
        <w:t>2,820</w:t>
      </w:r>
      <w:r>
        <w:t>.</w:t>
      </w:r>
    </w:p>
    <w:p w:rsidR="00564DD6" w:rsidRDefault="00564DD6" w:rsidP="00A61A64">
      <w:pPr>
        <w:pStyle w:val="ListParagraph"/>
        <w:numPr>
          <w:ilvl w:val="1"/>
          <w:numId w:val="6"/>
        </w:numPr>
      </w:pPr>
      <w:r>
        <w:t xml:space="preserve">XIC:  </w:t>
      </w:r>
      <w:r w:rsidR="00192E8D">
        <w:t>Optimal threshold:  15</w:t>
      </w:r>
      <w:r>
        <w:t>.0%.  After-tax gain:  $</w:t>
      </w:r>
      <w:r w:rsidR="00ED1DDF">
        <w:t>8</w:t>
      </w:r>
      <w:r w:rsidR="00192E8D">
        <w:t>5</w:t>
      </w:r>
      <w:r w:rsidR="00ED1DDF">
        <w:t>,</w:t>
      </w:r>
      <w:r w:rsidR="00192E8D">
        <w:t>66</w:t>
      </w:r>
      <w:r w:rsidR="00ED1DDF">
        <w:t>0</w:t>
      </w:r>
      <w:r>
        <w:t>.  After-tax gain without TLH:  $</w:t>
      </w:r>
      <w:r w:rsidR="00192E8D">
        <w:t>74</w:t>
      </w:r>
      <w:r w:rsidR="00ED1DDF">
        <w:t>,</w:t>
      </w:r>
      <w:r w:rsidR="00192E8D">
        <w:t>22</w:t>
      </w:r>
      <w:r w:rsidR="00ED1DDF">
        <w:t>0</w:t>
      </w:r>
      <w:r>
        <w:t>.</w:t>
      </w:r>
    </w:p>
    <w:p w:rsidR="00A4757B" w:rsidRDefault="00A4757B" w:rsidP="00A4757B">
      <w:pPr>
        <w:pStyle w:val="ListParagraph"/>
        <w:numPr>
          <w:ilvl w:val="1"/>
          <w:numId w:val="6"/>
        </w:numPr>
      </w:pPr>
      <w:r>
        <w:t>IEFA</w:t>
      </w:r>
      <w:r>
        <w:t xml:space="preserve">:  Optimal threshold:  </w:t>
      </w:r>
      <w:r>
        <w:t>2</w:t>
      </w:r>
      <w:r>
        <w:t>.</w:t>
      </w:r>
      <w:r>
        <w:t>5</w:t>
      </w:r>
      <w:r>
        <w:t>%.  After-tax gain:  $</w:t>
      </w:r>
      <w:r>
        <w:t>20,151</w:t>
      </w:r>
      <w:r>
        <w:t>.  After-tax gain without TLH:  $</w:t>
      </w:r>
      <w:r>
        <w:t>19,935</w:t>
      </w:r>
      <w:r>
        <w:t>.</w:t>
      </w:r>
    </w:p>
    <w:p w:rsidR="00A4757B" w:rsidRDefault="00D521A2" w:rsidP="00A61A64">
      <w:pPr>
        <w:pStyle w:val="ListParagraph"/>
        <w:numPr>
          <w:ilvl w:val="1"/>
          <w:numId w:val="6"/>
        </w:numPr>
      </w:pPr>
      <w:r>
        <w:t xml:space="preserve">IEMG:  </w:t>
      </w:r>
      <w:r>
        <w:t xml:space="preserve">Optimal threshold:  </w:t>
      </w:r>
      <w:r>
        <w:t>4</w:t>
      </w:r>
      <w:r>
        <w:t>.5%.  After-tax gain:  $</w:t>
      </w:r>
      <w:r>
        <w:t>5</w:t>
      </w:r>
      <w:r>
        <w:t>,1</w:t>
      </w:r>
      <w:r>
        <w:t>45</w:t>
      </w:r>
      <w:r>
        <w:t>.  After-tax gain without TLH:  $</w:t>
      </w:r>
      <w:r>
        <w:t>4,125</w:t>
      </w:r>
      <w:r>
        <w:t>.</w:t>
      </w:r>
    </w:p>
    <w:p w:rsidR="00AF4D2E" w:rsidRDefault="00AF4D2E" w:rsidP="00AF4D2E">
      <w:pPr>
        <w:pStyle w:val="ListParagraph"/>
        <w:numPr>
          <w:ilvl w:val="1"/>
          <w:numId w:val="6"/>
        </w:numPr>
      </w:pPr>
      <w:r>
        <w:t>XHY</w:t>
      </w:r>
      <w:r>
        <w:t xml:space="preserve">:  Optimal threshold:  </w:t>
      </w:r>
      <w:r w:rsidR="00342ED7">
        <w:t>6</w:t>
      </w:r>
      <w:r>
        <w:t>.</w:t>
      </w:r>
      <w:r w:rsidR="00342ED7">
        <w:t>0</w:t>
      </w:r>
      <w:r>
        <w:t>%.  After-tax gain:  $</w:t>
      </w:r>
      <w:r w:rsidR="00DE64F2">
        <w:t>7,370</w:t>
      </w:r>
      <w:r>
        <w:t>.  After-tax gain without TLH:  $</w:t>
      </w:r>
      <w:r w:rsidR="00DE64F2">
        <w:t>6,596</w:t>
      </w:r>
      <w:r>
        <w:t>.</w:t>
      </w:r>
    </w:p>
    <w:p w:rsidR="00D454FA" w:rsidRDefault="00D454FA" w:rsidP="00D454FA">
      <w:pPr>
        <w:pStyle w:val="ListParagraph"/>
      </w:pPr>
    </w:p>
    <w:p w:rsidR="00D454FA" w:rsidRDefault="00D454FA" w:rsidP="00D454FA">
      <w:pPr>
        <w:pStyle w:val="ListParagraph"/>
        <w:numPr>
          <w:ilvl w:val="0"/>
          <w:numId w:val="6"/>
        </w:numPr>
      </w:pPr>
      <w:r>
        <w:t>Found some articles and blogposts on benefits of TLH:</w:t>
      </w:r>
    </w:p>
    <w:p w:rsidR="00D454FA" w:rsidRDefault="00D454FA" w:rsidP="00D454FA">
      <w:pPr>
        <w:pStyle w:val="ListParagraph"/>
        <w:numPr>
          <w:ilvl w:val="1"/>
          <w:numId w:val="6"/>
        </w:numPr>
      </w:pPr>
      <w:proofErr w:type="spellStart"/>
      <w:r>
        <w:t>Wealthfront</w:t>
      </w:r>
      <w:proofErr w:type="spellEnd"/>
      <w:r>
        <w:t xml:space="preserve"> TLH Whitepaper:  </w:t>
      </w:r>
      <w:hyperlink r:id="rId7" w:history="1">
        <w:r w:rsidRPr="00D454FA">
          <w:rPr>
            <w:rStyle w:val="Hyperlink"/>
          </w:rPr>
          <w:t>https://www.wealthfront.com/whitepap</w:t>
        </w:r>
        <w:r w:rsidRPr="00D454FA">
          <w:rPr>
            <w:rStyle w:val="Hyperlink"/>
          </w:rPr>
          <w:t>e</w:t>
        </w:r>
        <w:r w:rsidRPr="00D454FA">
          <w:rPr>
            <w:rStyle w:val="Hyperlink"/>
          </w:rPr>
          <w:t>rs/tax-loss-harvesting</w:t>
        </w:r>
      </w:hyperlink>
      <w:r>
        <w:t xml:space="preserve">.  Computes an annual Tax Alpha of about 1-2% for most scenarios.  But they neglect the (much) larger capital tax gain paid at liquidation.  </w:t>
      </w:r>
    </w:p>
    <w:p w:rsidR="003335D4" w:rsidRDefault="003335D4" w:rsidP="003335D4">
      <w:pPr>
        <w:pStyle w:val="ListParagraph"/>
        <w:numPr>
          <w:ilvl w:val="1"/>
          <w:numId w:val="6"/>
        </w:numPr>
      </w:pPr>
      <w:r>
        <w:t xml:space="preserve">Betterment TLH Whitepaper:  </w:t>
      </w:r>
      <w:hyperlink r:id="rId8" w:history="1">
        <w:r w:rsidRPr="003335D4">
          <w:rPr>
            <w:rStyle w:val="Hyperlink"/>
          </w:rPr>
          <w:t>https://www.betterment.com/resources/research/tax-loss-harvesting-white-paper/</w:t>
        </w:r>
      </w:hyperlink>
      <w:r>
        <w:t xml:space="preserve">.  </w:t>
      </w:r>
      <w:r w:rsidR="00DC5BB9">
        <w:t>Estimates a 0.77% to a typical customer’s after-tax return annually.</w:t>
      </w:r>
      <w:r w:rsidR="003F7709">
        <w:t xml:space="preserve">  They also identify types of investors who benefit most (and least) from TLH.  </w:t>
      </w:r>
    </w:p>
    <w:p w:rsidR="000040E2" w:rsidRDefault="005E7786" w:rsidP="000040E2">
      <w:pPr>
        <w:pStyle w:val="ListParagraph"/>
        <w:numPr>
          <w:ilvl w:val="1"/>
          <w:numId w:val="6"/>
        </w:numPr>
      </w:pPr>
      <w:r>
        <w:t xml:space="preserve">Michael </w:t>
      </w:r>
      <w:proofErr w:type="spellStart"/>
      <w:r>
        <w:t>Kitces’s</w:t>
      </w:r>
      <w:proofErr w:type="spellEnd"/>
      <w:r>
        <w:t xml:space="preserve"> detailed criticism to </w:t>
      </w:r>
      <w:proofErr w:type="spellStart"/>
      <w:r>
        <w:t>Wealthfront</w:t>
      </w:r>
      <w:proofErr w:type="spellEnd"/>
      <w:r>
        <w:t xml:space="preserve"> Whitepaper:  </w:t>
      </w:r>
      <w:hyperlink r:id="rId9" w:history="1">
        <w:r w:rsidRPr="005E7786">
          <w:rPr>
            <w:rStyle w:val="Hyperlink"/>
          </w:rPr>
          <w:t>http://www.kitces.com/blog/wealthfront-tax-loss-harvesting-white-paper-how-not-to-calculate-tax-alpha/</w:t>
        </w:r>
      </w:hyperlink>
      <w:r>
        <w:t xml:space="preserve">  </w:t>
      </w:r>
    </w:p>
    <w:p w:rsidR="000040E2" w:rsidRDefault="000040E2" w:rsidP="00325666">
      <w:pPr>
        <w:pStyle w:val="ListParagraph"/>
        <w:ind w:left="360"/>
      </w:pPr>
      <w:bookmarkStart w:id="0" w:name="_GoBack"/>
      <w:bookmarkEnd w:id="0"/>
    </w:p>
    <w:p w:rsidR="00D17BFF" w:rsidRDefault="00D17BFF" w:rsidP="00D17BFF"/>
    <w:p w:rsidR="00D17BFF" w:rsidRDefault="00D17BFF" w:rsidP="00D17BFF"/>
    <w:p w:rsidR="00D17BFF" w:rsidRDefault="00D17BFF" w:rsidP="00D17BFF">
      <w:r>
        <w:br w:type="page"/>
      </w:r>
    </w:p>
    <w:p w:rsidR="00285276" w:rsidRDefault="00285276" w:rsidP="00B45A2B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lastRenderedPageBreak/>
        <w:t>Graphics for 3)</w:t>
      </w:r>
    </w:p>
    <w:p w:rsidR="00B9043C" w:rsidRDefault="00B45A2B" w:rsidP="00B45A2B">
      <w:pPr>
        <w:pStyle w:val="ListParagraph"/>
        <w:rPr>
          <w:noProof/>
          <w:lang w:eastAsia="en-CA"/>
        </w:rPr>
      </w:pPr>
      <w:r w:rsidRPr="00B45A2B">
        <w:rPr>
          <w:noProof/>
          <w:lang w:eastAsia="en-CA"/>
        </w:rPr>
        <w:drawing>
          <wp:inline distT="0" distB="0" distL="0" distR="0">
            <wp:extent cx="3145536" cy="2358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09" cy="239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43C" w:rsidRPr="00B9043C">
        <w:rPr>
          <w:noProof/>
          <w:lang w:eastAsia="en-CA"/>
        </w:rPr>
        <w:t xml:space="preserve"> </w:t>
      </w:r>
      <w:r w:rsidR="00B9043C" w:rsidRPr="00B9043C">
        <w:rPr>
          <w:noProof/>
          <w:lang w:eastAsia="en-CA"/>
        </w:rPr>
        <w:drawing>
          <wp:inline distT="0" distB="0" distL="0" distR="0">
            <wp:extent cx="3123590" cy="23436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90" cy="234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3C" w:rsidRDefault="00AE7329" w:rsidP="00B9043C">
      <w:pPr>
        <w:pStyle w:val="ListParagraph"/>
      </w:pPr>
      <w:r w:rsidRPr="00AE7329">
        <w:rPr>
          <w:noProof/>
          <w:lang w:eastAsia="en-CA"/>
        </w:rPr>
        <w:drawing>
          <wp:inline distT="0" distB="0" distL="0" distR="0">
            <wp:extent cx="3189427" cy="239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13" cy="24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43C" w:rsidRPr="00B9043C">
        <w:t xml:space="preserve"> </w:t>
      </w:r>
      <w:r w:rsidR="00B9043C" w:rsidRPr="00B9043C">
        <w:rPr>
          <w:noProof/>
          <w:lang w:eastAsia="en-CA"/>
        </w:rPr>
        <w:drawing>
          <wp:inline distT="0" distB="0" distL="0" distR="0">
            <wp:extent cx="3108200" cy="23320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21" cy="23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3C" w:rsidRDefault="00564DD6" w:rsidP="00B9043C">
      <w:pPr>
        <w:pStyle w:val="ListParagraph"/>
      </w:pPr>
      <w:r w:rsidRPr="00564DD6">
        <w:rPr>
          <w:noProof/>
          <w:lang w:eastAsia="en-CA"/>
        </w:rPr>
        <w:drawing>
          <wp:inline distT="0" distB="0" distL="0" distR="0">
            <wp:extent cx="3160166" cy="2371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738" cy="23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7A9" w:rsidRPr="00ED37A9">
        <w:t xml:space="preserve"> </w:t>
      </w:r>
      <w:r w:rsidR="00ED37A9" w:rsidRPr="00ED37A9">
        <w:rPr>
          <w:noProof/>
          <w:lang w:eastAsia="en-CA"/>
        </w:rPr>
        <w:drawing>
          <wp:inline distT="0" distB="0" distL="0" distR="0">
            <wp:extent cx="3139413" cy="23554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13" cy="23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DA" w:rsidRDefault="00A4757B" w:rsidP="00B9043C">
      <w:pPr>
        <w:pStyle w:val="ListParagraph"/>
      </w:pPr>
      <w:r w:rsidRPr="00A4757B">
        <w:lastRenderedPageBreak/>
        <w:t xml:space="preserve"> </w:t>
      </w:r>
      <w:r w:rsidRPr="00A4757B">
        <w:rPr>
          <w:noProof/>
          <w:lang w:eastAsia="en-CA"/>
        </w:rPr>
        <w:drawing>
          <wp:inline distT="0" distB="0" distL="0" distR="0">
            <wp:extent cx="3158913" cy="2370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32" cy="239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6A9" w:rsidRPr="000606A9">
        <w:t xml:space="preserve"> </w:t>
      </w:r>
      <w:r w:rsidR="000606A9" w:rsidRPr="000606A9">
        <w:rPr>
          <w:noProof/>
          <w:lang w:eastAsia="en-CA"/>
        </w:rPr>
        <w:drawing>
          <wp:inline distT="0" distB="0" distL="0" distR="0">
            <wp:extent cx="3158911" cy="23701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41" cy="239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DA" w:rsidRDefault="007F5CDA" w:rsidP="007F5CDA">
      <w:pPr>
        <w:pStyle w:val="ListParagraph"/>
        <w:ind w:left="360"/>
      </w:pPr>
    </w:p>
    <w:p w:rsidR="00342464" w:rsidRDefault="00D521A2" w:rsidP="00CB2C6F">
      <w:pPr>
        <w:pStyle w:val="ListParagraph"/>
        <w:ind w:left="360"/>
      </w:pPr>
      <w:r w:rsidRPr="00D521A2">
        <w:rPr>
          <w:noProof/>
          <w:lang w:eastAsia="en-CA"/>
        </w:rPr>
        <w:drawing>
          <wp:inline distT="0" distB="0" distL="0" distR="0">
            <wp:extent cx="3314907" cy="2487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13" cy="25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1A2">
        <w:rPr>
          <w:noProof/>
          <w:lang w:eastAsia="en-CA"/>
        </w:rPr>
        <w:drawing>
          <wp:inline distT="0" distB="0" distL="0" distR="0">
            <wp:extent cx="3262580" cy="24479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23" cy="24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8C" w:rsidRDefault="003D6A8C" w:rsidP="00CB2C6F">
      <w:pPr>
        <w:pStyle w:val="ListParagraph"/>
        <w:ind w:left="360"/>
      </w:pPr>
      <w:r w:rsidRPr="003D6A8C">
        <w:rPr>
          <w:noProof/>
          <w:lang w:eastAsia="en-CA"/>
        </w:rPr>
        <w:drawing>
          <wp:inline distT="0" distB="0" distL="0" distR="0">
            <wp:extent cx="3324658" cy="24944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91" cy="25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A8C">
        <w:t xml:space="preserve"> </w:t>
      </w:r>
      <w:r w:rsidRPr="003D6A8C">
        <w:rPr>
          <w:noProof/>
          <w:lang w:eastAsia="en-CA"/>
        </w:rPr>
        <w:drawing>
          <wp:inline distT="0" distB="0" distL="0" distR="0">
            <wp:extent cx="3236912" cy="24286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99" cy="244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A8C" w:rsidSect="008723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29B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E23D9C"/>
    <w:multiLevelType w:val="hybridMultilevel"/>
    <w:tmpl w:val="6E9CD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D20C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44244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50F61F0"/>
    <w:multiLevelType w:val="hybridMultilevel"/>
    <w:tmpl w:val="331870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119FF"/>
    <w:multiLevelType w:val="hybridMultilevel"/>
    <w:tmpl w:val="48869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DB"/>
    <w:rsid w:val="000040E2"/>
    <w:rsid w:val="000606A9"/>
    <w:rsid w:val="000B3D62"/>
    <w:rsid w:val="000D61A2"/>
    <w:rsid w:val="00165447"/>
    <w:rsid w:val="00181936"/>
    <w:rsid w:val="00192E8D"/>
    <w:rsid w:val="0020458E"/>
    <w:rsid w:val="00247540"/>
    <w:rsid w:val="00254E99"/>
    <w:rsid w:val="00285276"/>
    <w:rsid w:val="00293CE7"/>
    <w:rsid w:val="002D5CEA"/>
    <w:rsid w:val="002E1B0F"/>
    <w:rsid w:val="00325666"/>
    <w:rsid w:val="003332B0"/>
    <w:rsid w:val="003335D4"/>
    <w:rsid w:val="00342464"/>
    <w:rsid w:val="00342ED7"/>
    <w:rsid w:val="00371F03"/>
    <w:rsid w:val="003C3160"/>
    <w:rsid w:val="003D2DB6"/>
    <w:rsid w:val="003D6A8C"/>
    <w:rsid w:val="003F7709"/>
    <w:rsid w:val="00403467"/>
    <w:rsid w:val="0047628B"/>
    <w:rsid w:val="00484FC9"/>
    <w:rsid w:val="004969DB"/>
    <w:rsid w:val="004B4BE2"/>
    <w:rsid w:val="004D518C"/>
    <w:rsid w:val="004D6ADB"/>
    <w:rsid w:val="00514A8B"/>
    <w:rsid w:val="00564DD6"/>
    <w:rsid w:val="005E7786"/>
    <w:rsid w:val="00646A6C"/>
    <w:rsid w:val="00666D03"/>
    <w:rsid w:val="0069096B"/>
    <w:rsid w:val="0069508B"/>
    <w:rsid w:val="006A6A02"/>
    <w:rsid w:val="00766E2B"/>
    <w:rsid w:val="007F1BD9"/>
    <w:rsid w:val="007F44B8"/>
    <w:rsid w:val="007F5CDA"/>
    <w:rsid w:val="007F77FD"/>
    <w:rsid w:val="00872395"/>
    <w:rsid w:val="008D6522"/>
    <w:rsid w:val="00A419ED"/>
    <w:rsid w:val="00A4757B"/>
    <w:rsid w:val="00A61A64"/>
    <w:rsid w:val="00A73A45"/>
    <w:rsid w:val="00A75A85"/>
    <w:rsid w:val="00AA1ABE"/>
    <w:rsid w:val="00AE7329"/>
    <w:rsid w:val="00AF4D2E"/>
    <w:rsid w:val="00B33271"/>
    <w:rsid w:val="00B3364D"/>
    <w:rsid w:val="00B3598E"/>
    <w:rsid w:val="00B45A2B"/>
    <w:rsid w:val="00B9043C"/>
    <w:rsid w:val="00C123C1"/>
    <w:rsid w:val="00C566C0"/>
    <w:rsid w:val="00C93986"/>
    <w:rsid w:val="00CB2C6F"/>
    <w:rsid w:val="00D17BFF"/>
    <w:rsid w:val="00D37543"/>
    <w:rsid w:val="00D454FA"/>
    <w:rsid w:val="00D521A2"/>
    <w:rsid w:val="00DC5BB9"/>
    <w:rsid w:val="00DE64F2"/>
    <w:rsid w:val="00E131F0"/>
    <w:rsid w:val="00E60BCE"/>
    <w:rsid w:val="00EA7E66"/>
    <w:rsid w:val="00ED1DDF"/>
    <w:rsid w:val="00ED37A9"/>
    <w:rsid w:val="00FC074B"/>
    <w:rsid w:val="00FE5C71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43C61-7DA0-449D-8B60-F64B471D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4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terment.com/resources/research/tax-loss-harvesting-white-paper/" TargetMode="Externa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s://www.wealthfront.com/whitepapers/tax-loss-harvesting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hyperlink" Target="http://www.kitces.com/blog/wealthfront-tax-loss-harvesting-white-paper-how-not-to-calculate-tax-alpha/" TargetMode="External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74</cp:revision>
  <dcterms:created xsi:type="dcterms:W3CDTF">2014-11-04T19:02:00Z</dcterms:created>
  <dcterms:modified xsi:type="dcterms:W3CDTF">2014-11-05T20:16:00Z</dcterms:modified>
</cp:coreProperties>
</file>