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HLPF: High-Level Political Forum on Sustainable Development</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6–15 July 2027 · ministerial segment 13–15 July</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27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Annual ECOSOC forum reviewing implementation of the 2030 Agenda through thematic reviews, Voluntary National Reviews and a ministerial segment. In 2027, it is followed by the four-yearly SDG Summit under the General Assembly.</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central UN platform for reviewing implementation of the 2030 Agenda and the Sustainable Development Goals.</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Voluntary National Reviews, thematic reviews and a negotiated outcome. In 2027, the negotiated outcome is expected to be the SDG Summit political declaration rather than a separate July ministerial declaration.</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July SDG reviews, VNR presentations, ministerial segment and events, followed in September 2027 by the HLPF under the General Assembly at Heads-of-State level.</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and VNR process shape official roles; negotiation input normally moves through the country’s Permanent Mission in New York and the SDG Summit political-declaration co-facilitators.</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Youth delegates can connect national SDG implementation with the multilateral review, contribute to statements or the VNR, and organize meetings and events.</w:t>
      </w:r>
    </w:p>
    <w:p>
      <w:pPr>
        <w:pStyle w:val="Heading2"/>
      </w:pPr>
      <w:r>
        <w:t>Recurring entry points</w:t>
      </w:r>
    </w:p>
    <w:p>
      <w:hyperlink r:id="rId9">
        <w:r>
          <w:rPr>
            <w:rFonts w:ascii="Times New Roman" w:hAnsi="Times New Roman" w:eastAsia="Times New Roman"/>
            <w:sz w:val="22"/>
            <w:color w:val="0563C1"/>
            <w:u w:val="single"/>
          </w:rPr>
          <w:t>Voluntary National Review country process</w:t>
        </w:r>
      </w:hyperlink>
      <w:r>
        <w:rPr>
          <w:rFonts w:ascii="Times New Roman" w:hAnsi="Times New Roman" w:eastAsia="Times New Roman"/>
          <w:b/>
          <w:i w:val="0"/>
          <w:sz w:val="22"/>
        </w:rPr>
        <w:t xml:space="preserve"> — Previous autumn–June · only for reviewing countries</w:t>
      </w:r>
      <w:r>
        <w:rPr>
          <w:rFonts w:ascii="Times New Roman" w:hAnsi="Times New Roman" w:eastAsia="Times New Roman"/>
          <w:b w:val="0"/>
          <w:i w:val="0"/>
          <w:sz w:val="22"/>
        </w:rPr>
        <w:t>. The official country list determines whether there is a VNR opening. The review is state-led and begins domestically; the New York presentation is the final stage, not the start of the process.</w:t>
      </w:r>
      <w:r>
        <w:rPr>
          <w:rFonts w:ascii="Times New Roman" w:hAnsi="Times New Roman" w:eastAsia="Times New Roman"/>
          <w:b w:val="0"/>
          <w:i/>
          <w:sz w:val="22"/>
        </w:rPr>
        <w:t xml:space="preserve"> Status: Country-specific annual list.</w:t>
      </w:r>
    </w:p>
    <w:p>
      <w:hyperlink r:id="rId9">
        <w:r>
          <w:rPr>
            <w:rFonts w:ascii="Times New Roman" w:hAnsi="Times New Roman" w:eastAsia="Times New Roman"/>
            <w:sz w:val="22"/>
            <w:color w:val="0563C1"/>
            <w:u w:val="single"/>
          </w:rPr>
          <w:t>VNR main messages and final report</w:t>
        </w:r>
      </w:hyperlink>
      <w:r>
        <w:rPr>
          <w:rFonts w:ascii="Times New Roman" w:hAnsi="Times New Roman" w:eastAsia="Times New Roman"/>
          <w:b/>
          <w:i w:val="0"/>
          <w:sz w:val="22"/>
        </w:rPr>
        <w:t xml:space="preserve"> — Spring–June · cycle-specific deadlines</w:t>
      </w:r>
      <w:r>
        <w:rPr>
          <w:rFonts w:ascii="Times New Roman" w:hAnsi="Times New Roman" w:eastAsia="Times New Roman"/>
          <w:b w:val="0"/>
          <w:i w:val="0"/>
          <w:sz w:val="22"/>
        </w:rPr>
        <w:t>. In 2025, main messages were due on 24 April and final reports on 17 June. The current handbook and VNR workshops must be checked because the deadlines are set anew.</w:t>
      </w:r>
      <w:r>
        <w:rPr>
          <w:rFonts w:ascii="Times New Roman" w:hAnsi="Times New Roman" w:eastAsia="Times New Roman"/>
          <w:b w:val="0"/>
          <w:i/>
          <w:sz w:val="22"/>
        </w:rPr>
        <w:t xml:space="preserve"> Status: 2025 official precedent.</w:t>
      </w:r>
    </w:p>
    <w:p>
      <w:hyperlink r:id="rId10">
        <w:r>
          <w:rPr>
            <w:rFonts w:ascii="Times New Roman" w:hAnsi="Times New Roman" w:eastAsia="Times New Roman"/>
            <w:sz w:val="22"/>
            <w:color w:val="0563C1"/>
            <w:u w:val="single"/>
          </w:rPr>
          <w:t>2027 SDG Summit political declaration</w:t>
        </w:r>
      </w:hyperlink>
      <w:r>
        <w:rPr>
          <w:rFonts w:ascii="Times New Roman" w:hAnsi="Times New Roman" w:eastAsia="Times New Roman"/>
          <w:b/>
          <w:i w:val="0"/>
          <w:sz w:val="22"/>
        </w:rPr>
        <w:t xml:space="preserve"> — Spring–September · 2027 timetable pending</w:t>
      </w:r>
      <w:r>
        <w:rPr>
          <w:rFonts w:ascii="Times New Roman" w:hAnsi="Times New Roman" w:eastAsia="Times New Roman"/>
          <w:b w:val="0"/>
          <w:i w:val="0"/>
          <w:sz w:val="22"/>
        </w:rPr>
        <w:t>. In an SDG Summit year, the July and September HLPF meetings are covered by one negotiated political declaration rather than a separate July ministerial declaration. In the 2023 precedent, an elements paper in February was followed by a May zero draft, June consultations, a July final draft and September adoption.</w:t>
      </w:r>
      <w:r>
        <w:rPr>
          <w:rFonts w:ascii="Times New Roman" w:hAnsi="Times New Roman" w:eastAsia="Times New Roman"/>
          <w:b w:val="0"/>
          <w:i/>
          <w:sz w:val="22"/>
        </w:rPr>
        <w:t xml:space="preserve"> Status: 2027 outcome type established; negotiation dates pending.</w:t>
      </w:r>
    </w:p>
    <w:p>
      <w:hyperlink r:id="rId11">
        <w:r>
          <w:rPr>
            <w:rFonts w:ascii="Times New Roman" w:hAnsi="Times New Roman" w:eastAsia="Times New Roman"/>
            <w:sz w:val="22"/>
            <w:color w:val="0563C1"/>
            <w:u w:val="single"/>
          </w:rPr>
          <w:t>Official side-event call</w:t>
        </w:r>
      </w:hyperlink>
      <w:r>
        <w:rPr>
          <w:rFonts w:ascii="Times New Roman" w:hAnsi="Times New Roman" w:eastAsia="Times New Roman"/>
          <w:b/>
          <w:i w:val="0"/>
          <w:sz w:val="22"/>
        </w:rPr>
        <w:t xml:space="preserve"> — Spring · exact dates change</w:t>
      </w:r>
      <w:r>
        <w:rPr>
          <w:rFonts w:ascii="Times New Roman" w:hAnsi="Times New Roman" w:eastAsia="Times New Roman"/>
          <w:b w:val="0"/>
          <w:i w:val="0"/>
          <w:sz w:val="22"/>
        </w:rPr>
        <w:t>. In 2025, applications closed on 9 May and approval notification was expected by 6 June. The annual guidelines define eligibility and format.</w:t>
      </w:r>
      <w:r>
        <w:rPr>
          <w:rFonts w:ascii="Times New Roman" w:hAnsi="Times New Roman" w:eastAsia="Times New Roman"/>
          <w:b w:val="0"/>
          <w:i/>
          <w:sz w:val="22"/>
        </w:rPr>
        <w:t xml:space="preserve"> Status: 2025 official precedent.</w:t>
      </w:r>
    </w:p>
    <w:p>
      <w:hyperlink r:id="rId12">
        <w:r>
          <w:rPr>
            <w:rFonts w:ascii="Times New Roman" w:hAnsi="Times New Roman" w:eastAsia="Times New Roman"/>
            <w:sz w:val="22"/>
            <w:color w:val="0563C1"/>
            <w:u w:val="single"/>
          </w:rPr>
          <w:t>VNR Labs</w:t>
        </w:r>
      </w:hyperlink>
      <w:r>
        <w:rPr>
          <w:rFonts w:ascii="Times New Roman" w:hAnsi="Times New Roman" w:eastAsia="Times New Roman"/>
          <w:b/>
          <w:i w:val="0"/>
          <w:sz w:val="22"/>
        </w:rPr>
        <w:t xml:space="preserve"> — HLPF week</w:t>
      </w:r>
      <w:r>
        <w:rPr>
          <w:rFonts w:ascii="Times New Roman" w:hAnsi="Times New Roman" w:eastAsia="Times New Roman"/>
          <w:b w:val="0"/>
          <w:i w:val="0"/>
          <w:sz w:val="22"/>
        </w:rPr>
        <w:t>. VNR Labs are informal spaces for candid exchange on VNR practice. They are distinct from formal country presentations, declaration negotiations and side events.</w:t>
      </w:r>
      <w:r>
        <w:rPr>
          <w:rFonts w:ascii="Times New Roman" w:hAnsi="Times New Roman" w:eastAsia="Times New Roman"/>
          <w:b w:val="0"/>
          <w:i/>
          <w:sz w:val="22"/>
        </w:rPr>
        <w:t xml:space="preserve"> Status: Recurring HLPF event format.</w:t>
      </w:r>
    </w:p>
    <w:p>
      <w:pPr>
        <w:pStyle w:val="Heading1"/>
      </w:pPr>
      <w:r>
        <w:t>UNYD participation</w:t>
      </w:r>
    </w:p>
    <w:p>
      <w:pPr>
        <w:pStyle w:val="ListBullet"/>
      </w:pPr>
      <w:r>
        <w:rPr>
          <w:rFonts w:ascii="Times New Roman" w:hAnsi="Times New Roman" w:eastAsia="Times New Roman"/>
          <w:b w:val="0"/>
          <w:i w:val="0"/>
          <w:sz w:val="22"/>
        </w:rPr>
        <w:t>UN Youth Delegate participation normally depends on the national delegation, especially where the country presents a Voluntary National Review.</w:t>
      </w:r>
    </w:p>
    <w:p>
      <w:pPr>
        <w:pStyle w:val="ListBullet"/>
      </w:pPr>
      <w:r>
        <w:rPr>
          <w:rFonts w:ascii="Times New Roman" w:hAnsi="Times New Roman" w:eastAsia="Times New Roman"/>
          <w:b w:val="0"/>
          <w:i w:val="0"/>
          <w:sz w:val="22"/>
        </w:rPr>
        <w:t>Possible roles include VNR preparation, delegation briefings, thematic sessions, statements, bilateral meetings and side events.</w:t>
      </w:r>
    </w:p>
    <w:p>
      <w:pPr>
        <w:pStyle w:val="ListBullet"/>
      </w:pPr>
      <w:r>
        <w:rPr>
          <w:rFonts w:ascii="Times New Roman" w:hAnsi="Times New Roman" w:eastAsia="Times New Roman"/>
          <w:b w:val="0"/>
          <w:i w:val="0"/>
          <w:sz w:val="22"/>
        </w:rPr>
        <w:t>Some countries appoint separate sustainable-development youth delegates; those roles should not be attributed to a general UN Youth Delegate without verification.</w:t>
      </w:r>
    </w:p>
    <w:p>
      <w:pPr>
        <w:pStyle w:val="Heading1"/>
      </w:pPr>
      <w:r>
        <w:t>Session structure</w:t>
      </w:r>
    </w:p>
    <w:p>
      <w:pPr>
        <w:pStyle w:val="ListBullet"/>
      </w:pPr>
      <w:r>
        <w:rPr>
          <w:rFonts w:ascii="Times New Roman" w:hAnsi="Times New Roman" w:eastAsia="Times New Roman"/>
          <w:b/>
          <w:i w:val="0"/>
          <w:sz w:val="22"/>
        </w:rPr>
        <w:t xml:space="preserve">Before July — National preparation: </w:t>
      </w:r>
      <w:r>
        <w:rPr>
          <w:rFonts w:ascii="Times New Roman" w:hAnsi="Times New Roman" w:eastAsia="Times New Roman"/>
          <w:b w:val="0"/>
          <w:i w:val="0"/>
          <w:sz w:val="22"/>
        </w:rPr>
        <w:t>VNR work, SDG review and delegation coordination</w:t>
      </w:r>
    </w:p>
    <w:p>
      <w:pPr>
        <w:pStyle w:val="ListBullet"/>
      </w:pPr>
      <w:r>
        <w:rPr>
          <w:rFonts w:ascii="Times New Roman" w:hAnsi="Times New Roman" w:eastAsia="Times New Roman"/>
          <w:b/>
          <w:i w:val="0"/>
          <w:sz w:val="22"/>
        </w:rPr>
        <w:t xml:space="preserve">6 July — Opening: </w:t>
      </w:r>
      <w:r>
        <w:rPr>
          <w:rFonts w:ascii="Times New Roman" w:hAnsi="Times New Roman" w:eastAsia="Times New Roman"/>
          <w:b w:val="0"/>
          <w:i w:val="0"/>
          <w:sz w:val="22"/>
        </w:rPr>
        <w:t>Opening and start of thematic review</w:t>
      </w:r>
    </w:p>
    <w:p>
      <w:pPr>
        <w:pStyle w:val="ListBullet"/>
      </w:pPr>
      <w:r>
        <w:rPr>
          <w:rFonts w:ascii="Times New Roman" w:hAnsi="Times New Roman" w:eastAsia="Times New Roman"/>
          <w:b/>
          <w:i w:val="0"/>
          <w:sz w:val="22"/>
        </w:rPr>
        <w:t xml:space="preserve">6–15 July — Thematic reviews and VNRs: </w:t>
      </w:r>
      <w:r>
        <w:rPr>
          <w:rFonts w:ascii="Times New Roman" w:hAnsi="Times New Roman" w:eastAsia="Times New Roman"/>
          <w:b w:val="0"/>
          <w:i w:val="0"/>
          <w:sz w:val="22"/>
        </w:rPr>
        <w:t>SDG sessions, national reviews and side events</w:t>
      </w:r>
    </w:p>
    <w:p>
      <w:pPr>
        <w:pStyle w:val="ListBullet"/>
      </w:pPr>
      <w:r>
        <w:rPr>
          <w:rFonts w:ascii="Times New Roman" w:hAnsi="Times New Roman" w:eastAsia="Times New Roman"/>
          <w:b/>
          <w:i w:val="0"/>
          <w:sz w:val="22"/>
        </w:rPr>
        <w:t xml:space="preserve">13–15 July — Ministerial segment: </w:t>
      </w:r>
      <w:r>
        <w:rPr>
          <w:rFonts w:ascii="Times New Roman" w:hAnsi="Times New Roman" w:eastAsia="Times New Roman"/>
          <w:b w:val="0"/>
          <w:i w:val="0"/>
          <w:sz w:val="22"/>
        </w:rPr>
        <w:t>Ministerial meetings; 2027 feeds into the single SDG Summit political declaration rather than a separate July ministerial declaration</w:t>
      </w:r>
    </w:p>
    <w:p>
      <w:pPr>
        <w:pStyle w:val="ListBullet"/>
      </w:pPr>
      <w:r>
        <w:rPr>
          <w:rFonts w:ascii="Times New Roman" w:hAnsi="Times New Roman" w:eastAsia="Times New Roman"/>
          <w:b/>
          <w:i w:val="0"/>
          <w:sz w:val="22"/>
        </w:rPr>
        <w:t xml:space="preserve">September · date TBC — SDG Summit: </w:t>
      </w:r>
      <w:r>
        <w:rPr>
          <w:rFonts w:ascii="Times New Roman" w:hAnsi="Times New Roman" w:eastAsia="Times New Roman"/>
          <w:b w:val="0"/>
          <w:i w:val="0"/>
          <w:sz w:val="22"/>
        </w:rPr>
        <w:t>Heads-of-State HLPF under the General Assembly and action on the negotiated political declaration</w:t>
      </w:r>
    </w:p>
    <w:p>
      <w:pPr>
        <w:pStyle w:val="Heading1"/>
      </w:pPr>
      <w:r>
        <w:t>Preparation and negotiation calendar</w:t>
      </w:r>
    </w:p>
    <w:p>
      <w:r>
        <w:t>Because 2027 is an SDG Summit year, the ordinary July ministerial-declaration sequence is not projected. The political-declaration bars use the 2023 Summit cycle only as a precedent; the 2027 co-facilitator timetable is still pending.</w:t>
      </w:r>
    </w:p>
    <w:p>
      <w:pPr>
        <w:pStyle w:val="ListBullet"/>
      </w:pPr>
      <w:r>
        <w:rPr>
          <w:rFonts w:ascii="Times New Roman" w:hAnsi="Times New Roman" w:eastAsia="Times New Roman"/>
          <w:b/>
          <w:i w:val="0"/>
          <w:sz w:val="22"/>
        </w:rPr>
        <w:t xml:space="preserve">SDG Summit political-declaration zero draft — 2027-05-03 to 2027-05-14: </w:t>
      </w:r>
      <w:r>
        <w:rPr>
          <w:rFonts w:ascii="Times New Roman" w:hAnsi="Times New Roman" w:eastAsia="Times New Roman"/>
          <w:b w:val="0"/>
          <w:i w:val="0"/>
          <w:sz w:val="22"/>
        </w:rPr>
        <w:t>The 2023 Summit precedent placed the zero draft on 8 May. The 2027 co-facilitators have not yet published a timetable. Status: recent cycle.</w:t>
      </w:r>
    </w:p>
    <w:p>
      <w:pPr>
        <w:pStyle w:val="ListBullet"/>
      </w:pPr>
      <w:r>
        <w:rPr>
          <w:rFonts w:ascii="Times New Roman" w:hAnsi="Times New Roman" w:eastAsia="Times New Roman"/>
          <w:b/>
          <w:i w:val="0"/>
          <w:sz w:val="22"/>
        </w:rPr>
        <w:t xml:space="preserve">Political-declaration consultations and revisions — 2027-06-01 to 2027-07-23: </w:t>
      </w:r>
      <w:r>
        <w:rPr>
          <w:rFonts w:ascii="Times New Roman" w:hAnsi="Times New Roman" w:eastAsia="Times New Roman"/>
          <w:b w:val="0"/>
          <w:i w:val="0"/>
          <w:sz w:val="22"/>
        </w:rPr>
        <w:t>The 2023 precedent used June consultations and a final draft in July. These dates are an early-warning range, not a 2027 deadline. Status: recent cycle.</w:t>
      </w:r>
    </w:p>
    <w:p>
      <w:pPr>
        <w:pStyle w:val="ListBullet"/>
      </w:pPr>
      <w:r>
        <w:rPr>
          <w:rFonts w:ascii="Times New Roman" w:hAnsi="Times New Roman" w:eastAsia="Times New Roman"/>
          <w:b/>
          <w:i w:val="0"/>
          <w:sz w:val="22"/>
        </w:rPr>
        <w:t xml:space="preserve">HLPF — 2027-07-06 to 2027-07-15: </w:t>
      </w:r>
      <w:r>
        <w:rPr>
          <w:rFonts w:ascii="Times New Roman" w:hAnsi="Times New Roman" w:eastAsia="Times New Roman"/>
          <w:b w:val="0"/>
          <w:i w:val="0"/>
          <w:sz w:val="22"/>
        </w:rPr>
        <w:t>Official provisional forum dates. Status: official.</w:t>
      </w:r>
    </w:p>
    <w:p>
      <w:pPr>
        <w:pStyle w:val="ListBullet"/>
      </w:pPr>
      <w:r>
        <w:rPr>
          <w:rFonts w:ascii="Times New Roman" w:hAnsi="Times New Roman" w:eastAsia="Times New Roman"/>
          <w:b/>
          <w:i w:val="0"/>
          <w:sz w:val="22"/>
        </w:rPr>
        <w:t xml:space="preserve">SDG Summit — 2027-09-20 to 2027-09-22: </w:t>
      </w:r>
      <w:r>
        <w:rPr>
          <w:rFonts w:ascii="Times New Roman" w:hAnsi="Times New Roman" w:eastAsia="Times New Roman"/>
          <w:b w:val="0"/>
          <w:i w:val="0"/>
          <w:sz w:val="22"/>
        </w:rPr>
        <w:t>The Heads-of-State HLPF under the General Assembly will take place in September 2027. Exact dates are not yet published. Status: tentative.</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July ECOSOC HLPF includes thematic reviews and Voluntary National Reviews. Because 2027 is also an SDG Summit year, the cycle is expected to have one negotiated political declaration covering the July and September HLPF meetings, rather than a separate July ministerial declaration, following the rule and 2023 precedent.</w:t>
      </w:r>
    </w:p>
    <w:p>
      <w:pPr>
        <w:pStyle w:val="Heading2"/>
      </w:pPr>
      <w:r>
        <w:t>Watch for</w:t>
      </w:r>
    </w:p>
    <w:p>
      <w:pPr>
        <w:pStyle w:val="ListBullet"/>
      </w:pPr>
      <w:r>
        <w:rPr>
          <w:rFonts w:ascii="Times New Roman" w:hAnsi="Times New Roman" w:eastAsia="Times New Roman"/>
          <w:b w:val="0"/>
          <w:i w:val="0"/>
          <w:sz w:val="22"/>
        </w:rPr>
        <w:t>The official VNR country list and each reviewing country’s national consultation timetable. VNRs are state-led and country-specific; the New York presentation is the final stage of a longer domestic process.</w:t>
      </w:r>
    </w:p>
    <w:p>
      <w:pPr>
        <w:pStyle w:val="ListBullet"/>
      </w:pPr>
      <w:r>
        <w:rPr>
          <w:rFonts w:ascii="Times New Roman" w:hAnsi="Times New Roman" w:eastAsia="Times New Roman"/>
          <w:b w:val="0"/>
          <w:i w:val="0"/>
          <w:sz w:val="22"/>
        </w:rPr>
        <w:t>The VNR main-messages and final-report deadlines. In the 2025 cycle these were 24 April and 17 June; each year’s handbook and workshops set new dates.</w:t>
      </w:r>
    </w:p>
    <w:p>
      <w:pPr>
        <w:pStyle w:val="ListBullet"/>
      </w:pPr>
      <w:r>
        <w:rPr>
          <w:rFonts w:ascii="Times New Roman" w:hAnsi="Times New Roman" w:eastAsia="Times New Roman"/>
          <w:b w:val="0"/>
          <w:i w:val="0"/>
          <w:sz w:val="22"/>
        </w:rPr>
        <w:t>The SDGs under review in 2027: Goals 4, 10, 12, 15 and 17, plus the connection to the September 2027 SDG Summit.</w:t>
      </w:r>
    </w:p>
    <w:p>
      <w:pPr>
        <w:pStyle w:val="ListBullet"/>
      </w:pPr>
      <w:r>
        <w:rPr>
          <w:rFonts w:ascii="Times New Roman" w:hAnsi="Times New Roman" w:eastAsia="Times New Roman"/>
          <w:b w:val="0"/>
          <w:i w:val="0"/>
          <w:sz w:val="22"/>
        </w:rPr>
        <w:t>The 2027 SDG Summit political-declaration timetable: General Assembly co-facilitators, elements paper, zero draft, consultations, revisions and final text. The 2027 timetable is not yet published.</w:t>
      </w:r>
    </w:p>
    <w:p>
      <w:pPr>
        <w:pStyle w:val="ListBullet"/>
      </w:pPr>
      <w:r>
        <w:rPr>
          <w:rFonts w:ascii="Times New Roman" w:hAnsi="Times New Roman" w:eastAsia="Times New Roman"/>
          <w:b w:val="0"/>
          <w:i w:val="0"/>
          <w:sz w:val="22"/>
        </w:rPr>
        <w:t>The official side-event call and the VNR Lab programme. In 2025, side-event applications closed on 9 May and approvals were expected by 6 June.</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If the country is presenting a VNR, enter the national process as soon as it opens—often in the preceding autumn. For the 2027 SDG Summit political declaration, contact your country’s Permanent Mission in New York when the General Assembly appoints co-facilitators and publishes the consultation timetable.</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Use the national VNR ministry for the country review and your country’s Permanent Mission in New York for the SDG Summit political declaration and official delegation. These are distinct channels with separate schedules.</w:t>
      </w:r>
    </w:p>
    <w:p>
      <w:pPr>
        <w:pStyle w:val="Heading2"/>
      </w:pPr>
      <w:r>
        <w:t>Negotiation and language resources</w:t>
      </w:r>
    </w:p>
    <w:p>
      <w:pPr>
        <w:pStyle w:val="ListBullet"/>
      </w:pPr>
      <w:hyperlink r:id="rId13">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4">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Previous autumn — </w:t>
      </w:r>
      <w:hyperlink r:id="rId9">
        <w:r>
          <w:rPr>
            <w:rFonts w:ascii="Times New Roman" w:hAnsi="Times New Roman" w:eastAsia="Times New Roman"/>
            <w:sz w:val="22"/>
            <w:color w:val="0563C1"/>
            <w:u w:val="single"/>
          </w:rPr>
          <w:t>Official VNR country list</w:t>
        </w:r>
      </w:hyperlink>
      <w:r>
        <w:rPr>
          <w:rFonts w:ascii="Times New Roman" w:hAnsi="Times New Roman" w:eastAsia="Times New Roman"/>
          <w:b w:val="0"/>
          <w:i w:val="0"/>
          <w:sz w:val="22"/>
        </w:rPr>
        <w:t>: The invitation for the 2026 cycle requested expressions of interest by 30 September 2025. Once the list is published, check whether the country is reviewing and identify the national coordinating ministry; the date is set anew each cycle.</w:t>
      </w:r>
    </w:p>
    <w:p>
      <w:pPr>
        <w:pStyle w:val="ListBullet"/>
      </w:pPr>
      <w:r>
        <w:rPr>
          <w:rFonts w:ascii="Times New Roman" w:hAnsi="Times New Roman" w:eastAsia="Times New Roman"/>
          <w:b/>
          <w:i w:val="0"/>
          <w:sz w:val="22"/>
        </w:rPr>
        <w:t xml:space="preserve">National cycle · often autumn–June — </w:t>
      </w:r>
      <w:hyperlink r:id="rId9">
        <w:r>
          <w:rPr>
            <w:rFonts w:ascii="Times New Roman" w:hAnsi="Times New Roman" w:eastAsia="Times New Roman"/>
            <w:sz w:val="22"/>
            <w:color w:val="0563C1"/>
            <w:u w:val="single"/>
          </w:rPr>
          <w:t>VNR consultation, main messages and final report</w:t>
        </w:r>
      </w:hyperlink>
      <w:r>
        <w:rPr>
          <w:rFonts w:ascii="Times New Roman" w:hAnsi="Times New Roman" w:eastAsia="Times New Roman"/>
          <w:b w:val="0"/>
          <w:i w:val="0"/>
          <w:sz w:val="22"/>
        </w:rPr>
        <w:t>: The process is state-led and country-specific. In 2025, main messages were due on 24 April and final VNR reports on 17 June; use the current handbook or workshop material before relying on those precedent dates.</w:t>
      </w:r>
    </w:p>
    <w:p>
      <w:pPr>
        <w:pStyle w:val="ListBullet"/>
      </w:pPr>
      <w:r>
        <w:rPr>
          <w:rFonts w:ascii="Times New Roman" w:hAnsi="Times New Roman" w:eastAsia="Times New Roman"/>
          <w:b/>
          <w:i w:val="0"/>
          <w:sz w:val="22"/>
        </w:rPr>
        <w:t xml:space="preserve">When appointed · 2027 dates pending — </w:t>
      </w:r>
      <w:hyperlink r:id="rId10">
        <w:r>
          <w:rPr>
            <w:rFonts w:ascii="Times New Roman" w:hAnsi="Times New Roman" w:eastAsia="Times New Roman"/>
            <w:sz w:val="22"/>
            <w:color w:val="0563C1"/>
            <w:u w:val="single"/>
          </w:rPr>
          <w:t>SDG Summit political-declaration co-facilitators</w:t>
        </w:r>
      </w:hyperlink>
      <w:r>
        <w:rPr>
          <w:rFonts w:ascii="Times New Roman" w:hAnsi="Times New Roman" w:eastAsia="Times New Roman"/>
          <w:b w:val="0"/>
          <w:i w:val="0"/>
          <w:sz w:val="22"/>
        </w:rPr>
        <w:t>: The President of the General Assembly appoints the co-facilitators and they publish the consultation timetable. In the 2023 precedent, the elements paper appeared on 28 February; that date is not a standing 2027 deadline.</w:t>
      </w:r>
    </w:p>
    <w:p>
      <w:pPr>
        <w:pStyle w:val="ListBullet"/>
      </w:pPr>
      <w:r>
        <w:rPr>
          <w:rFonts w:ascii="Times New Roman" w:hAnsi="Times New Roman" w:eastAsia="Times New Roman"/>
          <w:b/>
          <w:i w:val="0"/>
          <w:sz w:val="22"/>
        </w:rPr>
        <w:t xml:space="preserve">Spring–summer · 2023 precedent — </w:t>
      </w:r>
      <w:hyperlink r:id="rId10">
        <w:r>
          <w:rPr>
            <w:rFonts w:ascii="Times New Roman" w:hAnsi="Times New Roman" w:eastAsia="Times New Roman"/>
            <w:sz w:val="22"/>
            <w:color w:val="0563C1"/>
            <w:u w:val="single"/>
          </w:rPr>
          <w:t>Political-declaration zero draft and consultations</w:t>
        </w:r>
      </w:hyperlink>
      <w:r>
        <w:rPr>
          <w:rFonts w:ascii="Times New Roman" w:hAnsi="Times New Roman" w:eastAsia="Times New Roman"/>
          <w:b w:val="0"/>
          <w:i w:val="0"/>
          <w:sz w:val="22"/>
        </w:rPr>
        <w:t>: For the 2023 SDG Summit, the zero draft appeared on 8 May, a revised zero draft on 8 June and the final draft on 19 July before September adoption. Use the eventual 2027 co-facilitator timetable rather than projecting those dates as official.</w:t>
      </w:r>
    </w:p>
    <w:p>
      <w:pPr>
        <w:pStyle w:val="ListBullet"/>
      </w:pPr>
      <w:r>
        <w:rPr>
          <w:rFonts w:ascii="Times New Roman" w:hAnsi="Times New Roman" w:eastAsia="Times New Roman"/>
          <w:b/>
          <w:i w:val="0"/>
          <w:sz w:val="22"/>
        </w:rPr>
        <w:t xml:space="preserve">Spring · if applying — </w:t>
      </w:r>
      <w:hyperlink r:id="rId11">
        <w:r>
          <w:rPr>
            <w:rFonts w:ascii="Times New Roman" w:hAnsi="Times New Roman" w:eastAsia="Times New Roman"/>
            <w:sz w:val="22"/>
            <w:color w:val="0563C1"/>
            <w:u w:val="single"/>
          </w:rPr>
          <w:t>Official HLPF side-event call</w:t>
        </w:r>
      </w:hyperlink>
      <w:r>
        <w:rPr>
          <w:rFonts w:ascii="Times New Roman" w:hAnsi="Times New Roman" w:eastAsia="Times New Roman"/>
          <w:b w:val="0"/>
          <w:i w:val="0"/>
          <w:sz w:val="22"/>
        </w:rPr>
        <w:t>: The 2025 application deadline was 9 May and approval notification was expected by 6 June. These are dated precedents, not standing deadlines.</w:t>
      </w:r>
    </w:p>
    <w:p>
      <w:pPr>
        <w:pStyle w:val="ListBullet"/>
      </w:pPr>
      <w:r>
        <w:rPr>
          <w:rFonts w:ascii="Times New Roman" w:hAnsi="Times New Roman" w:eastAsia="Times New Roman"/>
          <w:b/>
          <w:i w:val="0"/>
          <w:sz w:val="22"/>
        </w:rPr>
        <w:t xml:space="preserve">July — </w:t>
      </w:r>
      <w:hyperlink r:id="rId12">
        <w:r>
          <w:rPr>
            <w:rFonts w:ascii="Times New Roman" w:hAnsi="Times New Roman" w:eastAsia="Times New Roman"/>
            <w:sz w:val="22"/>
            <w:color w:val="0563C1"/>
            <w:u w:val="single"/>
          </w:rPr>
          <w:t>VNR presentations, VNR Labs and official events</w:t>
        </w:r>
      </w:hyperlink>
      <w:r>
        <w:rPr>
          <w:rFonts w:ascii="Times New Roman" w:hAnsi="Times New Roman" w:eastAsia="Times New Roman"/>
          <w:b w:val="0"/>
          <w:i w:val="0"/>
          <w:sz w:val="22"/>
        </w:rPr>
        <w:t>: Use the programme to distinguish formal VNR presentations from VNR Labs, which are informal spaces for candid exchange, and from separately approved side events.</w:t>
      </w:r>
    </w:p>
    <w:p>
      <w:pPr>
        <w:pStyle w:val="ListBullet"/>
      </w:pPr>
      <w:r>
        <w:rPr>
          <w:rFonts w:ascii="Times New Roman" w:hAnsi="Times New Roman" w:eastAsia="Times New Roman"/>
          <w:b/>
          <w:i w:val="0"/>
          <w:sz w:val="22"/>
        </w:rPr>
        <w:t xml:space="preserve">September 2027 · exact dates pending — </w:t>
      </w:r>
      <w:hyperlink r:id="rId15">
        <w:r>
          <w:rPr>
            <w:rFonts w:ascii="Times New Roman" w:hAnsi="Times New Roman" w:eastAsia="Times New Roman"/>
            <w:sz w:val="22"/>
            <w:color w:val="0563C1"/>
            <w:u w:val="single"/>
          </w:rPr>
          <w:t>SDG Summit and political declaration</w:t>
        </w:r>
      </w:hyperlink>
      <w:r>
        <w:rPr>
          <w:rFonts w:ascii="Times New Roman" w:hAnsi="Times New Roman" w:eastAsia="Times New Roman"/>
          <w:b w:val="0"/>
          <w:i w:val="0"/>
          <w:sz w:val="22"/>
        </w:rPr>
        <w:t>: The HLPF meets under the General Assembly at Heads-of-State level. The official 2027 page and General Assembly programme will confirm the Summit dates and action on the negotiated political declaration.</w:t>
      </w:r>
    </w:p>
    <w:p>
      <w:pPr>
        <w:pStyle w:val="Heading1"/>
      </w:pPr>
      <w:r>
        <w:t>Examples</w:t>
      </w:r>
    </w:p>
    <w:p>
      <w:r>
        <w:t>No verified public example is currently included on the website for this process.</w:t>
      </w:r>
    </w:p>
    <w:p>
      <w:pPr>
        <w:pStyle w:val="Heading1"/>
      </w:pPr>
      <w:r>
        <w:t>Contacts</w:t>
      </w:r>
    </w:p>
    <w:p>
      <w:pPr>
        <w:pStyle w:val="ListBullet"/>
      </w:pPr>
      <w:r>
        <w:rPr>
          <w:rFonts w:ascii="Times New Roman" w:hAnsi="Times New Roman" w:eastAsia="Times New Roman"/>
          <w:b/>
          <w:i w:val="0"/>
          <w:sz w:val="22"/>
        </w:rPr>
        <w:t xml:space="preserve">UN DESA · HLPF Secretariat: </w:t>
      </w:r>
      <w:r>
        <w:rPr>
          <w:rFonts w:ascii="Times New Roman" w:hAnsi="Times New Roman" w:eastAsia="Times New Roman"/>
          <w:b w:val="0"/>
          <w:i w:val="0"/>
          <w:sz w:val="22"/>
        </w:rPr>
        <w:t xml:space="preserve">General HLPF enquiries — </w:t>
      </w:r>
      <w:hyperlink r:id="rId16">
        <w:r>
          <w:rPr>
            <w:rFonts w:ascii="Times New Roman" w:hAnsi="Times New Roman" w:eastAsia="Times New Roman"/>
            <w:sz w:val="22"/>
            <w:color w:val="0563C1"/>
            <w:u w:val="single"/>
          </w:rPr>
          <w:t>hlpf@un.org</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7">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18">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19">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15">
        <w:r>
          <w:rPr>
            <w:rFonts w:ascii="Times New Roman" w:hAnsi="Times New Roman" w:eastAsia="Times New Roman"/>
            <w:sz w:val="22"/>
            <w:color w:val="0563C1"/>
            <w:u w:val="single"/>
          </w:rPr>
          <w:t>HLPF official overview and 2027 cycle</w:t>
        </w:r>
      </w:hyperlink>
    </w:p>
    <w:p>
      <w:pPr>
        <w:pStyle w:val="ListBullet"/>
      </w:pPr>
      <w:hyperlink r:id="rId20">
        <w:r>
          <w:rPr>
            <w:rFonts w:ascii="Times New Roman" w:hAnsi="Times New Roman" w:eastAsia="Times New Roman"/>
            <w:sz w:val="22"/>
            <w:color w:val="0563C1"/>
            <w:u w:val="single"/>
          </w:rPr>
          <w:t>HLPF Secretariat</w:t>
        </w:r>
      </w:hyperlink>
    </w:p>
    <w:p>
      <w:pPr>
        <w:pStyle w:val="ListBullet"/>
      </w:pPr>
      <w:hyperlink r:id="rId21">
        <w:r>
          <w:rPr>
            <w:rFonts w:ascii="Times New Roman" w:hAnsi="Times New Roman" w:eastAsia="Times New Roman"/>
            <w:sz w:val="22"/>
            <w:color w:val="0563C1"/>
            <w:u w:val="single"/>
          </w:rPr>
          <w:t>HLPF Handbook</w:t>
        </w:r>
      </w:hyperlink>
    </w:p>
    <w:p>
      <w:pPr>
        <w:pStyle w:val="ListBullet"/>
      </w:pPr>
      <w:hyperlink r:id="rId22">
        <w:r>
          <w:rPr>
            <w:rFonts w:ascii="Times New Roman" w:hAnsi="Times New Roman" w:eastAsia="Times New Roman"/>
            <w:sz w:val="22"/>
            <w:color w:val="0563C1"/>
            <w:u w:val="single"/>
          </w:rPr>
          <w:t>ECOSOC 2026–2027 provisional calendar</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lpf.un.org/vnrs" TargetMode="External"/><Relationship Id="rId10" Type="http://schemas.openxmlformats.org/officeDocument/2006/relationships/hyperlink" Target="https://www.un.org/en/conferences/SDGSummit2023/political-declaration" TargetMode="External"/><Relationship Id="rId11" Type="http://schemas.openxmlformats.org/officeDocument/2006/relationships/hyperlink" Target="https://hlpf.un.org/sites/default/files/2025-07/HLPF%202025%20Guidelines%20Side%20Events.pdf" TargetMode="External"/><Relationship Id="rId12" Type="http://schemas.openxmlformats.org/officeDocument/2006/relationships/hyperlink" Target="https://hlpf.un.org/2025/events" TargetMode="External"/><Relationship Id="rId13" Type="http://schemas.openxmlformats.org/officeDocument/2006/relationships/hyperlink" Target="https://docs.google.com/document/d/1ieNXyo4w0Q6Q5sOg9TjoX4l19ny9eXKhLkD-XyATjQk/edit" TargetMode="External"/><Relationship Id="rId14" Type="http://schemas.openxmlformats.org/officeDocument/2006/relationships/hyperlink" Target="https://docs.google.com/presentation/d/1uIk5GrBEQ-TFYGFgR9M8jybopsfCVEzznZ8vp4kY22E/edit" TargetMode="External"/><Relationship Id="rId15" Type="http://schemas.openxmlformats.org/officeDocument/2006/relationships/hyperlink" Target="https://hlpf.un.org/" TargetMode="External"/><Relationship Id="rId16" Type="http://schemas.openxmlformats.org/officeDocument/2006/relationships/hyperlink" Target="mailto:hlpf@un.org" TargetMode="External"/><Relationship Id="rId17" Type="http://schemas.openxmlformats.org/officeDocument/2006/relationships/hyperlink" Target="mailto:youthaffairs@un.org" TargetMode="External"/><Relationship Id="rId18" Type="http://schemas.openxmlformats.org/officeDocument/2006/relationships/hyperlink" Target="mailto:youth@un.org" TargetMode="External"/><Relationship Id="rId19" Type="http://schemas.openxmlformats.org/officeDocument/2006/relationships/hyperlink" Target="mailto:unyds.workinggroup@gmail.com" TargetMode="External"/><Relationship Id="rId20" Type="http://schemas.openxmlformats.org/officeDocument/2006/relationships/hyperlink" Target="https://hlpf.un.org/secretariat" TargetMode="External"/><Relationship Id="rId21" Type="http://schemas.openxmlformats.org/officeDocument/2006/relationships/hyperlink" Target="https://hlpf.un.org/sites/default/files/2025-07/HLPF%20Handbook_14%20July%5B24%5D.pdf" TargetMode="External"/><Relationship Id="rId22" Type="http://schemas.openxmlformats.org/officeDocument/2006/relationships/hyperlink" Target="https://documents.un.org/api/symbol/access?l=en&amp;s=E%2F2025%2F47&amp;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HLPF: High-Level Political Forum on Sustainable Development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