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sz w:val="22"/>
        </w:rPr>
        <w:t>HRC: Human Rights Council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Location: </w:t>
      </w:r>
      <w:r>
        <w:rPr>
          <w:rFonts w:ascii="Times New Roman" w:hAnsi="Times New Roman" w:eastAsia="Times New Roman"/>
          <w:b w:val="0"/>
          <w:i w:val="0"/>
          <w:sz w:val="22"/>
        </w:rPr>
        <w:t>Geneva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2027 date or window: </w:t>
      </w:r>
      <w:r>
        <w:rPr>
          <w:rFonts w:ascii="Times New Roman" w:hAnsi="Times New Roman" w:eastAsia="Times New Roman"/>
          <w:b w:val="0"/>
          <w:i w:val="0"/>
          <w:sz w:val="22"/>
        </w:rPr>
        <w:t>24 February–2 April · 14 June–9 July · 6 September–8 October 2027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Date status: </w:t>
      </w:r>
      <w:r>
        <w:rPr>
          <w:rFonts w:ascii="Times New Roman" w:hAnsi="Times New Roman" w:eastAsia="Times New Roman"/>
          <w:b w:val="0"/>
          <w:i w:val="0"/>
          <w:sz w:val="22"/>
        </w:rPr>
        <w:t>official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Website content last verified: </w:t>
      </w:r>
      <w:r>
        <w:rPr>
          <w:rFonts w:ascii="Times New Roman" w:hAnsi="Times New Roman" w:eastAsia="Times New Roman"/>
          <w:b w:val="0"/>
          <w:i w:val="0"/>
          <w:sz w:val="22"/>
        </w:rPr>
        <w:t>27 August 2026</w:t>
      </w:r>
    </w:p>
    <w:p>
      <w:r>
        <w:t>This document contains the substantive information currently published on the UNYD process guide for this process. Official and primary links are included for checking updates. Planning estimates and recent-cycle precedents are not UN deadlines.</w:t>
      </w:r>
    </w:p>
    <w:p>
      <w:pPr>
        <w:pStyle w:val="Heading1"/>
      </w:pPr>
      <w:r>
        <w:t>Process overview</w:t>
      </w:r>
    </w:p>
    <w:p>
      <w:r>
        <w:t>The Council holds three regular sessions each year. Each includes mandated reports, panels, interactive dialogues and action on draft resolutions.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Mandate: </w:t>
      </w:r>
      <w:r>
        <w:rPr>
          <w:rFonts w:ascii="Times New Roman" w:hAnsi="Times New Roman" w:eastAsia="Times New Roman"/>
          <w:b w:val="0"/>
          <w:i w:val="0"/>
          <w:sz w:val="22"/>
        </w:rPr>
        <w:t>The UN intergovernmental body responsible for promoting and protecting human rights and addressing violations.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Main outputs: </w:t>
      </w:r>
      <w:r>
        <w:rPr>
          <w:rFonts w:ascii="Times New Roman" w:hAnsi="Times New Roman" w:eastAsia="Times New Roman"/>
          <w:b w:val="0"/>
          <w:i w:val="0"/>
          <w:sz w:val="22"/>
        </w:rPr>
        <w:t>Resolutions, decisions, panel discussions, interactive dialogues, mandate renewals and the Council report.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Working structure: </w:t>
      </w:r>
      <w:r>
        <w:rPr>
          <w:rFonts w:ascii="Times New Roman" w:hAnsi="Times New Roman" w:eastAsia="Times New Roman"/>
          <w:b w:val="0"/>
          <w:i w:val="0"/>
          <w:sz w:val="22"/>
        </w:rPr>
        <w:t>Three regular sessions each year, organized by agenda item, with statements and dialogues followed by draft resolutions and action.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What access depends on: </w:t>
      </w:r>
      <w:r>
        <w:rPr>
          <w:rFonts w:ascii="Times New Roman" w:hAnsi="Times New Roman" w:eastAsia="Times New Roman"/>
          <w:b w:val="0"/>
          <w:i w:val="0"/>
          <w:sz w:val="22"/>
        </w:rPr>
        <w:t>Official delegation status, coordination with the country’s Permanent Mission in Geneva and the session-specific speaker and resolution procedures determine practical access.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Recurring youth relevance: </w:t>
      </w:r>
      <w:r>
        <w:rPr>
          <w:rFonts w:ascii="Times New Roman" w:hAnsi="Times New Roman" w:eastAsia="Times New Roman"/>
          <w:b w:val="0"/>
          <w:i w:val="0"/>
          <w:sz w:val="22"/>
        </w:rPr>
        <w:t>The most useful entry points are recurring, session-specific files. The cycles below are more actionable than treating the Council as one general annual event.</w:t>
      </w:r>
    </w:p>
    <w:p>
      <w:pPr>
        <w:pStyle w:val="Heading2"/>
      </w:pPr>
      <w:r>
        <w:t>Recurring entry points</w:t>
      </w:r>
    </w:p>
    <w:p>
      <w:r>
        <w:rPr>
          <w:rFonts w:ascii="Times New Roman" w:hAnsi="Times New Roman" w:eastAsia="Times New Roman"/>
          <w:b/>
          <w:i w:val="0"/>
          <w:sz w:val="22"/>
        </w:rPr>
        <w:t>Youth and human rights resolution</w:t>
      </w:r>
      <w:r>
        <w:rPr>
          <w:rFonts w:ascii="Times New Roman" w:hAnsi="Times New Roman" w:eastAsia="Times New Roman"/>
          <w:b/>
          <w:i w:val="0"/>
          <w:sz w:val="22"/>
        </w:rPr>
        <w:t xml:space="preserve"> — September session · recent even-year cycle</w:t>
      </w:r>
      <w:r>
        <w:rPr>
          <w:rFonts w:ascii="Times New Roman" w:hAnsi="Times New Roman" w:eastAsia="Times New Roman"/>
          <w:b w:val="0"/>
          <w:i w:val="0"/>
          <w:sz w:val="22"/>
        </w:rPr>
        <w:t>. The Council adopted this resolution in 2022 (HRC51) and 2024 (HRC57). A further iteration is expected at HRC63 in 2026, but the draft should be rechecked before treating it as formally tabled.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2026 expected; draft status to recheck.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9">
        <w:r>
          <w:rPr>
            <w:rFonts w:ascii="Times New Roman" w:hAnsi="Times New Roman" w:eastAsia="Times New Roman"/>
            <w:sz w:val="22"/>
            <w:color w:val="0563C1"/>
            <w:u w:val="single"/>
          </w:rPr>
          <w:t>OHCHR youth and human rights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0">
        <w:r>
          <w:rPr>
            <w:rFonts w:ascii="Times New Roman" w:hAnsi="Times New Roman" w:eastAsia="Times New Roman"/>
            <w:sz w:val="22"/>
            <w:color w:val="0563C1"/>
            <w:u w:val="single"/>
          </w:rPr>
          <w:t>Youth reports and studies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r>
        <w:rPr>
          <w:rFonts w:ascii="Times New Roman" w:hAnsi="Times New Roman" w:eastAsia="Times New Roman"/>
          <w:b/>
          <w:i w:val="0"/>
          <w:sz w:val="22"/>
        </w:rPr>
        <w:t>Biennial panel on youth and human rights</w:t>
      </w:r>
      <w:r>
        <w:rPr>
          <w:rFonts w:ascii="Times New Roman" w:hAnsi="Times New Roman" w:eastAsia="Times New Roman"/>
          <w:b/>
          <w:i w:val="0"/>
          <w:sz w:val="22"/>
        </w:rPr>
        <w:t xml:space="preserve"> — September session · alternating odd years</w:t>
      </w:r>
      <w:r>
        <w:rPr>
          <w:rFonts w:ascii="Times New Roman" w:hAnsi="Times New Roman" w:eastAsia="Times New Roman"/>
          <w:b w:val="0"/>
          <w:i w:val="0"/>
          <w:sz w:val="22"/>
        </w:rPr>
        <w:t>. The panel was held at HRC60 in 2025. The official three-year programme lists the next panel for HRC66 in 2027; its theme is still to be determined.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2027 officially programmed.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1">
        <w:r>
          <w:rPr>
            <w:rFonts w:ascii="Times New Roman" w:hAnsi="Times New Roman" w:eastAsia="Times New Roman"/>
            <w:sz w:val="22"/>
            <w:color w:val="0563C1"/>
            <w:u w:val="single"/>
          </w:rPr>
          <w:t>HRC60 panel programme, speakers and webcast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2">
        <w:r>
          <w:rPr>
            <w:rFonts w:ascii="Times New Roman" w:hAnsi="Times New Roman" w:eastAsia="Times New Roman"/>
            <w:sz w:val="22"/>
            <w:color w:val="0563C1"/>
            <w:u w:val="single"/>
          </w:rPr>
          <w:t>Three-year programme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r>
        <w:rPr>
          <w:rFonts w:ascii="Times New Roman" w:hAnsi="Times New Roman" w:eastAsia="Times New Roman"/>
          <w:b/>
          <w:i w:val="0"/>
          <w:sz w:val="22"/>
        </w:rPr>
        <w:t>Annual full-day meeting on the rights of the child</w:t>
      </w:r>
      <w:r>
        <w:rPr>
          <w:rFonts w:ascii="Times New Roman" w:hAnsi="Times New Roman" w:eastAsia="Times New Roman"/>
          <w:b/>
          <w:i w:val="0"/>
          <w:sz w:val="22"/>
        </w:rPr>
        <w:t xml:space="preserve"> — First regular session · every year</w:t>
      </w:r>
      <w:r>
        <w:rPr>
          <w:rFonts w:ascii="Times New Roman" w:hAnsi="Times New Roman" w:eastAsia="Times New Roman"/>
          <w:b w:val="0"/>
          <w:i w:val="0"/>
          <w:sz w:val="22"/>
        </w:rPr>
        <w:t>. A recurring first-session entry point for statements, side events and meetings. Official themes are armed conflict in 2026, children’s mental health and well-being in 2027, and artificial intelligence in 2028.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Recurring mandate and official themes.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2">
        <w:r>
          <w:rPr>
            <w:rFonts w:ascii="Times New Roman" w:hAnsi="Times New Roman" w:eastAsia="Times New Roman"/>
            <w:sz w:val="22"/>
            <w:color w:val="0563C1"/>
            <w:u w:val="single"/>
          </w:rPr>
          <w:t>Three-year programme and scheduled themes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3">
        <w:r>
          <w:rPr>
            <w:rFonts w:ascii="Times New Roman" w:hAnsi="Times New Roman" w:eastAsia="Times New Roman"/>
            <w:sz w:val="22"/>
            <w:color w:val="0563C1"/>
            <w:u w:val="single"/>
          </w:rPr>
          <w:t>OHCHR children’s rights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r>
        <w:rPr>
          <w:rFonts w:ascii="Times New Roman" w:hAnsi="Times New Roman" w:eastAsia="Times New Roman"/>
          <w:b/>
          <w:i w:val="0"/>
          <w:sz w:val="22"/>
        </w:rPr>
        <w:t>Rights of the child resolution</w:t>
      </w:r>
      <w:r>
        <w:rPr>
          <w:rFonts w:ascii="Times New Roman" w:hAnsi="Times New Roman" w:eastAsia="Times New Roman"/>
          <w:b/>
          <w:i w:val="0"/>
          <w:sz w:val="22"/>
        </w:rPr>
        <w:t xml:space="preserve"> — First regular session · recent even-year cycle</w:t>
      </w:r>
      <w:r>
        <w:rPr>
          <w:rFonts w:ascii="Times New Roman" w:hAnsi="Times New Roman" w:eastAsia="Times New Roman"/>
          <w:b w:val="0"/>
          <w:i w:val="0"/>
          <w:sz w:val="22"/>
        </w:rPr>
        <w:t>. The biennial resolution was adopted at HRC55 in 2024 and HRC61 in 2026. In 2026 the core groups were the European Union and GRULAC; the session schedule is the place to watch for informal consultations.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2024 and 2026 verified.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3">
        <w:r>
          <w:rPr>
            <w:rFonts w:ascii="Times New Roman" w:hAnsi="Times New Roman" w:eastAsia="Times New Roman"/>
            <w:sz w:val="22"/>
            <w:color w:val="0563C1"/>
            <w:u w:val="single"/>
          </w:rPr>
          <w:t>OHCHR children’s rights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4">
        <w:r>
          <w:rPr>
            <w:rFonts w:ascii="Times New Roman" w:hAnsi="Times New Roman" w:eastAsia="Times New Roman"/>
            <w:sz w:val="22"/>
            <w:color w:val="0563C1"/>
            <w:u w:val="single"/>
          </w:rPr>
          <w:t>HRC session schedules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r>
        <w:rPr>
          <w:rFonts w:ascii="Times New Roman" w:hAnsi="Times New Roman" w:eastAsia="Times New Roman"/>
          <w:b/>
          <w:i w:val="0"/>
          <w:sz w:val="22"/>
        </w:rPr>
        <w:t>Committee on the Rights of the Child review</w:t>
      </w:r>
      <w:r>
        <w:rPr>
          <w:rFonts w:ascii="Times New Roman" w:hAnsi="Times New Roman" w:eastAsia="Times New Roman"/>
          <w:b/>
          <w:i w:val="0"/>
          <w:sz w:val="22"/>
        </w:rPr>
        <w:t xml:space="preserve"> — Separate treaty-body cycle · country-specific</w:t>
      </w:r>
      <w:r>
        <w:rPr>
          <w:rFonts w:ascii="Times New Roman" w:hAnsi="Times New Roman" w:eastAsia="Times New Roman"/>
          <w:b w:val="0"/>
          <w:i w:val="0"/>
          <w:sz w:val="22"/>
        </w:rPr>
        <w:t>. This is adjacent to, but not part of, the Human Rights Council. The Committee follows its own session and country-review calendar: its meetings can overlap with an HRC session, but the two schedules are not synchronized. When a country is listed, civil society and children can use written submissions and Committee briefings.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Separate mechanism.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5">
        <w:r>
          <w:rPr>
            <w:rFonts w:ascii="Times New Roman" w:hAnsi="Times New Roman" w:eastAsia="Times New Roman"/>
            <w:sz w:val="22"/>
            <w:color w:val="0563C1"/>
            <w:u w:val="single"/>
          </w:rPr>
          <w:t>CRC sessions and scheduled countries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hyperlink r:id="rId16">
        <w:r>
          <w:rPr>
            <w:rFonts w:ascii="Times New Roman" w:hAnsi="Times New Roman" w:eastAsia="Times New Roman"/>
            <w:sz w:val="22"/>
            <w:color w:val="0563C1"/>
            <w:u w:val="single"/>
          </w:rPr>
          <w:t>Committee on the Rights of the Child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1"/>
      </w:pPr>
      <w:r>
        <w:t>UNYD participation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UN Youth Delegates participate through their country’s official delegation, with responsibilities agreed with their country’s Permanent Mission in Geneva.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Possible roles include statements, panel interventions, report follow-up, meetings with OHCHR or mandate holders, events and resolution work.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Because the Council meets three times each year, delegates usually select specific sessions and agenda items rather than attempting to cover the full annual programme.</w:t>
      </w:r>
    </w:p>
    <w:p>
      <w:pPr>
        <w:pStyle w:val="Heading1"/>
      </w:pPr>
      <w:r>
        <w:t>Session structure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Before each session — Reports and preparation: </w:t>
      </w:r>
      <w:r>
        <w:rPr>
          <w:rFonts w:ascii="Times New Roman" w:hAnsi="Times New Roman" w:eastAsia="Times New Roman"/>
          <w:b w:val="0"/>
          <w:i w:val="0"/>
          <w:sz w:val="22"/>
        </w:rPr>
        <w:t>Programme of work, mandated reports and national-delegation coordination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24 Feb–2 Apr — 64th regular session: </w:t>
      </w:r>
      <w:r>
        <w:rPr>
          <w:rFonts w:ascii="Times New Roman" w:hAnsi="Times New Roman" w:eastAsia="Times New Roman"/>
          <w:b w:val="0"/>
          <w:i w:val="0"/>
          <w:sz w:val="22"/>
        </w:rPr>
        <w:t>Includes the annual full-day meeting on the rights of the child, on children’s mental health and well-being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14 Jun–9 Jul — 65th regular session: </w:t>
      </w:r>
      <w:r>
        <w:rPr>
          <w:rFonts w:ascii="Times New Roman" w:hAnsi="Times New Roman" w:eastAsia="Times New Roman"/>
          <w:b w:val="0"/>
          <w:i w:val="0"/>
          <w:sz w:val="22"/>
        </w:rPr>
        <w:t>Second regular session of the year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6 Sep–8 Oct — 66th regular session: </w:t>
      </w:r>
      <w:r>
        <w:rPr>
          <w:rFonts w:ascii="Times New Roman" w:hAnsi="Times New Roman" w:eastAsia="Times New Roman"/>
          <w:b w:val="0"/>
          <w:i w:val="0"/>
          <w:sz w:val="22"/>
        </w:rPr>
        <w:t>Includes the biennial panel on youth and human rights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Final week of each session — Action on resolutions: </w:t>
      </w:r>
      <w:r>
        <w:rPr>
          <w:rFonts w:ascii="Times New Roman" w:hAnsi="Times New Roman" w:eastAsia="Times New Roman"/>
          <w:b w:val="0"/>
          <w:i w:val="0"/>
          <w:sz w:val="22"/>
        </w:rPr>
        <w:t>Council decisions and session closure</w:t>
      </w:r>
    </w:p>
    <w:p>
      <w:pPr>
        <w:pStyle w:val="Heading1"/>
      </w:pPr>
      <w:r>
        <w:t>Preparation and negotiation calendar</w:t>
      </w:r>
    </w:p>
    <w:p>
      <w:r>
        <w:t>There is no single annual HRC zero draft. Until a session-specific report, panel, resolution consultation or submission deadline is published, the calendar shows only the three official regular sessions; recurring youth and child-rights entry points remain described below.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HRC64 — 2027-02-24 to 2027-04-02: </w:t>
      </w:r>
      <w:r>
        <w:rPr>
          <w:rFonts w:ascii="Times New Roman" w:hAnsi="Times New Roman" w:eastAsia="Times New Roman"/>
          <w:b w:val="0"/>
          <w:i w:val="0"/>
          <w:sz w:val="22"/>
        </w:rPr>
        <w:t>Official session dates: 24 February–2 April 2027. Status: official.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HRC65 — 2027-06-14 to 2027-07-09: </w:t>
      </w:r>
      <w:r>
        <w:rPr>
          <w:rFonts w:ascii="Times New Roman" w:hAnsi="Times New Roman" w:eastAsia="Times New Roman"/>
          <w:b w:val="0"/>
          <w:i w:val="0"/>
          <w:sz w:val="22"/>
        </w:rPr>
        <w:t>Official session dates: 14 June–9 July 2027. Status: official.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HRC66 — 2027-09-06 to 2027-10-08: </w:t>
      </w:r>
      <w:r>
        <w:rPr>
          <w:rFonts w:ascii="Times New Roman" w:hAnsi="Times New Roman" w:eastAsia="Times New Roman"/>
          <w:b w:val="0"/>
          <w:i w:val="0"/>
          <w:sz w:val="22"/>
        </w:rPr>
        <w:t>Official session dates: 6 September–8 October 2027; the biennial panel on youth and human rights is programmed for this session. Status: official.</w:t>
      </w:r>
    </w:p>
    <w:p>
      <w:pPr>
        <w:pStyle w:val="Heading1"/>
      </w:pPr>
      <w:r>
        <w:t>Negotiations and policy work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What to follow: </w:t>
      </w:r>
      <w:r>
        <w:rPr>
          <w:rFonts w:ascii="Times New Roman" w:hAnsi="Times New Roman" w:eastAsia="Times New Roman"/>
          <w:b w:val="0"/>
          <w:i w:val="0"/>
          <w:sz w:val="22"/>
        </w:rPr>
        <w:t>Each regular session has a programme of work, mandated reports, interactive dialogues, panels and draft resolutions. The three-year programme is the best early-warning tool.</w:t>
      </w:r>
    </w:p>
    <w:p>
      <w:pPr>
        <w:pStyle w:val="Heading2"/>
      </w:pPr>
      <w:r>
        <w:t>Watch for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The three-year programme of work and the session’s list of reports.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Mandated annual or biennial panels, calls for input, country and thematic resolutions, and relevant special-procedure mandates.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Submission and speaking deadlines in the session’s practical information and A–Z guide.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Indicative lead time: </w:t>
      </w:r>
      <w:r>
        <w:rPr>
          <w:rFonts w:ascii="Times New Roman" w:hAnsi="Times New Roman" w:eastAsia="Times New Roman"/>
          <w:b w:val="0"/>
          <w:i w:val="0"/>
          <w:sz w:val="22"/>
        </w:rPr>
        <w:t>Aim to contact your country’s Permanent Mission in Geneva around eight weeks before the relevant session. Name the exact report, panel, dialogue or resolution and then follow the session-specific speaker, submission and consultation deadlines.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Likely formal route: </w:t>
      </w:r>
      <w:r>
        <w:rPr>
          <w:rFonts w:ascii="Times New Roman" w:hAnsi="Times New Roman" w:eastAsia="Times New Roman"/>
          <w:b w:val="0"/>
          <w:i w:val="0"/>
          <w:sz w:val="22"/>
        </w:rPr>
        <w:t>Begin with the human-rights team at your country’s Permanent Mission in Geneva. Use the agenda and reports to make a concrete request rather than asking generally how to participate in the Council.</w:t>
      </w:r>
    </w:p>
    <w:p>
      <w:pPr>
        <w:pStyle w:val="Heading2"/>
      </w:pPr>
      <w:r>
        <w:t>Negotiation and language resources</w:t>
      </w:r>
    </w:p>
    <w:p>
      <w:pPr>
        <w:pStyle w:val="ListBullet"/>
      </w:pPr>
      <w:hyperlink r:id="rId17">
        <w:r>
          <w:rPr>
            <w:rFonts w:ascii="Times New Roman" w:hAnsi="Times New Roman" w:eastAsia="Times New Roman"/>
            <w:sz w:val="22"/>
            <w:color w:val="0563C1"/>
            <w:u w:val="single"/>
          </w:rPr>
          <w:t>Negotiation and language guide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Negotiation process, agreed-language research, resolution structure and text-markup conventions.</w:t>
      </w:r>
    </w:p>
    <w:p>
      <w:pPr>
        <w:pStyle w:val="ListBullet"/>
      </w:pPr>
      <w:hyperlink r:id="rId18">
        <w:r>
          <w:rPr>
            <w:rFonts w:ascii="Times New Roman" w:hAnsi="Times New Roman" w:eastAsia="Times New Roman"/>
            <w:sz w:val="22"/>
            <w:color w:val="0563C1"/>
            <w:u w:val="single"/>
          </w:rPr>
          <w:t>UNGA explainer slides · negotiation section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Slides 16–28 show recurring resolutions, drafting roles, the Youth Resolution sequence, agreed language and markup notation.</w:t>
      </w:r>
    </w:p>
    <w:p>
      <w:pPr>
        <w:pStyle w:val="Heading1"/>
      </w:pPr>
      <w:r>
        <w:t>Practical timeline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Rolling — </w:t>
      </w:r>
      <w:hyperlink r:id="rId12">
        <w:r>
          <w:rPr>
            <w:rFonts w:ascii="Times New Roman" w:hAnsi="Times New Roman" w:eastAsia="Times New Roman"/>
            <w:sz w:val="22"/>
            <w:color w:val="0563C1"/>
            <w:u w:val="single"/>
          </w:rPr>
          <w:t>Three-year programme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Use the programme and its supplementary information to identify the session number, mandated reports, panels, interactive dialogues, annual thematic meetings and recurring files already scheduled for 2026–2028.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Around 8 weeks before — </w:t>
      </w:r>
      <w:r>
        <w:rPr>
          <w:rFonts w:ascii="Times New Roman" w:hAnsi="Times New Roman" w:eastAsia="Times New Roman"/>
          <w:b/>
          <w:i w:val="0"/>
          <w:sz w:val="22"/>
        </w:rPr>
        <w:t>Contact your country’s Permanent Mission in Geneva</w:t>
      </w:r>
      <w:r>
        <w:rPr>
          <w:rFonts w:ascii="Times New Roman" w:hAnsi="Times New Roman" w:eastAsia="Times New Roman"/>
          <w:b w:val="0"/>
          <w:i w:val="0"/>
          <w:sz w:val="22"/>
        </w:rPr>
        <w:t>: Name the exact agenda item, report, panel or resolution. Ask about delegation accreditation, speaker registration, the country’s sponsor or co-sponsor role and the national delegation’s internal deadline for text input.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When the session page opens — </w:t>
      </w:r>
      <w:hyperlink r:id="rId19">
        <w:r>
          <w:rPr>
            <w:rFonts w:ascii="Times New Roman" w:hAnsi="Times New Roman" w:eastAsia="Times New Roman"/>
            <w:sz w:val="22"/>
            <w:color w:val="0563C1"/>
            <w:u w:val="single"/>
          </w:rPr>
          <w:t>Session programme and practical information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Check the programme of work, mandated reports, speaker-list procedures, written or video submission rules and session-specific deadlines. These operational details are published per session, not by one fixed annual rule.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During the session — </w:t>
      </w:r>
      <w:hyperlink r:id="rId14">
        <w:r>
          <w:rPr>
            <w:rFonts w:ascii="Times New Roman" w:hAnsi="Times New Roman" w:eastAsia="Times New Roman"/>
            <w:sz w:val="22"/>
            <w:color w:val="0563C1"/>
            <w:u w:val="single"/>
          </w:rPr>
          <w:t>Interactive dialogues, panels and informal consultations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Follow the selected agenda item and any consultations on a named draft resolution. The final week is normally when the Council takes action on draft texts.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After adoption — </w:t>
      </w:r>
      <w:r>
        <w:rPr>
          <w:rFonts w:ascii="Times New Roman" w:hAnsi="Times New Roman" w:eastAsia="Times New Roman"/>
          <w:b/>
          <w:i w:val="0"/>
          <w:sz w:val="22"/>
        </w:rPr>
        <w:t>Mandated follow-up</w:t>
      </w:r>
      <w:r>
        <w:rPr>
          <w:rFonts w:ascii="Times New Roman" w:hAnsi="Times New Roman" w:eastAsia="Times New Roman"/>
          <w:b w:val="0"/>
          <w:i w:val="0"/>
          <w:sz w:val="22"/>
        </w:rPr>
        <w:t>: Read the adopted text for requested reports, studies, panels, calls for input and the session at which the issue returns. Those mandates determine whether there is a concrete next opening.</w:t>
      </w:r>
    </w:p>
    <w:p>
      <w:pPr>
        <w:pStyle w:val="Heading1"/>
      </w:pPr>
      <w:r>
        <w:t>Examples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Statement — </w:t>
      </w:r>
      <w:hyperlink r:id="rId20">
        <w:r>
          <w:rPr>
            <w:rFonts w:ascii="Times New Roman" w:hAnsi="Times New Roman" w:eastAsia="Times New Roman"/>
            <w:sz w:val="22"/>
            <w:color w:val="0563C1"/>
            <w:u w:val="single"/>
          </w:rPr>
          <w:t>UNYD interventions in the biennial panel on youth and human rights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 A session-specific opening created by a mandated HRC panel; the resulting report can become a source for later policy work.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Meeting — </w:t>
      </w:r>
      <w:r>
        <w:rPr>
          <w:rFonts w:ascii="Times New Roman" w:hAnsi="Times New Roman" w:eastAsia="Times New Roman"/>
          <w:b/>
          <w:i w:val="0"/>
          <w:sz w:val="22"/>
        </w:rPr>
        <w:t>OHCHR–DESA–UN Youth Office follow-up on UNYD participation</w:t>
      </w:r>
      <w:r>
        <w:rPr>
          <w:rFonts w:ascii="Times New Roman" w:hAnsi="Times New Roman" w:eastAsia="Times New Roman"/>
          <w:b w:val="0"/>
          <w:i w:val="0"/>
          <w:sz w:val="22"/>
        </w:rPr>
        <w:t>. A 2026 exchange brought together institutional focal points and current/former youth delegates to discuss practical HRC entry points and recurring barriers.</w:t>
      </w:r>
    </w:p>
    <w:p>
      <w:pPr>
        <w:pStyle w:val="Heading1"/>
      </w:pPr>
      <w:r>
        <w:t>Contacts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Helen Griffiths: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OHCHR Child and Youth Rights Unit · youth-rights and HRC participation enquiries — </w:t>
      </w:r>
      <w:hyperlink r:id="rId21">
        <w:r>
          <w:rPr>
            <w:rFonts w:ascii="Times New Roman" w:hAnsi="Times New Roman" w:eastAsia="Times New Roman"/>
            <w:sz w:val="22"/>
            <w:color w:val="0563C1"/>
            <w:u w:val="single"/>
          </w:rPr>
          <w:t>helen.griffiths@un.org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Razan Askar: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HRC Secretariat · correspondence and extranet — </w:t>
      </w:r>
      <w:hyperlink r:id="rId22">
        <w:r>
          <w:rPr>
            <w:rFonts w:ascii="Times New Roman" w:hAnsi="Times New Roman" w:eastAsia="Times New Roman"/>
            <w:sz w:val="22"/>
            <w:color w:val="0563C1"/>
            <w:u w:val="single"/>
          </w:rPr>
          <w:t>razan.askar@un.org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Matias Pellado: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HRC Secretariat · resolutions processing — </w:t>
      </w:r>
      <w:hyperlink r:id="rId23">
        <w:r>
          <w:rPr>
            <w:rFonts w:ascii="Times New Roman" w:hAnsi="Times New Roman" w:eastAsia="Times New Roman"/>
            <w:sz w:val="22"/>
            <w:color w:val="0563C1"/>
            <w:u w:val="single"/>
          </w:rPr>
          <w:t>matias.pellado@un.org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Markus Wainde Wane: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Former Austrian UN Youth Delegate · peer contact on UNYD participation and youth-rights coordination — </w:t>
      </w:r>
      <w:hyperlink r:id="rId24">
        <w:r>
          <w:rPr>
            <w:rFonts w:ascii="Times New Roman" w:hAnsi="Times New Roman" w:eastAsia="Times New Roman"/>
            <w:sz w:val="22"/>
            <w:color w:val="0563C1"/>
            <w:u w:val="single"/>
          </w:rPr>
          <w:t>waindewane@gmail.com</w:t>
        </w:r>
      </w:hyperlink>
    </w:p>
    <w:p>
      <w:pPr>
        <w:pStyle w:val="Heading2"/>
      </w:pPr>
      <w:r>
        <w:t>General UN youth contacts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United Nations Youth Office: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General youth-affairs and meaningful-participation enquiries — </w:t>
      </w:r>
      <w:hyperlink r:id="rId25">
        <w:r>
          <w:rPr>
            <w:rFonts w:ascii="Times New Roman" w:hAnsi="Times New Roman" w:eastAsia="Times New Roman"/>
            <w:sz w:val="22"/>
            <w:color w:val="0563C1"/>
            <w:u w:val="single"/>
          </w:rPr>
          <w:t>youthaffairs@un.org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UN DESA · Programme on Youth: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UN Youth Delegate Programme and UN youth-system routing — </w:t>
      </w:r>
      <w:hyperlink r:id="rId26">
        <w:r>
          <w:rPr>
            <w:rFonts w:ascii="Times New Roman" w:hAnsi="Times New Roman" w:eastAsia="Times New Roman"/>
            <w:sz w:val="22"/>
            <w:color w:val="0563C1"/>
            <w:u w:val="single"/>
          </w:rPr>
          <w:t>youth@un.org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UNYD Working Group: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Peer-run coordination mailbox for current UN Youth Delegates — </w:t>
      </w:r>
      <w:hyperlink r:id="rId27">
        <w:r>
          <w:rPr>
            <w:rFonts w:ascii="Times New Roman" w:hAnsi="Times New Roman" w:eastAsia="Times New Roman"/>
            <w:sz w:val="22"/>
            <w:color w:val="0563C1"/>
            <w:u w:val="single"/>
          </w:rPr>
          <w:t>unyds.workinggroup@gmail.com</w:t>
        </w:r>
      </w:hyperlink>
    </w:p>
    <w:p>
      <w:pPr>
        <w:pStyle w:val="Heading1"/>
      </w:pPr>
      <w:r>
        <w:t>Official and primary sources</w:t>
      </w:r>
    </w:p>
    <w:p>
      <w:pPr>
        <w:pStyle w:val="ListBullet"/>
      </w:pPr>
      <w:hyperlink r:id="rId14">
        <w:r>
          <w:rPr>
            <w:rFonts w:ascii="Times New Roman" w:hAnsi="Times New Roman" w:eastAsia="Times New Roman"/>
            <w:sz w:val="22"/>
            <w:color w:val="0563C1"/>
            <w:u w:val="single"/>
          </w:rPr>
          <w:t>HRC session calendar</w:t>
        </w:r>
      </w:hyperlink>
    </w:p>
    <w:p>
      <w:pPr>
        <w:pStyle w:val="ListBullet"/>
      </w:pPr>
      <w:hyperlink r:id="rId12">
        <w:r>
          <w:rPr>
            <w:rFonts w:ascii="Times New Roman" w:hAnsi="Times New Roman" w:eastAsia="Times New Roman"/>
            <w:sz w:val="22"/>
            <w:color w:val="0563C1"/>
            <w:u w:val="single"/>
          </w:rPr>
          <w:t>Three-year programme of work</w:t>
        </w:r>
      </w:hyperlink>
    </w:p>
    <w:p>
      <w:pPr>
        <w:pStyle w:val="ListBullet"/>
      </w:pPr>
      <w:hyperlink r:id="rId28">
        <w:r>
          <w:rPr>
            <w:rFonts w:ascii="Times New Roman" w:hAnsi="Times New Roman" w:eastAsia="Times New Roman"/>
            <w:sz w:val="22"/>
            <w:color w:val="0563C1"/>
            <w:u w:val="single"/>
          </w:rPr>
          <w:t>Youth and human rights resolution adopted in 2024</w:t>
        </w:r>
      </w:hyperlink>
    </w:p>
    <w:p>
      <w:pPr>
        <w:pStyle w:val="ListBullet"/>
      </w:pPr>
      <w:hyperlink r:id="rId11">
        <w:r>
          <w:rPr>
            <w:rFonts w:ascii="Times New Roman" w:hAnsi="Times New Roman" w:eastAsia="Times New Roman"/>
            <w:sz w:val="22"/>
            <w:color w:val="0563C1"/>
            <w:u w:val="single"/>
          </w:rPr>
          <w:t>HRC60 biennial panel on youth and human rights</w:t>
        </w:r>
      </w:hyperlink>
    </w:p>
    <w:p>
      <w:pPr>
        <w:pStyle w:val="ListBullet"/>
      </w:pPr>
      <w:hyperlink r:id="rId29">
        <w:r>
          <w:rPr>
            <w:rFonts w:ascii="Times New Roman" w:hAnsi="Times New Roman" w:eastAsia="Times New Roman"/>
            <w:sz w:val="22"/>
            <w:color w:val="0563C1"/>
            <w:u w:val="single"/>
          </w:rPr>
          <w:t>Rights of the child resolution adopted in 2026</w:t>
        </w:r>
      </w:hyperlink>
    </w:p>
    <w:p>
      <w:pPr>
        <w:pStyle w:val="ListBullet"/>
      </w:pPr>
      <w:hyperlink r:id="rId15">
        <w:r>
          <w:rPr>
            <w:rFonts w:ascii="Times New Roman" w:hAnsi="Times New Roman" w:eastAsia="Times New Roman"/>
            <w:sz w:val="22"/>
            <w:color w:val="0563C1"/>
            <w:u w:val="single"/>
          </w:rPr>
          <w:t>Committee on the Rights of the Child session database</w:t>
        </w:r>
      </w:hyperlink>
    </w:p>
    <w:p>
      <w:pPr>
        <w:pStyle w:val="ListBullet"/>
      </w:pPr>
      <w:hyperlink r:id="rId10">
        <w:r>
          <w:rPr>
            <w:rFonts w:ascii="Times New Roman" w:hAnsi="Times New Roman" w:eastAsia="Times New Roman"/>
            <w:sz w:val="22"/>
            <w:color w:val="0563C1"/>
            <w:u w:val="single"/>
          </w:rPr>
          <w:t>OHCHR youth reports and studies</w:t>
        </w:r>
      </w:hyperlink>
    </w:p>
    <w:p>
      <w:pPr>
        <w:pStyle w:val="ListBullet"/>
      </w:pPr>
      <w:hyperlink r:id="rId19">
        <w:r>
          <w:rPr>
            <w:rFonts w:ascii="Times New Roman" w:hAnsi="Times New Roman" w:eastAsia="Times New Roman"/>
            <w:sz w:val="22"/>
            <w:color w:val="0563C1"/>
            <w:u w:val="single"/>
          </w:rPr>
          <w:t>Practical information and deadlines</w:t>
        </w:r>
      </w:hyperlink>
    </w:p>
    <w:p>
      <w:pPr>
        <w:pStyle w:val="ListBullet"/>
      </w:pPr>
      <w:hyperlink r:id="rId30">
        <w:r>
          <w:rPr>
            <w:rFonts w:ascii="Times New Roman" w:hAnsi="Times New Roman" w:eastAsia="Times New Roman"/>
            <w:sz w:val="22"/>
            <w:color w:val="0563C1"/>
            <w:u w:val="single"/>
          </w:rPr>
          <w:t>HRC Secretariat directory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Times New Roman" w:hAnsi="Times New Roman" w:eastAsia="Times New Roman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hchr.org/en/youth" TargetMode="External"/><Relationship Id="rId10" Type="http://schemas.openxmlformats.org/officeDocument/2006/relationships/hyperlink" Target="https://www.ohchr.org/en/youth/reports" TargetMode="External"/><Relationship Id="rId11" Type="http://schemas.openxmlformats.org/officeDocument/2006/relationships/hyperlink" Target="https://hrcportal.ohchr.org/60th-regular-session-human-rights-council-0" TargetMode="External"/><Relationship Id="rId12" Type="http://schemas.openxmlformats.org/officeDocument/2006/relationships/hyperlink" Target="https://hrcportal.ohchr.org/three-year-programme-work" TargetMode="External"/><Relationship Id="rId13" Type="http://schemas.openxmlformats.org/officeDocument/2006/relationships/hyperlink" Target="https://www.ohchr.org/en/children" TargetMode="External"/><Relationship Id="rId14" Type="http://schemas.openxmlformats.org/officeDocument/2006/relationships/hyperlink" Target="https://hrcportal.ohchr.org/hrc-sessions" TargetMode="External"/><Relationship Id="rId15" Type="http://schemas.openxmlformats.org/officeDocument/2006/relationships/hyperlink" Target="https://tbinternet.ohchr.org/_layouts/15/TreatyBodyExternal/SessionsList.aspx?Treaty=CRC" TargetMode="External"/><Relationship Id="rId16" Type="http://schemas.openxmlformats.org/officeDocument/2006/relationships/hyperlink" Target="https://www.ohchr.org/en/treaty-bodies/crc" TargetMode="External"/><Relationship Id="rId17" Type="http://schemas.openxmlformats.org/officeDocument/2006/relationships/hyperlink" Target="https://docs.google.com/document/d/1ieNXyo4w0Q6Q5sOg9TjoX4l19ny9eXKhLkD-XyATjQk/edit" TargetMode="External"/><Relationship Id="rId18" Type="http://schemas.openxmlformats.org/officeDocument/2006/relationships/hyperlink" Target="https://docs.google.com/presentation/d/1uIk5GrBEQ-TFYGFgR9M8jybopsfCVEzznZ8vp4kY22E/edit" TargetMode="External"/><Relationship Id="rId19" Type="http://schemas.openxmlformats.org/officeDocument/2006/relationships/hyperlink" Target="https://hrcportal.ohchr.org/practical-information" TargetMode="External"/><Relationship Id="rId20" Type="http://schemas.openxmlformats.org/officeDocument/2006/relationships/hyperlink" Target="https://hrcportal.ohchr.org/panel-discussions" TargetMode="External"/><Relationship Id="rId21" Type="http://schemas.openxmlformats.org/officeDocument/2006/relationships/hyperlink" Target="mailto:helen.griffiths@un.org" TargetMode="External"/><Relationship Id="rId22" Type="http://schemas.openxmlformats.org/officeDocument/2006/relationships/hyperlink" Target="mailto:razan.askar@un.org" TargetMode="External"/><Relationship Id="rId23" Type="http://schemas.openxmlformats.org/officeDocument/2006/relationships/hyperlink" Target="mailto:matias.pellado@un.org" TargetMode="External"/><Relationship Id="rId24" Type="http://schemas.openxmlformats.org/officeDocument/2006/relationships/hyperlink" Target="mailto:waindewane@gmail.com" TargetMode="External"/><Relationship Id="rId25" Type="http://schemas.openxmlformats.org/officeDocument/2006/relationships/hyperlink" Target="mailto:youthaffairs@un.org" TargetMode="External"/><Relationship Id="rId26" Type="http://schemas.openxmlformats.org/officeDocument/2006/relationships/hyperlink" Target="mailto:youth@un.org" TargetMode="External"/><Relationship Id="rId27" Type="http://schemas.openxmlformats.org/officeDocument/2006/relationships/hyperlink" Target="mailto:unyds.workinggroup@gmail.com" TargetMode="External"/><Relationship Id="rId28" Type="http://schemas.openxmlformats.org/officeDocument/2006/relationships/hyperlink" Target="https://searchlibrary.ohchr.org/record/31693" TargetMode="External"/><Relationship Id="rId29" Type="http://schemas.openxmlformats.org/officeDocument/2006/relationships/hyperlink" Target="https://searchlibrary.ohchr.org/record/35366" TargetMode="External"/><Relationship Id="rId30" Type="http://schemas.openxmlformats.org/officeDocument/2006/relationships/hyperlink" Target="https://hrcportal.ohchr.org/contact-direc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HRC: Human Rights Council — prose export</dc:title>
  <dc:subject>UNYD process guide website content</dc:subject>
  <dc:creator>UNYD process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