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eastAsia="Times New Roman"/>
          <w:b/>
          <w:i w:val="0"/>
          <w:sz w:val="22"/>
        </w:rPr>
        <w:t>HLPF: High-Level Political Forum on Sustainable Development</w:t>
      </w:r>
    </w:p>
    <w:p>
      <w:r>
        <w:rPr>
          <w:rFonts w:ascii="Times New Roman" w:hAnsi="Times New Roman" w:eastAsia="Times New Roman"/>
          <w:b/>
          <w:i w:val="0"/>
          <w:sz w:val="22"/>
        </w:rPr>
        <w:t xml:space="preserve">Location: </w:t>
      </w:r>
      <w:r>
        <w:rPr>
          <w:rFonts w:ascii="Times New Roman" w:hAnsi="Times New Roman" w:eastAsia="Times New Roman"/>
          <w:b w:val="0"/>
          <w:i w:val="0"/>
          <w:sz w:val="22"/>
        </w:rPr>
        <w:t>New York</w:t>
      </w:r>
    </w:p>
    <w:p>
      <w:r>
        <w:rPr>
          <w:rFonts w:ascii="Times New Roman" w:hAnsi="Times New Roman" w:eastAsia="Times New Roman"/>
          <w:b/>
          <w:i w:val="0"/>
          <w:sz w:val="22"/>
        </w:rPr>
        <w:t xml:space="preserve">2027 date or window: </w:t>
      </w:r>
      <w:r>
        <w:rPr>
          <w:rFonts w:ascii="Times New Roman" w:hAnsi="Times New Roman" w:eastAsia="Times New Roman"/>
          <w:b w:val="0"/>
          <w:i w:val="0"/>
          <w:sz w:val="22"/>
        </w:rPr>
        <w:t>6–15 July 2027 · ministerial segment 13–15 July</w:t>
      </w:r>
    </w:p>
    <w:p>
      <w:r>
        <w:rPr>
          <w:rFonts w:ascii="Times New Roman" w:hAnsi="Times New Roman" w:eastAsia="Times New Roman"/>
          <w:b/>
          <w:i w:val="0"/>
          <w:sz w:val="22"/>
        </w:rPr>
        <w:t xml:space="preserve">Date status: </w:t>
      </w:r>
      <w:r>
        <w:rPr>
          <w:rFonts w:ascii="Times New Roman" w:hAnsi="Times New Roman" w:eastAsia="Times New Roman"/>
          <w:b w:val="0"/>
          <w:i w:val="0"/>
          <w:sz w:val="22"/>
        </w:rPr>
        <w:t>official provisional</w:t>
      </w:r>
    </w:p>
    <w:p>
      <w:r>
        <w:rPr>
          <w:rFonts w:ascii="Times New Roman" w:hAnsi="Times New Roman" w:eastAsia="Times New Roman"/>
          <w:b/>
          <w:i w:val="0"/>
          <w:sz w:val="22"/>
        </w:rPr>
        <w:t xml:space="preserve">Website content last verified: </w:t>
      </w:r>
      <w:r>
        <w:rPr>
          <w:rFonts w:ascii="Times New Roman" w:hAnsi="Times New Roman" w:eastAsia="Times New Roman"/>
          <w:b w:val="0"/>
          <w:i w:val="0"/>
          <w:sz w:val="22"/>
        </w:rPr>
        <w:t>29 August 2026</w:t>
      </w:r>
    </w:p>
    <w:p>
      <w:r>
        <w:t>This document contains the substantive information currently published on the UNYD process guide for this process. Official and primary links are included for checking updates. Planning estimates and recent-cycle precedents are not UN deadlines.</w:t>
      </w:r>
    </w:p>
    <w:p>
      <w:pPr>
        <w:pStyle w:val="Heading1"/>
      </w:pPr>
      <w:r>
        <w:t>Process overview</w:t>
      </w:r>
    </w:p>
    <w:p>
      <w:r>
        <w:t>Annual ECOSOC forum reviewing implementation of the 2030 Agenda through thematic reviews, Voluntary National Reviews and a ministerial segment. In 2027, it is followed by the four-yearly SDG Summit under the General Assembly.</w:t>
      </w:r>
    </w:p>
    <w:p>
      <w:r>
        <w:rPr>
          <w:rFonts w:ascii="Times New Roman" w:hAnsi="Times New Roman" w:eastAsia="Times New Roman"/>
          <w:b/>
          <w:i w:val="0"/>
          <w:sz w:val="22"/>
        </w:rPr>
        <w:t xml:space="preserve">Mandate: </w:t>
      </w:r>
      <w:r>
        <w:rPr>
          <w:rFonts w:ascii="Times New Roman" w:hAnsi="Times New Roman" w:eastAsia="Times New Roman"/>
          <w:b w:val="0"/>
          <w:i w:val="0"/>
          <w:sz w:val="22"/>
        </w:rPr>
        <w:t>The central UN platform for reviewing implementation of the 2030 Agenda and the Sustainable Development Goals.</w:t>
      </w:r>
    </w:p>
    <w:p>
      <w:r>
        <w:rPr>
          <w:rFonts w:ascii="Times New Roman" w:hAnsi="Times New Roman" w:eastAsia="Times New Roman"/>
          <w:b/>
          <w:i w:val="0"/>
          <w:sz w:val="22"/>
        </w:rPr>
        <w:t xml:space="preserve">Main outputs: </w:t>
      </w:r>
      <w:r>
        <w:rPr>
          <w:rFonts w:ascii="Times New Roman" w:hAnsi="Times New Roman" w:eastAsia="Times New Roman"/>
          <w:b w:val="0"/>
          <w:i w:val="0"/>
          <w:sz w:val="22"/>
        </w:rPr>
        <w:t>Voluntary National Reviews, thematic reviews and a negotiated outcome. In 2027, the negotiated outcome is expected to be the SDG Summit political declaration rather than a separate July ministerial declaration.</w:t>
      </w:r>
    </w:p>
    <w:p>
      <w:r>
        <w:rPr>
          <w:rFonts w:ascii="Times New Roman" w:hAnsi="Times New Roman" w:eastAsia="Times New Roman"/>
          <w:b/>
          <w:i w:val="0"/>
          <w:sz w:val="22"/>
        </w:rPr>
        <w:t xml:space="preserve">Working structure: </w:t>
      </w:r>
      <w:r>
        <w:rPr>
          <w:rFonts w:ascii="Times New Roman" w:hAnsi="Times New Roman" w:eastAsia="Times New Roman"/>
          <w:b w:val="0"/>
          <w:i w:val="0"/>
          <w:sz w:val="22"/>
        </w:rPr>
        <w:t>July SDG reviews, VNR presentations, ministerial segment and events, followed in September 2027 by the HLPF under the General Assembly at Heads-of-State level.</w:t>
      </w:r>
    </w:p>
    <w:p>
      <w:r>
        <w:rPr>
          <w:rFonts w:ascii="Times New Roman" w:hAnsi="Times New Roman" w:eastAsia="Times New Roman"/>
          <w:b/>
          <w:i w:val="0"/>
          <w:sz w:val="22"/>
        </w:rPr>
        <w:t xml:space="preserve">What access depends on: </w:t>
      </w:r>
      <w:r>
        <w:rPr>
          <w:rFonts w:ascii="Times New Roman" w:hAnsi="Times New Roman" w:eastAsia="Times New Roman"/>
          <w:b w:val="0"/>
          <w:i w:val="0"/>
          <w:sz w:val="22"/>
        </w:rPr>
        <w:t>The national delegation and VNR process shape official roles; negotiation input normally moves through the country’s Permanent Mission in New York and the SDG Summit political-declaration co-facilitators.</w:t>
      </w:r>
    </w:p>
    <w:p>
      <w:r>
        <w:rPr>
          <w:rFonts w:ascii="Times New Roman" w:hAnsi="Times New Roman" w:eastAsia="Times New Roman"/>
          <w:b/>
          <w:i w:val="0"/>
          <w:sz w:val="22"/>
        </w:rPr>
        <w:t xml:space="preserve">Recurring youth relevance: </w:t>
      </w:r>
      <w:r>
        <w:rPr>
          <w:rFonts w:ascii="Times New Roman" w:hAnsi="Times New Roman" w:eastAsia="Times New Roman"/>
          <w:b w:val="0"/>
          <w:i w:val="0"/>
          <w:sz w:val="22"/>
        </w:rPr>
        <w:t>Youth delegates can connect national SDG implementation with the multilateral review, contribute to statements or the VNR, and organize meetings and events.</w:t>
      </w:r>
    </w:p>
    <w:p>
      <w:pPr>
        <w:pStyle w:val="Heading2"/>
      </w:pPr>
      <w:r>
        <w:t>Recurring entry points</w:t>
      </w:r>
    </w:p>
    <w:p>
      <w:hyperlink r:id="rId9">
        <w:r>
          <w:rPr>
            <w:rFonts w:ascii="Times New Roman" w:hAnsi="Times New Roman" w:eastAsia="Times New Roman"/>
            <w:sz w:val="22"/>
            <w:color w:val="0563C1"/>
            <w:u w:val="single"/>
          </w:rPr>
          <w:t>Voluntary National Review country process</w:t>
        </w:r>
      </w:hyperlink>
      <w:r>
        <w:rPr>
          <w:rFonts w:ascii="Times New Roman" w:hAnsi="Times New Roman" w:eastAsia="Times New Roman"/>
          <w:b/>
          <w:i w:val="0"/>
          <w:sz w:val="22"/>
        </w:rPr>
        <w:t xml:space="preserve"> — Previous autumn–June · only for reviewing countries</w:t>
      </w:r>
      <w:r>
        <w:rPr>
          <w:rFonts w:ascii="Times New Roman" w:hAnsi="Times New Roman" w:eastAsia="Times New Roman"/>
          <w:b w:val="0"/>
          <w:i w:val="0"/>
          <w:sz w:val="22"/>
        </w:rPr>
        <w:t>. The official country list determines whether there is a VNR opening. The review is state-led and begins domestically; the New York presentation is the final stage, not the start of the process.</w:t>
      </w:r>
      <w:r>
        <w:rPr>
          <w:rFonts w:ascii="Times New Roman" w:hAnsi="Times New Roman" w:eastAsia="Times New Roman"/>
          <w:b w:val="0"/>
          <w:i/>
          <w:sz w:val="22"/>
        </w:rPr>
        <w:t xml:space="preserve"> Status: Country-specific annual list.</w:t>
      </w:r>
    </w:p>
    <w:p>
      <w:hyperlink r:id="rId9">
        <w:r>
          <w:rPr>
            <w:rFonts w:ascii="Times New Roman" w:hAnsi="Times New Roman" w:eastAsia="Times New Roman"/>
            <w:sz w:val="22"/>
            <w:color w:val="0563C1"/>
            <w:u w:val="single"/>
          </w:rPr>
          <w:t>VNR main messages and final report</w:t>
        </w:r>
      </w:hyperlink>
      <w:r>
        <w:rPr>
          <w:rFonts w:ascii="Times New Roman" w:hAnsi="Times New Roman" w:eastAsia="Times New Roman"/>
          <w:b/>
          <w:i w:val="0"/>
          <w:sz w:val="22"/>
        </w:rPr>
        <w:t xml:space="preserve"> — Spring–June · cycle-specific deadlines</w:t>
      </w:r>
      <w:r>
        <w:rPr>
          <w:rFonts w:ascii="Times New Roman" w:hAnsi="Times New Roman" w:eastAsia="Times New Roman"/>
          <w:b w:val="0"/>
          <w:i w:val="0"/>
          <w:sz w:val="22"/>
        </w:rPr>
        <w:t>. In 2025, main messages were due on 24 April and final reports on 17 June. The current handbook and VNR workshops must be checked because the deadlines are set anew.</w:t>
      </w:r>
      <w:r>
        <w:rPr>
          <w:rFonts w:ascii="Times New Roman" w:hAnsi="Times New Roman" w:eastAsia="Times New Roman"/>
          <w:b w:val="0"/>
          <w:i/>
          <w:sz w:val="22"/>
        </w:rPr>
        <w:t xml:space="preserve"> Status: 2025 official precedent.</w:t>
      </w:r>
    </w:p>
    <w:p>
      <w:hyperlink r:id="rId10">
        <w:r>
          <w:rPr>
            <w:rFonts w:ascii="Times New Roman" w:hAnsi="Times New Roman" w:eastAsia="Times New Roman"/>
            <w:sz w:val="22"/>
            <w:color w:val="0563C1"/>
            <w:u w:val="single"/>
          </w:rPr>
          <w:t>2027 SDG Summit political declaration</w:t>
        </w:r>
      </w:hyperlink>
      <w:r>
        <w:rPr>
          <w:rFonts w:ascii="Times New Roman" w:hAnsi="Times New Roman" w:eastAsia="Times New Roman"/>
          <w:b/>
          <w:i w:val="0"/>
          <w:sz w:val="22"/>
        </w:rPr>
        <w:t xml:space="preserve"> — Spring–September · 2027 timetable pending</w:t>
      </w:r>
      <w:r>
        <w:rPr>
          <w:rFonts w:ascii="Times New Roman" w:hAnsi="Times New Roman" w:eastAsia="Times New Roman"/>
          <w:b w:val="0"/>
          <w:i w:val="0"/>
          <w:sz w:val="22"/>
        </w:rPr>
        <w:t>. In an SDG Summit year, the July and September HLPF meetings are covered by one negotiated political declaration rather than a separate July ministerial declaration. In the 2023 precedent, an elements paper in February was followed by a May zero draft, June consultations, a July final draft and September adoption.</w:t>
      </w:r>
      <w:r>
        <w:rPr>
          <w:rFonts w:ascii="Times New Roman" w:hAnsi="Times New Roman" w:eastAsia="Times New Roman"/>
          <w:b w:val="0"/>
          <w:i/>
          <w:sz w:val="22"/>
        </w:rPr>
        <w:t xml:space="preserve"> Status: 2027 outcome type established; negotiation dates pending.</w:t>
      </w:r>
    </w:p>
    <w:p>
      <w:hyperlink r:id="rId11">
        <w:r>
          <w:rPr>
            <w:rFonts w:ascii="Times New Roman" w:hAnsi="Times New Roman" w:eastAsia="Times New Roman"/>
            <w:sz w:val="22"/>
            <w:color w:val="0563C1"/>
            <w:u w:val="single"/>
          </w:rPr>
          <w:t>Official side-event call</w:t>
        </w:r>
      </w:hyperlink>
      <w:r>
        <w:rPr>
          <w:rFonts w:ascii="Times New Roman" w:hAnsi="Times New Roman" w:eastAsia="Times New Roman"/>
          <w:b/>
          <w:i w:val="0"/>
          <w:sz w:val="22"/>
        </w:rPr>
        <w:t xml:space="preserve"> — Spring · exact dates change</w:t>
      </w:r>
      <w:r>
        <w:rPr>
          <w:rFonts w:ascii="Times New Roman" w:hAnsi="Times New Roman" w:eastAsia="Times New Roman"/>
          <w:b w:val="0"/>
          <w:i w:val="0"/>
          <w:sz w:val="22"/>
        </w:rPr>
        <w:t>. In 2025, applications closed on 9 May and approval notification was expected by 6 June. The annual guidelines define eligibility and format.</w:t>
      </w:r>
      <w:r>
        <w:rPr>
          <w:rFonts w:ascii="Times New Roman" w:hAnsi="Times New Roman" w:eastAsia="Times New Roman"/>
          <w:b w:val="0"/>
          <w:i/>
          <w:sz w:val="22"/>
        </w:rPr>
        <w:t xml:space="preserve"> Status: 2025 official precedent.</w:t>
      </w:r>
    </w:p>
    <w:p>
      <w:hyperlink r:id="rId12">
        <w:r>
          <w:rPr>
            <w:rFonts w:ascii="Times New Roman" w:hAnsi="Times New Roman" w:eastAsia="Times New Roman"/>
            <w:sz w:val="22"/>
            <w:color w:val="0563C1"/>
            <w:u w:val="single"/>
          </w:rPr>
          <w:t>VNR Labs</w:t>
        </w:r>
      </w:hyperlink>
      <w:r>
        <w:rPr>
          <w:rFonts w:ascii="Times New Roman" w:hAnsi="Times New Roman" w:eastAsia="Times New Roman"/>
          <w:b/>
          <w:i w:val="0"/>
          <w:sz w:val="22"/>
        </w:rPr>
        <w:t xml:space="preserve"> — HLPF week</w:t>
      </w:r>
      <w:r>
        <w:rPr>
          <w:rFonts w:ascii="Times New Roman" w:hAnsi="Times New Roman" w:eastAsia="Times New Roman"/>
          <w:b w:val="0"/>
          <w:i w:val="0"/>
          <w:sz w:val="22"/>
        </w:rPr>
        <w:t>. VNR Labs are informal spaces for candid exchange on VNR practice. They are distinct from formal country presentations, declaration negotiations and side events.</w:t>
      </w:r>
      <w:r>
        <w:rPr>
          <w:rFonts w:ascii="Times New Roman" w:hAnsi="Times New Roman" w:eastAsia="Times New Roman"/>
          <w:b w:val="0"/>
          <w:i/>
          <w:sz w:val="22"/>
        </w:rPr>
        <w:t xml:space="preserve"> Status: Recurring HLPF event format.</w:t>
      </w:r>
    </w:p>
    <w:p>
      <w:pPr>
        <w:pStyle w:val="Heading1"/>
      </w:pPr>
      <w:r>
        <w:t>UNYD participation</w:t>
      </w:r>
    </w:p>
    <w:p>
      <w:pPr>
        <w:pStyle w:val="ListBullet"/>
      </w:pPr>
      <w:r>
        <w:rPr>
          <w:rFonts w:ascii="Times New Roman" w:hAnsi="Times New Roman" w:eastAsia="Times New Roman"/>
          <w:b w:val="0"/>
          <w:i w:val="0"/>
          <w:sz w:val="22"/>
        </w:rPr>
        <w:t>UN Youth Delegate participation normally depends on the national delegation, especially where the country presents a Voluntary National Review.</w:t>
      </w:r>
    </w:p>
    <w:p>
      <w:pPr>
        <w:pStyle w:val="ListBullet"/>
      </w:pPr>
      <w:r>
        <w:rPr>
          <w:rFonts w:ascii="Times New Roman" w:hAnsi="Times New Roman" w:eastAsia="Times New Roman"/>
          <w:b w:val="0"/>
          <w:i w:val="0"/>
          <w:sz w:val="22"/>
        </w:rPr>
        <w:t>Possible roles include VNR preparation, delegation briefings, thematic sessions, statements, bilateral meetings and side events.</w:t>
      </w:r>
    </w:p>
    <w:p>
      <w:pPr>
        <w:pStyle w:val="ListBullet"/>
      </w:pPr>
      <w:r>
        <w:rPr>
          <w:rFonts w:ascii="Times New Roman" w:hAnsi="Times New Roman" w:eastAsia="Times New Roman"/>
          <w:b w:val="0"/>
          <w:i w:val="0"/>
          <w:sz w:val="22"/>
        </w:rPr>
        <w:t>Some countries appoint separate sustainable-development youth delegates; those roles should not be attributed to a general UN Youth Delegate without verification.</w:t>
      </w:r>
    </w:p>
    <w:p>
      <w:pPr>
        <w:pStyle w:val="Heading1"/>
      </w:pPr>
      <w:r>
        <w:t>Session structure</w:t>
      </w:r>
    </w:p>
    <w:p>
      <w:pPr>
        <w:pStyle w:val="ListBullet"/>
      </w:pPr>
      <w:r>
        <w:rPr>
          <w:rFonts w:ascii="Times New Roman" w:hAnsi="Times New Roman" w:eastAsia="Times New Roman"/>
          <w:b/>
          <w:i w:val="0"/>
          <w:sz w:val="22"/>
        </w:rPr>
        <w:t xml:space="preserve">Before July — National preparation: </w:t>
      </w:r>
      <w:r>
        <w:rPr>
          <w:rFonts w:ascii="Times New Roman" w:hAnsi="Times New Roman" w:eastAsia="Times New Roman"/>
          <w:b w:val="0"/>
          <w:i w:val="0"/>
          <w:sz w:val="22"/>
        </w:rPr>
        <w:t>VNR work, SDG review and delegation coordination</w:t>
      </w:r>
    </w:p>
    <w:p>
      <w:pPr>
        <w:pStyle w:val="ListBullet"/>
      </w:pPr>
      <w:r>
        <w:rPr>
          <w:rFonts w:ascii="Times New Roman" w:hAnsi="Times New Roman" w:eastAsia="Times New Roman"/>
          <w:b/>
          <w:i w:val="0"/>
          <w:sz w:val="22"/>
        </w:rPr>
        <w:t xml:space="preserve">6 July — Opening: </w:t>
      </w:r>
      <w:r>
        <w:rPr>
          <w:rFonts w:ascii="Times New Roman" w:hAnsi="Times New Roman" w:eastAsia="Times New Roman"/>
          <w:b w:val="0"/>
          <w:i w:val="0"/>
          <w:sz w:val="22"/>
        </w:rPr>
        <w:t>Opening and start of thematic review</w:t>
      </w:r>
    </w:p>
    <w:p>
      <w:pPr>
        <w:pStyle w:val="ListBullet"/>
      </w:pPr>
      <w:r>
        <w:rPr>
          <w:rFonts w:ascii="Times New Roman" w:hAnsi="Times New Roman" w:eastAsia="Times New Roman"/>
          <w:b/>
          <w:i w:val="0"/>
          <w:sz w:val="22"/>
        </w:rPr>
        <w:t xml:space="preserve">6–15 July — Thematic reviews and VNRs: </w:t>
      </w:r>
      <w:r>
        <w:rPr>
          <w:rFonts w:ascii="Times New Roman" w:hAnsi="Times New Roman" w:eastAsia="Times New Roman"/>
          <w:b w:val="0"/>
          <w:i w:val="0"/>
          <w:sz w:val="22"/>
        </w:rPr>
        <w:t>SDG sessions, national reviews and side events</w:t>
      </w:r>
    </w:p>
    <w:p>
      <w:pPr>
        <w:pStyle w:val="ListBullet"/>
      </w:pPr>
      <w:r>
        <w:rPr>
          <w:rFonts w:ascii="Times New Roman" w:hAnsi="Times New Roman" w:eastAsia="Times New Roman"/>
          <w:b/>
          <w:i w:val="0"/>
          <w:sz w:val="22"/>
        </w:rPr>
        <w:t xml:space="preserve">13–15 July — Ministerial segment: </w:t>
      </w:r>
      <w:r>
        <w:rPr>
          <w:rFonts w:ascii="Times New Roman" w:hAnsi="Times New Roman" w:eastAsia="Times New Roman"/>
          <w:b w:val="0"/>
          <w:i w:val="0"/>
          <w:sz w:val="22"/>
        </w:rPr>
        <w:t>Ministerial meetings; 2027 feeds into the single SDG Summit political declaration rather than a separate July ministerial declaration</w:t>
      </w:r>
    </w:p>
    <w:p>
      <w:pPr>
        <w:pStyle w:val="ListBullet"/>
      </w:pPr>
      <w:r>
        <w:rPr>
          <w:rFonts w:ascii="Times New Roman" w:hAnsi="Times New Roman" w:eastAsia="Times New Roman"/>
          <w:b/>
          <w:i w:val="0"/>
          <w:sz w:val="22"/>
        </w:rPr>
        <w:t xml:space="preserve">September · date TBC — SDG Summit: </w:t>
      </w:r>
      <w:r>
        <w:rPr>
          <w:rFonts w:ascii="Times New Roman" w:hAnsi="Times New Roman" w:eastAsia="Times New Roman"/>
          <w:b w:val="0"/>
          <w:i w:val="0"/>
          <w:sz w:val="22"/>
        </w:rPr>
        <w:t>Heads-of-State HLPF under the General Assembly and action on the negotiated political declaration</w:t>
      </w:r>
    </w:p>
    <w:p>
      <w:pPr>
        <w:pStyle w:val="Heading1"/>
      </w:pPr>
      <w:r>
        <w:t>Preparation and negotiation calendar</w:t>
      </w:r>
    </w:p>
    <w:p>
      <w:r>
        <w:t>Because 2027 is an SDG Summit year, the ordinary July ministerial-declaration sequence is not projected. The political-declaration bars use the 2023 Summit cycle only as a precedent; the 2027 co-facilitator timetable is still pending.</w:t>
      </w:r>
    </w:p>
    <w:p>
      <w:pPr>
        <w:pStyle w:val="ListBullet"/>
      </w:pPr>
      <w:r>
        <w:rPr>
          <w:rFonts w:ascii="Times New Roman" w:hAnsi="Times New Roman" w:eastAsia="Times New Roman"/>
          <w:b/>
          <w:i w:val="0"/>
          <w:sz w:val="22"/>
        </w:rPr>
        <w:t xml:space="preserve">SDG Summit political-declaration zero draft — 2027-05-03 to 2027-05-14: </w:t>
      </w:r>
      <w:r>
        <w:rPr>
          <w:rFonts w:ascii="Times New Roman" w:hAnsi="Times New Roman" w:eastAsia="Times New Roman"/>
          <w:b w:val="0"/>
          <w:i w:val="0"/>
          <w:sz w:val="22"/>
        </w:rPr>
        <w:t>The 2023 Summit precedent placed the zero draft on 8 May. The 2027 co-facilitators have not yet published a timetable. Status: recent cycle.</w:t>
      </w:r>
    </w:p>
    <w:p>
      <w:pPr>
        <w:pStyle w:val="ListBullet"/>
      </w:pPr>
      <w:r>
        <w:rPr>
          <w:rFonts w:ascii="Times New Roman" w:hAnsi="Times New Roman" w:eastAsia="Times New Roman"/>
          <w:b/>
          <w:i w:val="0"/>
          <w:sz w:val="22"/>
        </w:rPr>
        <w:t xml:space="preserve">Political-declaration consultations and revisions — 2027-06-01 to 2027-07-23: </w:t>
      </w:r>
      <w:r>
        <w:rPr>
          <w:rFonts w:ascii="Times New Roman" w:hAnsi="Times New Roman" w:eastAsia="Times New Roman"/>
          <w:b w:val="0"/>
          <w:i w:val="0"/>
          <w:sz w:val="22"/>
        </w:rPr>
        <w:t>The 2023 precedent used June consultations and a final draft in July. These dates are an early-warning range, not a 2027 deadline. Status: recent cycle.</w:t>
      </w:r>
    </w:p>
    <w:p>
      <w:pPr>
        <w:pStyle w:val="ListBullet"/>
      </w:pPr>
      <w:r>
        <w:rPr>
          <w:rFonts w:ascii="Times New Roman" w:hAnsi="Times New Roman" w:eastAsia="Times New Roman"/>
          <w:b/>
          <w:i w:val="0"/>
          <w:sz w:val="22"/>
        </w:rPr>
        <w:t xml:space="preserve">HLPF — 2027-07-06 to 2027-07-15: </w:t>
      </w:r>
      <w:r>
        <w:rPr>
          <w:rFonts w:ascii="Times New Roman" w:hAnsi="Times New Roman" w:eastAsia="Times New Roman"/>
          <w:b w:val="0"/>
          <w:i w:val="0"/>
          <w:sz w:val="22"/>
        </w:rPr>
        <w:t>Official provisional forum dates. Status: official.</w:t>
      </w:r>
    </w:p>
    <w:p>
      <w:pPr>
        <w:pStyle w:val="ListBullet"/>
      </w:pPr>
      <w:r>
        <w:rPr>
          <w:rFonts w:ascii="Times New Roman" w:hAnsi="Times New Roman" w:eastAsia="Times New Roman"/>
          <w:b/>
          <w:i w:val="0"/>
          <w:sz w:val="22"/>
        </w:rPr>
        <w:t xml:space="preserve">SDG Summit — 2027-09-20 to 2027-09-22: </w:t>
      </w:r>
      <w:r>
        <w:rPr>
          <w:rFonts w:ascii="Times New Roman" w:hAnsi="Times New Roman" w:eastAsia="Times New Roman"/>
          <w:b w:val="0"/>
          <w:i w:val="0"/>
          <w:sz w:val="22"/>
        </w:rPr>
        <w:t>The Heads-of-State HLPF under the General Assembly will take place in September 2027. Exact dates are not yet published. Status: tentative.</w:t>
      </w:r>
    </w:p>
    <w:p>
      <w:pPr>
        <w:pStyle w:val="Heading1"/>
      </w:pPr>
      <w:r>
        <w:t>Negotiations and policy work</w:t>
      </w:r>
    </w:p>
    <w:p>
      <w:r>
        <w:rPr>
          <w:rFonts w:ascii="Times New Roman" w:hAnsi="Times New Roman" w:eastAsia="Times New Roman"/>
          <w:b/>
          <w:i w:val="0"/>
          <w:sz w:val="22"/>
        </w:rPr>
        <w:t xml:space="preserve">What to follow: </w:t>
      </w:r>
      <w:r>
        <w:rPr>
          <w:rFonts w:ascii="Times New Roman" w:hAnsi="Times New Roman" w:eastAsia="Times New Roman"/>
          <w:b w:val="0"/>
          <w:i w:val="0"/>
          <w:sz w:val="22"/>
        </w:rPr>
        <w:t>The July ECOSOC HLPF includes thematic reviews and Voluntary National Reviews. Because 2027 is also an SDG Summit year, the cycle is expected to have one negotiated political declaration covering the July and September HLPF meetings, rather than a separate July ministerial declaration, following the rule and 2023 precedent.</w:t>
      </w:r>
    </w:p>
    <w:p>
      <w:pPr>
        <w:pStyle w:val="Heading2"/>
      </w:pPr>
      <w:r>
        <w:t>Watch for</w:t>
      </w:r>
    </w:p>
    <w:p>
      <w:pPr>
        <w:pStyle w:val="ListBullet"/>
      </w:pPr>
      <w:r>
        <w:rPr>
          <w:rFonts w:ascii="Times New Roman" w:hAnsi="Times New Roman" w:eastAsia="Times New Roman"/>
          <w:b w:val="0"/>
          <w:i w:val="0"/>
          <w:sz w:val="22"/>
        </w:rPr>
        <w:t>The official VNR country list and each reviewing country’s national consultation timetable. VNRs are state-led and country-specific; the New York presentation is the final stage of a longer domestic process.</w:t>
      </w:r>
    </w:p>
    <w:p>
      <w:pPr>
        <w:pStyle w:val="ListBullet"/>
      </w:pPr>
      <w:r>
        <w:rPr>
          <w:rFonts w:ascii="Times New Roman" w:hAnsi="Times New Roman" w:eastAsia="Times New Roman"/>
          <w:b w:val="0"/>
          <w:i w:val="0"/>
          <w:sz w:val="22"/>
        </w:rPr>
        <w:t>The VNR main-messages and final-report deadlines. In the 2025 cycle these were 24 April and 17 June; each year’s handbook and workshops set new dates.</w:t>
      </w:r>
    </w:p>
    <w:p>
      <w:pPr>
        <w:pStyle w:val="ListBullet"/>
      </w:pPr>
      <w:r>
        <w:rPr>
          <w:rFonts w:ascii="Times New Roman" w:hAnsi="Times New Roman" w:eastAsia="Times New Roman"/>
          <w:b w:val="0"/>
          <w:i w:val="0"/>
          <w:sz w:val="22"/>
        </w:rPr>
        <w:t>The SDGs under review in 2027: Goals 4, 10, 12, 15 and 17, plus the connection to the September 2027 SDG Summit.</w:t>
      </w:r>
    </w:p>
    <w:p>
      <w:pPr>
        <w:pStyle w:val="ListBullet"/>
      </w:pPr>
      <w:r>
        <w:rPr>
          <w:rFonts w:ascii="Times New Roman" w:hAnsi="Times New Roman" w:eastAsia="Times New Roman"/>
          <w:b w:val="0"/>
          <w:i w:val="0"/>
          <w:sz w:val="22"/>
        </w:rPr>
        <w:t>The 2027 SDG Summit political-declaration timetable: General Assembly co-facilitators, elements paper, zero draft, consultations, revisions and final text. The 2027 timetable is not yet published.</w:t>
      </w:r>
    </w:p>
    <w:p>
      <w:pPr>
        <w:pStyle w:val="ListBullet"/>
      </w:pPr>
      <w:r>
        <w:rPr>
          <w:rFonts w:ascii="Times New Roman" w:hAnsi="Times New Roman" w:eastAsia="Times New Roman"/>
          <w:b w:val="0"/>
          <w:i w:val="0"/>
          <w:sz w:val="22"/>
        </w:rPr>
        <w:t>The official side-event call and the VNR Lab programme. In 2025, side-event applications closed on 9 May and approvals were expected by 6 June.</w:t>
      </w:r>
    </w:p>
    <w:p>
      <w:r>
        <w:rPr>
          <w:rFonts w:ascii="Times New Roman" w:hAnsi="Times New Roman" w:eastAsia="Times New Roman"/>
          <w:b/>
          <w:i w:val="0"/>
          <w:sz w:val="22"/>
        </w:rPr>
        <w:t xml:space="preserve">Indicative lead time: </w:t>
      </w:r>
      <w:r>
        <w:rPr>
          <w:rFonts w:ascii="Times New Roman" w:hAnsi="Times New Roman" w:eastAsia="Times New Roman"/>
          <w:b w:val="0"/>
          <w:i w:val="0"/>
          <w:sz w:val="22"/>
        </w:rPr>
        <w:t>If the country is presenting a VNR, enter the national process as soon as it opens—often in the preceding autumn. For the 2027 SDG Summit political declaration, contact your country’s Permanent Mission in New York when the General Assembly appoints co-facilitators and publishes the consultation timetable.</w:t>
      </w:r>
    </w:p>
    <w:p>
      <w:r>
        <w:rPr>
          <w:rFonts w:ascii="Times New Roman" w:hAnsi="Times New Roman" w:eastAsia="Times New Roman"/>
          <w:b/>
          <w:i w:val="0"/>
          <w:sz w:val="22"/>
        </w:rPr>
        <w:t xml:space="preserve">Likely formal route: </w:t>
      </w:r>
      <w:r>
        <w:rPr>
          <w:rFonts w:ascii="Times New Roman" w:hAnsi="Times New Roman" w:eastAsia="Times New Roman"/>
          <w:b w:val="0"/>
          <w:i w:val="0"/>
          <w:sz w:val="22"/>
        </w:rPr>
        <w:t>Use the national VNR ministry for the country review and your country’s Permanent Mission in New York for the SDG Summit political declaration and official delegation. These are distinct channels with separate schedules.</w:t>
      </w:r>
    </w:p>
    <w:p>
      <w:pPr>
        <w:pStyle w:val="Heading2"/>
      </w:pPr>
      <w:r>
        <w:t>Negotiation and language resources</w:t>
      </w:r>
    </w:p>
    <w:p>
      <w:pPr>
        <w:pStyle w:val="ListBullet"/>
      </w:pPr>
      <w:hyperlink r:id="rId13">
        <w:r>
          <w:rPr>
            <w:rFonts w:ascii="Times New Roman" w:hAnsi="Times New Roman" w:eastAsia="Times New Roman"/>
            <w:sz w:val="22"/>
            <w:color w:val="0563C1"/>
            <w:u w:val="single"/>
          </w:rPr>
          <w:t>Negotiation and language guide</w:t>
        </w:r>
      </w:hyperlink>
      <w:r>
        <w:rPr>
          <w:rFonts w:ascii="Times New Roman" w:hAnsi="Times New Roman" w:eastAsia="Times New Roman"/>
          <w:b w:val="0"/>
          <w:i w:val="0"/>
          <w:sz w:val="22"/>
        </w:rPr>
        <w:t>: Negotiation process, agreed-language research, resolution structure and text-markup conventions.</w:t>
      </w:r>
    </w:p>
    <w:p>
      <w:pPr>
        <w:pStyle w:val="ListBullet"/>
      </w:pPr>
      <w:hyperlink r:id="rId14">
        <w:r>
          <w:rPr>
            <w:rFonts w:ascii="Times New Roman" w:hAnsi="Times New Roman" w:eastAsia="Times New Roman"/>
            <w:sz w:val="22"/>
            <w:color w:val="0563C1"/>
            <w:u w:val="single"/>
          </w:rPr>
          <w:t>UNGA explainer slides · negotiation section</w:t>
        </w:r>
      </w:hyperlink>
      <w:r>
        <w:rPr>
          <w:rFonts w:ascii="Times New Roman" w:hAnsi="Times New Roman" w:eastAsia="Times New Roman"/>
          <w:b w:val="0"/>
          <w:i w:val="0"/>
          <w:sz w:val="22"/>
        </w:rPr>
        <w:t>: Slides 16–28 show recurring resolutions, drafting roles, the Youth Resolution sequence, agreed language and markup notation.</w:t>
      </w:r>
    </w:p>
    <w:p>
      <w:pPr>
        <w:pStyle w:val="Heading1"/>
      </w:pPr>
      <w:r>
        <w:t>Practical timeline</w:t>
      </w:r>
    </w:p>
    <w:p>
      <w:pPr>
        <w:pStyle w:val="ListBullet"/>
      </w:pPr>
      <w:r>
        <w:rPr>
          <w:rFonts w:ascii="Times New Roman" w:hAnsi="Times New Roman" w:eastAsia="Times New Roman"/>
          <w:b/>
          <w:i w:val="0"/>
          <w:sz w:val="22"/>
        </w:rPr>
        <w:t xml:space="preserve">Previous autumn — </w:t>
      </w:r>
      <w:hyperlink r:id="rId9">
        <w:r>
          <w:rPr>
            <w:rFonts w:ascii="Times New Roman" w:hAnsi="Times New Roman" w:eastAsia="Times New Roman"/>
            <w:sz w:val="22"/>
            <w:color w:val="0563C1"/>
            <w:u w:val="single"/>
          </w:rPr>
          <w:t>Official VNR country list</w:t>
        </w:r>
      </w:hyperlink>
      <w:r>
        <w:rPr>
          <w:rFonts w:ascii="Times New Roman" w:hAnsi="Times New Roman" w:eastAsia="Times New Roman"/>
          <w:b w:val="0"/>
          <w:i w:val="0"/>
          <w:sz w:val="22"/>
        </w:rPr>
        <w:t>: The invitation for the 2026 cycle requested expressions of interest by 30 September 2025. Once the list is published, check whether the country is reviewing and identify the national coordinating ministry; the date is set anew each cycle.</w:t>
      </w:r>
    </w:p>
    <w:p>
      <w:pPr>
        <w:pStyle w:val="ListBullet"/>
      </w:pPr>
      <w:r>
        <w:rPr>
          <w:rFonts w:ascii="Times New Roman" w:hAnsi="Times New Roman" w:eastAsia="Times New Roman"/>
          <w:b/>
          <w:i w:val="0"/>
          <w:sz w:val="22"/>
        </w:rPr>
        <w:t xml:space="preserve">National cycle · often autumn–June — </w:t>
      </w:r>
      <w:hyperlink r:id="rId9">
        <w:r>
          <w:rPr>
            <w:rFonts w:ascii="Times New Roman" w:hAnsi="Times New Roman" w:eastAsia="Times New Roman"/>
            <w:sz w:val="22"/>
            <w:color w:val="0563C1"/>
            <w:u w:val="single"/>
          </w:rPr>
          <w:t>VNR consultation, main messages and final report</w:t>
        </w:r>
      </w:hyperlink>
      <w:r>
        <w:rPr>
          <w:rFonts w:ascii="Times New Roman" w:hAnsi="Times New Roman" w:eastAsia="Times New Roman"/>
          <w:b w:val="0"/>
          <w:i w:val="0"/>
          <w:sz w:val="22"/>
        </w:rPr>
        <w:t>: The process is state-led and country-specific. In 2025, main messages were due on 24 April and final VNR reports on 17 June; use the current handbook or workshop material before relying on those precedent dates.</w:t>
      </w:r>
    </w:p>
    <w:p>
      <w:pPr>
        <w:pStyle w:val="ListBullet"/>
      </w:pPr>
      <w:r>
        <w:rPr>
          <w:rFonts w:ascii="Times New Roman" w:hAnsi="Times New Roman" w:eastAsia="Times New Roman"/>
          <w:b/>
          <w:i w:val="0"/>
          <w:sz w:val="22"/>
        </w:rPr>
        <w:t xml:space="preserve">When appointed · 2027 dates pending — </w:t>
      </w:r>
      <w:hyperlink r:id="rId10">
        <w:r>
          <w:rPr>
            <w:rFonts w:ascii="Times New Roman" w:hAnsi="Times New Roman" w:eastAsia="Times New Roman"/>
            <w:sz w:val="22"/>
            <w:color w:val="0563C1"/>
            <w:u w:val="single"/>
          </w:rPr>
          <w:t>SDG Summit political-declaration co-facilitators</w:t>
        </w:r>
      </w:hyperlink>
      <w:r>
        <w:rPr>
          <w:rFonts w:ascii="Times New Roman" w:hAnsi="Times New Roman" w:eastAsia="Times New Roman"/>
          <w:b w:val="0"/>
          <w:i w:val="0"/>
          <w:sz w:val="22"/>
        </w:rPr>
        <w:t>: The President of the General Assembly appoints the co-facilitators and they publish the consultation timetable. In the 2023 precedent, the elements paper appeared on 28 February; that date is not a standing 2027 deadline.</w:t>
      </w:r>
    </w:p>
    <w:p>
      <w:pPr>
        <w:pStyle w:val="ListBullet"/>
      </w:pPr>
      <w:r>
        <w:rPr>
          <w:rFonts w:ascii="Times New Roman" w:hAnsi="Times New Roman" w:eastAsia="Times New Roman"/>
          <w:b/>
          <w:i w:val="0"/>
          <w:sz w:val="22"/>
        </w:rPr>
        <w:t xml:space="preserve">Spring–summer · 2023 precedent — </w:t>
      </w:r>
      <w:hyperlink r:id="rId10">
        <w:r>
          <w:rPr>
            <w:rFonts w:ascii="Times New Roman" w:hAnsi="Times New Roman" w:eastAsia="Times New Roman"/>
            <w:sz w:val="22"/>
            <w:color w:val="0563C1"/>
            <w:u w:val="single"/>
          </w:rPr>
          <w:t>Political-declaration zero draft and consultations</w:t>
        </w:r>
      </w:hyperlink>
      <w:r>
        <w:rPr>
          <w:rFonts w:ascii="Times New Roman" w:hAnsi="Times New Roman" w:eastAsia="Times New Roman"/>
          <w:b w:val="0"/>
          <w:i w:val="0"/>
          <w:sz w:val="22"/>
        </w:rPr>
        <w:t>: For the 2023 SDG Summit, the zero draft appeared on 8 May, a revised zero draft on 8 June and the final draft on 19 July before September adoption. Use the eventual 2027 co-facilitator timetable rather than projecting those dates as official.</w:t>
      </w:r>
    </w:p>
    <w:p>
      <w:pPr>
        <w:pStyle w:val="ListBullet"/>
      </w:pPr>
      <w:r>
        <w:rPr>
          <w:rFonts w:ascii="Times New Roman" w:hAnsi="Times New Roman" w:eastAsia="Times New Roman"/>
          <w:b/>
          <w:i w:val="0"/>
          <w:sz w:val="22"/>
        </w:rPr>
        <w:t xml:space="preserve">Spring · if applying — </w:t>
      </w:r>
      <w:hyperlink r:id="rId11">
        <w:r>
          <w:rPr>
            <w:rFonts w:ascii="Times New Roman" w:hAnsi="Times New Roman" w:eastAsia="Times New Roman"/>
            <w:sz w:val="22"/>
            <w:color w:val="0563C1"/>
            <w:u w:val="single"/>
          </w:rPr>
          <w:t>Official HLPF side-event call</w:t>
        </w:r>
      </w:hyperlink>
      <w:r>
        <w:rPr>
          <w:rFonts w:ascii="Times New Roman" w:hAnsi="Times New Roman" w:eastAsia="Times New Roman"/>
          <w:b w:val="0"/>
          <w:i w:val="0"/>
          <w:sz w:val="22"/>
        </w:rPr>
        <w:t>: The 2025 application deadline was 9 May and approval notification was expected by 6 June. These are dated precedents, not standing deadlines.</w:t>
      </w:r>
    </w:p>
    <w:p>
      <w:pPr>
        <w:pStyle w:val="ListBullet"/>
      </w:pPr>
      <w:r>
        <w:rPr>
          <w:rFonts w:ascii="Times New Roman" w:hAnsi="Times New Roman" w:eastAsia="Times New Roman"/>
          <w:b/>
          <w:i w:val="0"/>
          <w:sz w:val="22"/>
        </w:rPr>
        <w:t xml:space="preserve">July — </w:t>
      </w:r>
      <w:hyperlink r:id="rId12">
        <w:r>
          <w:rPr>
            <w:rFonts w:ascii="Times New Roman" w:hAnsi="Times New Roman" w:eastAsia="Times New Roman"/>
            <w:sz w:val="22"/>
            <w:color w:val="0563C1"/>
            <w:u w:val="single"/>
          </w:rPr>
          <w:t>VNR presentations, VNR Labs and official events</w:t>
        </w:r>
      </w:hyperlink>
      <w:r>
        <w:rPr>
          <w:rFonts w:ascii="Times New Roman" w:hAnsi="Times New Roman" w:eastAsia="Times New Roman"/>
          <w:b w:val="0"/>
          <w:i w:val="0"/>
          <w:sz w:val="22"/>
        </w:rPr>
        <w:t>: Use the programme to distinguish formal VNR presentations from VNR Labs, which are informal spaces for candid exchange, and from separately approved side events.</w:t>
      </w:r>
    </w:p>
    <w:p>
      <w:pPr>
        <w:pStyle w:val="ListBullet"/>
      </w:pPr>
      <w:r>
        <w:rPr>
          <w:rFonts w:ascii="Times New Roman" w:hAnsi="Times New Roman" w:eastAsia="Times New Roman"/>
          <w:b/>
          <w:i w:val="0"/>
          <w:sz w:val="22"/>
        </w:rPr>
        <w:t xml:space="preserve">September 2027 · exact dates pending — </w:t>
      </w:r>
      <w:hyperlink r:id="rId15">
        <w:r>
          <w:rPr>
            <w:rFonts w:ascii="Times New Roman" w:hAnsi="Times New Roman" w:eastAsia="Times New Roman"/>
            <w:sz w:val="22"/>
            <w:color w:val="0563C1"/>
            <w:u w:val="single"/>
          </w:rPr>
          <w:t>SDG Summit and political declaration</w:t>
        </w:r>
      </w:hyperlink>
      <w:r>
        <w:rPr>
          <w:rFonts w:ascii="Times New Roman" w:hAnsi="Times New Roman" w:eastAsia="Times New Roman"/>
          <w:b w:val="0"/>
          <w:i w:val="0"/>
          <w:sz w:val="22"/>
        </w:rPr>
        <w:t>: The HLPF meets under the General Assembly at Heads-of-State level. The official 2027 page and General Assembly programme will confirm the Summit dates and action on the negotiated political declaration.</w:t>
      </w:r>
    </w:p>
    <w:p>
      <w:pPr>
        <w:pStyle w:val="Heading1"/>
      </w:pPr>
      <w:r>
        <w:t>Examples</w:t>
      </w:r>
    </w:p>
    <w:p>
      <w:r>
        <w:t>No verified public example is currently included on the website for this process.</w:t>
      </w:r>
    </w:p>
    <w:p>
      <w:pPr>
        <w:pStyle w:val="Heading1"/>
      </w:pPr>
      <w:r>
        <w:t>Contacts</w:t>
      </w:r>
    </w:p>
    <w:p>
      <w:pPr>
        <w:pStyle w:val="ListBullet"/>
      </w:pPr>
      <w:r>
        <w:rPr>
          <w:rFonts w:ascii="Times New Roman" w:hAnsi="Times New Roman" w:eastAsia="Times New Roman"/>
          <w:b/>
          <w:i w:val="0"/>
          <w:sz w:val="22"/>
        </w:rPr>
        <w:t xml:space="preserve">UN DESA · HLPF Secretariat: </w:t>
      </w:r>
      <w:r>
        <w:rPr>
          <w:rFonts w:ascii="Times New Roman" w:hAnsi="Times New Roman" w:eastAsia="Times New Roman"/>
          <w:b w:val="0"/>
          <w:i w:val="0"/>
          <w:sz w:val="22"/>
        </w:rPr>
        <w:t xml:space="preserve">General HLPF enquiries — </w:t>
      </w:r>
      <w:hyperlink r:id="rId16">
        <w:r>
          <w:rPr>
            <w:rFonts w:ascii="Times New Roman" w:hAnsi="Times New Roman" w:eastAsia="Times New Roman"/>
            <w:sz w:val="22"/>
            <w:color w:val="0563C1"/>
            <w:u w:val="single"/>
          </w:rPr>
          <w:t>hlpf@un.org</w:t>
        </w:r>
      </w:hyperlink>
    </w:p>
    <w:p>
      <w:pPr>
        <w:pStyle w:val="Heading2"/>
      </w:pPr>
      <w:r>
        <w:t>General UN youth contacts</w:t>
      </w:r>
    </w:p>
    <w:p>
      <w:pPr>
        <w:pStyle w:val="ListBullet"/>
      </w:pPr>
      <w:r>
        <w:rPr>
          <w:rFonts w:ascii="Times New Roman" w:hAnsi="Times New Roman" w:eastAsia="Times New Roman"/>
          <w:b/>
          <w:i w:val="0"/>
          <w:sz w:val="22"/>
        </w:rPr>
        <w:t xml:space="preserve">United Nations Youth Office: </w:t>
      </w:r>
      <w:r>
        <w:rPr>
          <w:rFonts w:ascii="Times New Roman" w:hAnsi="Times New Roman" w:eastAsia="Times New Roman"/>
          <w:b w:val="0"/>
          <w:i w:val="0"/>
          <w:sz w:val="22"/>
        </w:rPr>
        <w:t xml:space="preserve">General youth-affairs and meaningful-participation enquiries — </w:t>
      </w:r>
      <w:hyperlink r:id="rId17">
        <w:r>
          <w:rPr>
            <w:rFonts w:ascii="Times New Roman" w:hAnsi="Times New Roman" w:eastAsia="Times New Roman"/>
            <w:sz w:val="22"/>
            <w:color w:val="0563C1"/>
            <w:u w:val="single"/>
          </w:rPr>
          <w:t>youthaffairs@un.org</w:t>
        </w:r>
      </w:hyperlink>
    </w:p>
    <w:p>
      <w:pPr>
        <w:pStyle w:val="ListBullet"/>
      </w:pPr>
      <w:r>
        <w:rPr>
          <w:rFonts w:ascii="Times New Roman" w:hAnsi="Times New Roman" w:eastAsia="Times New Roman"/>
          <w:b/>
          <w:i w:val="0"/>
          <w:sz w:val="22"/>
        </w:rPr>
        <w:t xml:space="preserve">UN DESA · Programme on Youth: </w:t>
      </w:r>
      <w:r>
        <w:rPr>
          <w:rFonts w:ascii="Times New Roman" w:hAnsi="Times New Roman" w:eastAsia="Times New Roman"/>
          <w:b w:val="0"/>
          <w:i w:val="0"/>
          <w:sz w:val="22"/>
        </w:rPr>
        <w:t xml:space="preserve">UN Youth Delegate Programme and UN youth-system routing — </w:t>
      </w:r>
      <w:hyperlink r:id="rId18">
        <w:r>
          <w:rPr>
            <w:rFonts w:ascii="Times New Roman" w:hAnsi="Times New Roman" w:eastAsia="Times New Roman"/>
            <w:sz w:val="22"/>
            <w:color w:val="0563C1"/>
            <w:u w:val="single"/>
          </w:rPr>
          <w:t>youth@un.org</w:t>
        </w:r>
      </w:hyperlink>
    </w:p>
    <w:p>
      <w:pPr>
        <w:pStyle w:val="ListBullet"/>
      </w:pPr>
      <w:r>
        <w:rPr>
          <w:rFonts w:ascii="Times New Roman" w:hAnsi="Times New Roman" w:eastAsia="Times New Roman"/>
          <w:b/>
          <w:i w:val="0"/>
          <w:sz w:val="22"/>
        </w:rPr>
        <w:t xml:space="preserve">UNYD Working Group: </w:t>
      </w:r>
      <w:r>
        <w:rPr>
          <w:rFonts w:ascii="Times New Roman" w:hAnsi="Times New Roman" w:eastAsia="Times New Roman"/>
          <w:b w:val="0"/>
          <w:i w:val="0"/>
          <w:sz w:val="22"/>
        </w:rPr>
        <w:t xml:space="preserve">Peer-run coordination mailbox for current UN Youth Delegates — </w:t>
      </w:r>
      <w:hyperlink r:id="rId19">
        <w:r>
          <w:rPr>
            <w:rFonts w:ascii="Times New Roman" w:hAnsi="Times New Roman" w:eastAsia="Times New Roman"/>
            <w:sz w:val="22"/>
            <w:color w:val="0563C1"/>
            <w:u w:val="single"/>
          </w:rPr>
          <w:t>unyds.workinggroup@gmail.com</w:t>
        </w:r>
      </w:hyperlink>
    </w:p>
    <w:p>
      <w:pPr>
        <w:pStyle w:val="Heading1"/>
      </w:pPr>
      <w:r>
        <w:t>Official and primary sources</w:t>
      </w:r>
    </w:p>
    <w:p>
      <w:pPr>
        <w:pStyle w:val="ListBullet"/>
      </w:pPr>
      <w:hyperlink r:id="rId15">
        <w:r>
          <w:rPr>
            <w:rFonts w:ascii="Times New Roman" w:hAnsi="Times New Roman" w:eastAsia="Times New Roman"/>
            <w:sz w:val="22"/>
            <w:color w:val="0563C1"/>
            <w:u w:val="single"/>
          </w:rPr>
          <w:t>HLPF official overview and 2027 cycle</w:t>
        </w:r>
      </w:hyperlink>
    </w:p>
    <w:p>
      <w:pPr>
        <w:pStyle w:val="ListBullet"/>
      </w:pPr>
      <w:hyperlink r:id="rId20">
        <w:r>
          <w:rPr>
            <w:rFonts w:ascii="Times New Roman" w:hAnsi="Times New Roman" w:eastAsia="Times New Roman"/>
            <w:sz w:val="22"/>
            <w:color w:val="0563C1"/>
            <w:u w:val="single"/>
          </w:rPr>
          <w:t>HLPF Secretariat</w:t>
        </w:r>
      </w:hyperlink>
    </w:p>
    <w:p>
      <w:pPr>
        <w:pStyle w:val="ListBullet"/>
      </w:pPr>
      <w:hyperlink r:id="rId21">
        <w:r>
          <w:rPr>
            <w:rFonts w:ascii="Times New Roman" w:hAnsi="Times New Roman" w:eastAsia="Times New Roman"/>
            <w:sz w:val="22"/>
            <w:color w:val="0563C1"/>
            <w:u w:val="single"/>
          </w:rPr>
          <w:t>HLPF Handbook</w:t>
        </w:r>
      </w:hyperlink>
    </w:p>
    <w:p>
      <w:pPr>
        <w:pStyle w:val="ListBullet"/>
      </w:pPr>
      <w:hyperlink r:id="rId22">
        <w:r>
          <w:rPr>
            <w:rFonts w:ascii="Times New Roman" w:hAnsi="Times New Roman" w:eastAsia="Times New Roman"/>
            <w:sz w:val="22"/>
            <w:color w:val="0563C1"/>
            <w:u w:val="single"/>
          </w:rPr>
          <w:t>ECOSOC 2026–2027 provisional calendar</w:t>
        </w:r>
      </w:hyperlink>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Times New Roman" w:hAnsi="Times New Roman" w:eastAsia="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Times New Roman" w:hAnsi="Times New Roman" w:eastAsia="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Times New Roman" w:hAnsi="Times New Roman" w:eastAsia="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80" w:line="240" w:lineRule="auto" w:before="0"/>
      <w:contextualSpacing/>
    </w:pPr>
    <w:rPr>
      <w:rFonts w:asciiTheme="majorHAnsi" w:eastAsiaTheme="majorEastAsia" w:hAnsiTheme="majorHAnsi" w:cstheme="majorBidi" w:ascii="Times New Roman" w:hAnsi="Times New Roman" w:eastAsia="Times New Roman"/>
      <w:b/>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Times New Roman" w:hAnsi="Times New Roman" w:eastAsia="Times New Roman"/>
      <w:sz w:val="22"/>
    </w:rPr>
  </w:style>
  <w:style w:type="paragraph" w:styleId="ListBullet2">
    <w:name w:val="List Bullet 2"/>
    <w:basedOn w:val="Normal"/>
    <w:uiPriority w:val="99"/>
    <w:unhideWhenUsed/>
    <w:rsid w:val="00326F90"/>
    <w:pPr>
      <w:numPr>
        <w:numId w:val="2"/>
      </w:numPr>
      <w:spacing w:after="80"/>
      <w:contextualSpacing/>
    </w:pPr>
    <w:rPr>
      <w:rFonts w:ascii="Times New Roman" w:hAnsi="Times New Roman" w:eastAsia="Times New Roman"/>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lpf.un.org/vnrs" TargetMode="External"/><Relationship Id="rId10" Type="http://schemas.openxmlformats.org/officeDocument/2006/relationships/hyperlink" Target="https://www.un.org/en/conferences/SDGSummit2023/political-declaration" TargetMode="External"/><Relationship Id="rId11" Type="http://schemas.openxmlformats.org/officeDocument/2006/relationships/hyperlink" Target="https://hlpf.un.org/sites/default/files/2025-07/HLPF%202025%20Guidelines%20Side%20Events.pdf" TargetMode="External"/><Relationship Id="rId12" Type="http://schemas.openxmlformats.org/officeDocument/2006/relationships/hyperlink" Target="https://hlpf.un.org/2025/events" TargetMode="External"/><Relationship Id="rId13" Type="http://schemas.openxmlformats.org/officeDocument/2006/relationships/hyperlink" Target="https://docs.google.com/document/d/1ieNXyo4w0Q6Q5sOg9TjoX4l19ny9eXKhLkD-XyATjQk/edit" TargetMode="External"/><Relationship Id="rId14" Type="http://schemas.openxmlformats.org/officeDocument/2006/relationships/hyperlink" Target="https://docs.google.com/presentation/d/1uIk5GrBEQ-TFYGFgR9M8jybopsfCVEzznZ8vp4kY22E/edit" TargetMode="External"/><Relationship Id="rId15" Type="http://schemas.openxmlformats.org/officeDocument/2006/relationships/hyperlink" Target="https://hlpf.un.org/" TargetMode="External"/><Relationship Id="rId16" Type="http://schemas.openxmlformats.org/officeDocument/2006/relationships/hyperlink" Target="mailto:hlpf@un.org" TargetMode="External"/><Relationship Id="rId17" Type="http://schemas.openxmlformats.org/officeDocument/2006/relationships/hyperlink" Target="mailto:youthaffairs@un.org" TargetMode="External"/><Relationship Id="rId18" Type="http://schemas.openxmlformats.org/officeDocument/2006/relationships/hyperlink" Target="mailto:youth@un.org" TargetMode="External"/><Relationship Id="rId19" Type="http://schemas.openxmlformats.org/officeDocument/2006/relationships/hyperlink" Target="mailto:unyds.workinggroup@gmail.com" TargetMode="External"/><Relationship Id="rId20" Type="http://schemas.openxmlformats.org/officeDocument/2006/relationships/hyperlink" Target="https://hlpf.un.org/secretariat" TargetMode="External"/><Relationship Id="rId21" Type="http://schemas.openxmlformats.org/officeDocument/2006/relationships/hyperlink" Target="https://hlpf.un.org/sites/default/files/2025-07/HLPF%20Handbook_14%20July%5B24%5D.pdf" TargetMode="External"/><Relationship Id="rId22" Type="http://schemas.openxmlformats.org/officeDocument/2006/relationships/hyperlink" Target="https://documents.un.org/api/symbol/access?l=en&amp;s=E%2F2025%2F47&amp;t=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HLPF: High-Level Political Forum on Sustainable Development — prose export</dc:title>
  <dc:subject>UNYD process guide website content</dc:subject>
  <dc:creator>UNYD process guide</dc:creator>
  <cp:keywords/>
  <dc:description>generated by python-docx</dc:description>
  <cp:lastModifiedBy/>
  <cp:revision>1</cp:revision>
  <dcterms:created xsi:type="dcterms:W3CDTF">2013-12-23T23:15:00Z</dcterms:created>
  <dcterms:modified xsi:type="dcterms:W3CDTF">2013-12-23T23:15:00Z</dcterms:modified>
  <cp:category/>
</cp:coreProperties>
</file>