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HRC: Human Rights Council</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Geneva</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22 February–2 April · 14 June–9 July · 6 September–8 October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29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The Council holds three regular sessions each year. Each includes mandated reports, panels, interactive dialogues and action on draft resolutions.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 intergovernmental body responsible for promoting and protecting human rights and addressing violations.</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Resolutions, decisions, panel discussions, interactive dialogues, mandate renewals and the Council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Three regular sessions each year, organized by agenda item, with statements and dialogues followed by draft resolutions and action.</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Official delegation status, coordination with the country’s Permanent Mission in Geneva and the session-specific speaker and resolution procedures determine practical access.</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The most useful entry points are recurring, session-specific files. The cycles below are more actionable than treating the Council as one general annual event.</w:t>
      </w:r>
    </w:p>
    <w:p>
      <w:pPr>
        <w:pStyle w:val="Heading2"/>
      </w:pPr>
      <w:r>
        <w:t>Recurring entry points</w:t>
      </w:r>
    </w:p>
    <w:p>
      <w:r>
        <w:rPr>
          <w:rFonts w:ascii="Times New Roman" w:hAnsi="Times New Roman" w:eastAsia="Times New Roman"/>
          <w:b/>
          <w:i w:val="0"/>
          <w:sz w:val="22"/>
        </w:rPr>
        <w:t>Youth and human rights resolution</w:t>
      </w:r>
      <w:r>
        <w:rPr>
          <w:rFonts w:ascii="Times New Roman" w:hAnsi="Times New Roman" w:eastAsia="Times New Roman"/>
          <w:b/>
          <w:i w:val="0"/>
          <w:sz w:val="22"/>
        </w:rPr>
        <w:t xml:space="preserve"> — September session · recent even-year cycle</w:t>
      </w:r>
      <w:r>
        <w:rPr>
          <w:rFonts w:ascii="Times New Roman" w:hAnsi="Times New Roman" w:eastAsia="Times New Roman"/>
          <w:b w:val="0"/>
          <w:i w:val="0"/>
          <w:sz w:val="22"/>
        </w:rPr>
        <w:t>. The Council adopted this resolution in 2022 (HRC51) and 2024 (HRC57). A further iteration is expected at HRC63 in 2026, but the draft should be rechecked before treating it as formally tabled.</w:t>
      </w:r>
      <w:r>
        <w:rPr>
          <w:rFonts w:ascii="Times New Roman" w:hAnsi="Times New Roman" w:eastAsia="Times New Roman"/>
          <w:b w:val="0"/>
          <w:i/>
          <w:sz w:val="22"/>
        </w:rPr>
        <w:t xml:space="preserve"> Status: 2026 expected; draft status to recheck.</w:t>
      </w:r>
      <w:r>
        <w:rPr>
          <w:rFonts w:ascii="Times New Roman" w:hAnsi="Times New Roman" w:eastAsia="Times New Roman"/>
          <w:b w:val="0"/>
          <w:i w:val="0"/>
          <w:sz w:val="22"/>
        </w:rPr>
        <w:t xml:space="preserve"> </w:t>
      </w:r>
      <w:hyperlink r:id="rId9">
        <w:r>
          <w:rPr>
            <w:rFonts w:ascii="Times New Roman" w:hAnsi="Times New Roman" w:eastAsia="Times New Roman"/>
            <w:sz w:val="22"/>
            <w:color w:val="0563C1"/>
            <w:u w:val="single"/>
          </w:rPr>
          <w:t>OHCHR youth and human rights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Youth reports and studies</w:t>
        </w:r>
      </w:hyperlink>
      <w:r>
        <w:rPr>
          <w:rFonts w:ascii="Times New Roman" w:hAnsi="Times New Roman" w:eastAsia="Times New Roman"/>
          <w:b w:val="0"/>
          <w:i w:val="0"/>
          <w:sz w:val="22"/>
        </w:rPr>
        <w:t>.</w:t>
      </w:r>
    </w:p>
    <w:p>
      <w:r>
        <w:rPr>
          <w:rFonts w:ascii="Times New Roman" w:hAnsi="Times New Roman" w:eastAsia="Times New Roman"/>
          <w:b/>
          <w:i w:val="0"/>
          <w:sz w:val="22"/>
        </w:rPr>
        <w:t>Biennial panel on youth and human rights</w:t>
      </w:r>
      <w:r>
        <w:rPr>
          <w:rFonts w:ascii="Times New Roman" w:hAnsi="Times New Roman" w:eastAsia="Times New Roman"/>
          <w:b/>
          <w:i w:val="0"/>
          <w:sz w:val="22"/>
        </w:rPr>
        <w:t xml:space="preserve"> — September session · alternating odd years</w:t>
      </w:r>
      <w:r>
        <w:rPr>
          <w:rFonts w:ascii="Times New Roman" w:hAnsi="Times New Roman" w:eastAsia="Times New Roman"/>
          <w:b w:val="0"/>
          <w:i w:val="0"/>
          <w:sz w:val="22"/>
        </w:rPr>
        <w:t>. The panel was held at HRC60 in 2025. The official three-year programme lists the next panel for HRC66 in 2027; its theme is still to be determined.</w:t>
      </w:r>
      <w:r>
        <w:rPr>
          <w:rFonts w:ascii="Times New Roman" w:hAnsi="Times New Roman" w:eastAsia="Times New Roman"/>
          <w:b w:val="0"/>
          <w:i/>
          <w:sz w:val="22"/>
        </w:rPr>
        <w:t xml:space="preserve"> Status: 2027 officially programmed.</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HRC60 panel programme, speakers and webcast</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2">
        <w:r>
          <w:rPr>
            <w:rFonts w:ascii="Times New Roman" w:hAnsi="Times New Roman" w:eastAsia="Times New Roman"/>
            <w:sz w:val="22"/>
            <w:color w:val="0563C1"/>
            <w:u w:val="single"/>
          </w:rPr>
          <w:t>Three-year programme</w:t>
        </w:r>
      </w:hyperlink>
      <w:r>
        <w:rPr>
          <w:rFonts w:ascii="Times New Roman" w:hAnsi="Times New Roman" w:eastAsia="Times New Roman"/>
          <w:b w:val="0"/>
          <w:i w:val="0"/>
          <w:sz w:val="22"/>
        </w:rPr>
        <w:t>.</w:t>
      </w:r>
    </w:p>
    <w:p>
      <w:r>
        <w:rPr>
          <w:rFonts w:ascii="Times New Roman" w:hAnsi="Times New Roman" w:eastAsia="Times New Roman"/>
          <w:b/>
          <w:i w:val="0"/>
          <w:sz w:val="22"/>
        </w:rPr>
        <w:t>Annual full-day meeting on the rights of the child</w:t>
      </w:r>
      <w:r>
        <w:rPr>
          <w:rFonts w:ascii="Times New Roman" w:hAnsi="Times New Roman" w:eastAsia="Times New Roman"/>
          <w:b/>
          <w:i w:val="0"/>
          <w:sz w:val="22"/>
        </w:rPr>
        <w:t xml:space="preserve"> — First regular session · every year</w:t>
      </w:r>
      <w:r>
        <w:rPr>
          <w:rFonts w:ascii="Times New Roman" w:hAnsi="Times New Roman" w:eastAsia="Times New Roman"/>
          <w:b w:val="0"/>
          <w:i w:val="0"/>
          <w:sz w:val="22"/>
        </w:rPr>
        <w:t>. A recurring first-session entry point for statements, side events and meetings. Official themes are armed conflict in 2026, children’s mental health and well-being in 2027, and artificial intelligence in 2028.</w:t>
      </w:r>
      <w:r>
        <w:rPr>
          <w:rFonts w:ascii="Times New Roman" w:hAnsi="Times New Roman" w:eastAsia="Times New Roman"/>
          <w:b w:val="0"/>
          <w:i/>
          <w:sz w:val="22"/>
        </w:rPr>
        <w:t xml:space="preserve"> Status: Recurring mandate and official themes.</w:t>
      </w:r>
      <w:r>
        <w:rPr>
          <w:rFonts w:ascii="Times New Roman" w:hAnsi="Times New Roman" w:eastAsia="Times New Roman"/>
          <w:b w:val="0"/>
          <w:i w:val="0"/>
          <w:sz w:val="22"/>
        </w:rPr>
        <w:t xml:space="preserve"> </w:t>
      </w:r>
      <w:hyperlink r:id="rId12">
        <w:r>
          <w:rPr>
            <w:rFonts w:ascii="Times New Roman" w:hAnsi="Times New Roman" w:eastAsia="Times New Roman"/>
            <w:sz w:val="22"/>
            <w:color w:val="0563C1"/>
            <w:u w:val="single"/>
          </w:rPr>
          <w:t>Three-year programme and scheduled themes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3">
        <w:r>
          <w:rPr>
            <w:rFonts w:ascii="Times New Roman" w:hAnsi="Times New Roman" w:eastAsia="Times New Roman"/>
            <w:sz w:val="22"/>
            <w:color w:val="0563C1"/>
            <w:u w:val="single"/>
          </w:rPr>
          <w:t>OHCHR children’s rights</w:t>
        </w:r>
      </w:hyperlink>
      <w:r>
        <w:rPr>
          <w:rFonts w:ascii="Times New Roman" w:hAnsi="Times New Roman" w:eastAsia="Times New Roman"/>
          <w:b w:val="0"/>
          <w:i w:val="0"/>
          <w:sz w:val="22"/>
        </w:rPr>
        <w:t>.</w:t>
      </w:r>
    </w:p>
    <w:p>
      <w:r>
        <w:rPr>
          <w:rFonts w:ascii="Times New Roman" w:hAnsi="Times New Roman" w:eastAsia="Times New Roman"/>
          <w:b/>
          <w:i w:val="0"/>
          <w:sz w:val="22"/>
        </w:rPr>
        <w:t>Rights of the child resolution</w:t>
      </w:r>
      <w:r>
        <w:rPr>
          <w:rFonts w:ascii="Times New Roman" w:hAnsi="Times New Roman" w:eastAsia="Times New Roman"/>
          <w:b/>
          <w:i w:val="0"/>
          <w:sz w:val="22"/>
        </w:rPr>
        <w:t xml:space="preserve"> — First regular session · recent even-year cycle</w:t>
      </w:r>
      <w:r>
        <w:rPr>
          <w:rFonts w:ascii="Times New Roman" w:hAnsi="Times New Roman" w:eastAsia="Times New Roman"/>
          <w:b w:val="0"/>
          <w:i w:val="0"/>
          <w:sz w:val="22"/>
        </w:rPr>
        <w:t>. The biennial resolution was adopted at HRC55 in 2024 and HRC61 in 2026. In 2026 the core groups were the European Union and GRULAC; the session schedule is the place to watch for informal consultations.</w:t>
      </w:r>
      <w:r>
        <w:rPr>
          <w:rFonts w:ascii="Times New Roman" w:hAnsi="Times New Roman" w:eastAsia="Times New Roman"/>
          <w:b w:val="0"/>
          <w:i/>
          <w:sz w:val="22"/>
        </w:rPr>
        <w:t xml:space="preserve"> Status: 2024 and 2026 verified.</w:t>
      </w:r>
      <w:r>
        <w:rPr>
          <w:rFonts w:ascii="Times New Roman" w:hAnsi="Times New Roman" w:eastAsia="Times New Roman"/>
          <w:b w:val="0"/>
          <w:i w:val="0"/>
          <w:sz w:val="22"/>
        </w:rPr>
        <w:t xml:space="preserve"> </w:t>
      </w:r>
      <w:hyperlink r:id="rId13">
        <w:r>
          <w:rPr>
            <w:rFonts w:ascii="Times New Roman" w:hAnsi="Times New Roman" w:eastAsia="Times New Roman"/>
            <w:sz w:val="22"/>
            <w:color w:val="0563C1"/>
            <w:u w:val="single"/>
          </w:rPr>
          <w:t>OHCHR children’s rights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4">
        <w:r>
          <w:rPr>
            <w:rFonts w:ascii="Times New Roman" w:hAnsi="Times New Roman" w:eastAsia="Times New Roman"/>
            <w:sz w:val="22"/>
            <w:color w:val="0563C1"/>
            <w:u w:val="single"/>
          </w:rPr>
          <w:t>HRC session schedules</w:t>
        </w:r>
      </w:hyperlink>
      <w:r>
        <w:rPr>
          <w:rFonts w:ascii="Times New Roman" w:hAnsi="Times New Roman" w:eastAsia="Times New Roman"/>
          <w:b w:val="0"/>
          <w:i w:val="0"/>
          <w:sz w:val="22"/>
        </w:rPr>
        <w:t>.</w:t>
      </w:r>
    </w:p>
    <w:p>
      <w:r>
        <w:rPr>
          <w:rFonts w:ascii="Times New Roman" w:hAnsi="Times New Roman" w:eastAsia="Times New Roman"/>
          <w:b/>
          <w:i w:val="0"/>
          <w:sz w:val="22"/>
        </w:rPr>
        <w:t>Committee on the Rights of the Child review</w:t>
      </w:r>
      <w:r>
        <w:rPr>
          <w:rFonts w:ascii="Times New Roman" w:hAnsi="Times New Roman" w:eastAsia="Times New Roman"/>
          <w:b/>
          <w:i w:val="0"/>
          <w:sz w:val="22"/>
        </w:rPr>
        <w:t xml:space="preserve"> — Separate treaty-body cycle · country-specific</w:t>
      </w:r>
      <w:r>
        <w:rPr>
          <w:rFonts w:ascii="Times New Roman" w:hAnsi="Times New Roman" w:eastAsia="Times New Roman"/>
          <w:b w:val="0"/>
          <w:i w:val="0"/>
          <w:sz w:val="22"/>
        </w:rPr>
        <w:t>. This is adjacent to, but not part of, the Human Rights Council. The Committee follows its own session and country-review calendar: its meetings can overlap with an HRC session, but the two schedules are not synchronized. When a country is listed, civil society and children can use written submissions and Committee briefings.</w:t>
      </w:r>
      <w:r>
        <w:rPr>
          <w:rFonts w:ascii="Times New Roman" w:hAnsi="Times New Roman" w:eastAsia="Times New Roman"/>
          <w:b w:val="0"/>
          <w:i/>
          <w:sz w:val="22"/>
        </w:rPr>
        <w:t xml:space="preserve"> Status: Separate mechanism.</w:t>
      </w:r>
      <w:r>
        <w:rPr>
          <w:rFonts w:ascii="Times New Roman" w:hAnsi="Times New Roman" w:eastAsia="Times New Roman"/>
          <w:b w:val="0"/>
          <w:i w:val="0"/>
          <w:sz w:val="22"/>
        </w:rPr>
        <w:t xml:space="preserve"> </w:t>
      </w:r>
      <w:hyperlink r:id="rId15">
        <w:r>
          <w:rPr>
            <w:rFonts w:ascii="Times New Roman" w:hAnsi="Times New Roman" w:eastAsia="Times New Roman"/>
            <w:sz w:val="22"/>
            <w:color w:val="0563C1"/>
            <w:u w:val="single"/>
          </w:rPr>
          <w:t>CRC sessions and scheduled countries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6">
        <w:r>
          <w:rPr>
            <w:rFonts w:ascii="Times New Roman" w:hAnsi="Times New Roman" w:eastAsia="Times New Roman"/>
            <w:sz w:val="22"/>
            <w:color w:val="0563C1"/>
            <w:u w:val="single"/>
          </w:rPr>
          <w:t>Committee on the Rights of the Child</w:t>
        </w:r>
      </w:hyperlink>
      <w:r>
        <w:rPr>
          <w:rFonts w:ascii="Times New Roman" w:hAnsi="Times New Roman" w:eastAsia="Times New Roman"/>
          <w:b w:val="0"/>
          <w:i w:val="0"/>
          <w:sz w:val="22"/>
        </w:rPr>
        <w:t>.</w:t>
      </w:r>
    </w:p>
    <w:p>
      <w:pPr>
        <w:pStyle w:val="Heading1"/>
      </w:pPr>
      <w:r>
        <w:t>UNYD participation</w:t>
      </w:r>
    </w:p>
    <w:p>
      <w:pPr>
        <w:pStyle w:val="ListBullet"/>
      </w:pPr>
      <w:r>
        <w:rPr>
          <w:rFonts w:ascii="Times New Roman" w:hAnsi="Times New Roman" w:eastAsia="Times New Roman"/>
          <w:b w:val="0"/>
          <w:i w:val="0"/>
          <w:sz w:val="22"/>
        </w:rPr>
        <w:t>UN Youth Delegates participate through their country’s official delegation, with responsibilities agreed with their country’s Permanent Mission in Geneva.</w:t>
      </w:r>
    </w:p>
    <w:p>
      <w:pPr>
        <w:pStyle w:val="ListBullet"/>
      </w:pPr>
      <w:r>
        <w:rPr>
          <w:rFonts w:ascii="Times New Roman" w:hAnsi="Times New Roman" w:eastAsia="Times New Roman"/>
          <w:b w:val="0"/>
          <w:i w:val="0"/>
          <w:sz w:val="22"/>
        </w:rPr>
        <w:t>Possible roles include statements, panel interventions, report follow-up, meetings with OHCHR or mandate holders, events and resolution work.</w:t>
      </w:r>
    </w:p>
    <w:p>
      <w:pPr>
        <w:pStyle w:val="ListBullet"/>
      </w:pPr>
      <w:r>
        <w:rPr>
          <w:rFonts w:ascii="Times New Roman" w:hAnsi="Times New Roman" w:eastAsia="Times New Roman"/>
          <w:b w:val="0"/>
          <w:i w:val="0"/>
          <w:sz w:val="22"/>
        </w:rPr>
        <w:t>Because the Council meets three times each year, delegates usually select specific sessions and agenda items rather than attempting to cover the full annual programme.</w:t>
      </w:r>
    </w:p>
    <w:p>
      <w:pPr>
        <w:pStyle w:val="Heading1"/>
      </w:pPr>
      <w:r>
        <w:t>Session structure</w:t>
      </w:r>
    </w:p>
    <w:p>
      <w:pPr>
        <w:pStyle w:val="ListBullet"/>
      </w:pPr>
      <w:r>
        <w:rPr>
          <w:rFonts w:ascii="Times New Roman" w:hAnsi="Times New Roman" w:eastAsia="Times New Roman"/>
          <w:b/>
          <w:i w:val="0"/>
          <w:sz w:val="22"/>
        </w:rPr>
        <w:t xml:space="preserve">Before each session — Reports and preparation: </w:t>
      </w:r>
      <w:r>
        <w:rPr>
          <w:rFonts w:ascii="Times New Roman" w:hAnsi="Times New Roman" w:eastAsia="Times New Roman"/>
          <w:b w:val="0"/>
          <w:i w:val="0"/>
          <w:sz w:val="22"/>
        </w:rPr>
        <w:t>Programme of work, mandated reports and national-delegation coordination</w:t>
      </w:r>
    </w:p>
    <w:p>
      <w:pPr>
        <w:pStyle w:val="ListBullet"/>
      </w:pPr>
      <w:r>
        <w:rPr>
          <w:rFonts w:ascii="Times New Roman" w:hAnsi="Times New Roman" w:eastAsia="Times New Roman"/>
          <w:b/>
          <w:i w:val="0"/>
          <w:sz w:val="22"/>
        </w:rPr>
        <w:t xml:space="preserve">22 Feb–2 Apr — 64th regular session: </w:t>
      </w:r>
      <w:r>
        <w:rPr>
          <w:rFonts w:ascii="Times New Roman" w:hAnsi="Times New Roman" w:eastAsia="Times New Roman"/>
          <w:b w:val="0"/>
          <w:i w:val="0"/>
          <w:sz w:val="22"/>
        </w:rPr>
        <w:t>Includes the annual full-day meeting on the rights of the child, on children’s mental health and well-being</w:t>
      </w:r>
    </w:p>
    <w:p>
      <w:pPr>
        <w:pStyle w:val="ListBullet"/>
      </w:pPr>
      <w:r>
        <w:rPr>
          <w:rFonts w:ascii="Times New Roman" w:hAnsi="Times New Roman" w:eastAsia="Times New Roman"/>
          <w:b/>
          <w:i w:val="0"/>
          <w:sz w:val="22"/>
        </w:rPr>
        <w:t xml:space="preserve">14 Jun–9 Jul — 65th regular session: </w:t>
      </w:r>
      <w:r>
        <w:rPr>
          <w:rFonts w:ascii="Times New Roman" w:hAnsi="Times New Roman" w:eastAsia="Times New Roman"/>
          <w:b w:val="0"/>
          <w:i w:val="0"/>
          <w:sz w:val="22"/>
        </w:rPr>
        <w:t>Second regular session of the year</w:t>
      </w:r>
    </w:p>
    <w:p>
      <w:pPr>
        <w:pStyle w:val="ListBullet"/>
      </w:pPr>
      <w:r>
        <w:rPr>
          <w:rFonts w:ascii="Times New Roman" w:hAnsi="Times New Roman" w:eastAsia="Times New Roman"/>
          <w:b/>
          <w:i w:val="0"/>
          <w:sz w:val="22"/>
        </w:rPr>
        <w:t xml:space="preserve">6 Sep–8 Oct — 66th regular session: </w:t>
      </w:r>
      <w:r>
        <w:rPr>
          <w:rFonts w:ascii="Times New Roman" w:hAnsi="Times New Roman" w:eastAsia="Times New Roman"/>
          <w:b w:val="0"/>
          <w:i w:val="0"/>
          <w:sz w:val="22"/>
        </w:rPr>
        <w:t>Includes the biennial panel on youth and human rights</w:t>
      </w:r>
    </w:p>
    <w:p>
      <w:pPr>
        <w:pStyle w:val="ListBullet"/>
      </w:pPr>
      <w:r>
        <w:rPr>
          <w:rFonts w:ascii="Times New Roman" w:hAnsi="Times New Roman" w:eastAsia="Times New Roman"/>
          <w:b/>
          <w:i w:val="0"/>
          <w:sz w:val="22"/>
        </w:rPr>
        <w:t xml:space="preserve">Final week of each session — Action on resolutions: </w:t>
      </w:r>
      <w:r>
        <w:rPr>
          <w:rFonts w:ascii="Times New Roman" w:hAnsi="Times New Roman" w:eastAsia="Times New Roman"/>
          <w:b w:val="0"/>
          <w:i w:val="0"/>
          <w:sz w:val="22"/>
        </w:rPr>
        <w:t>Council decisions and session closure</w:t>
      </w:r>
    </w:p>
    <w:p>
      <w:pPr>
        <w:pStyle w:val="Heading1"/>
      </w:pPr>
      <w:r>
        <w:t>Preparation and negotiation calendar</w:t>
      </w:r>
    </w:p>
    <w:p>
      <w:r>
        <w:t>There is no single annual HRC zero draft. Until a session-specific report, panel, resolution consultation or submission deadline is published, the calendar shows only the three official regular sessions; recurring youth and child-rights entry points remain described below.</w:t>
      </w:r>
    </w:p>
    <w:p>
      <w:pPr>
        <w:pStyle w:val="ListBullet"/>
      </w:pPr>
      <w:r>
        <w:rPr>
          <w:rFonts w:ascii="Times New Roman" w:hAnsi="Times New Roman" w:eastAsia="Times New Roman"/>
          <w:b/>
          <w:i w:val="0"/>
          <w:sz w:val="22"/>
        </w:rPr>
        <w:t xml:space="preserve">HRC64 — 2027-02-22 to 2027-04-02: </w:t>
      </w:r>
      <w:r>
        <w:rPr>
          <w:rFonts w:ascii="Times New Roman" w:hAnsi="Times New Roman" w:eastAsia="Times New Roman"/>
          <w:b w:val="0"/>
          <w:i w:val="0"/>
          <w:sz w:val="22"/>
        </w:rPr>
        <w:t>Official session dates: 22 February–2 April 2027. Status: official.</w:t>
      </w:r>
    </w:p>
    <w:p>
      <w:pPr>
        <w:pStyle w:val="ListBullet"/>
      </w:pPr>
      <w:r>
        <w:rPr>
          <w:rFonts w:ascii="Times New Roman" w:hAnsi="Times New Roman" w:eastAsia="Times New Roman"/>
          <w:b/>
          <w:i w:val="0"/>
          <w:sz w:val="22"/>
        </w:rPr>
        <w:t xml:space="preserve">HRC65 — 2027-06-14 to 2027-07-09: </w:t>
      </w:r>
      <w:r>
        <w:rPr>
          <w:rFonts w:ascii="Times New Roman" w:hAnsi="Times New Roman" w:eastAsia="Times New Roman"/>
          <w:b w:val="0"/>
          <w:i w:val="0"/>
          <w:sz w:val="22"/>
        </w:rPr>
        <w:t>Official session dates: 14 June–9 July 2027. Status: official.</w:t>
      </w:r>
    </w:p>
    <w:p>
      <w:pPr>
        <w:pStyle w:val="ListBullet"/>
      </w:pPr>
      <w:r>
        <w:rPr>
          <w:rFonts w:ascii="Times New Roman" w:hAnsi="Times New Roman" w:eastAsia="Times New Roman"/>
          <w:b/>
          <w:i w:val="0"/>
          <w:sz w:val="22"/>
        </w:rPr>
        <w:t xml:space="preserve">HRC66 — 2027-09-06 to 2027-10-08: </w:t>
      </w:r>
      <w:r>
        <w:rPr>
          <w:rFonts w:ascii="Times New Roman" w:hAnsi="Times New Roman" w:eastAsia="Times New Roman"/>
          <w:b w:val="0"/>
          <w:i w:val="0"/>
          <w:sz w:val="22"/>
        </w:rPr>
        <w:t>Official session dates: 6 September–8 October 2027; the biennial panel on youth and human rights is programmed for this session. Status: official.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Each regular session has a programme of work, mandated reports, interactive dialogues, panels and draft resolutions. The three-year programme is the best early-warning tool; the live session page then becomes the operational source for the changing schedule, speaker registration and resolution documents.</w:t>
      </w:r>
    </w:p>
    <w:p>
      <w:pPr>
        <w:pStyle w:val="Heading2"/>
      </w:pPr>
      <w:r>
        <w:t>Watch for</w:t>
      </w:r>
    </w:p>
    <w:p>
      <w:pPr>
        <w:pStyle w:val="ListBullet"/>
      </w:pPr>
      <w:r>
        <w:rPr>
          <w:rFonts w:ascii="Times New Roman" w:hAnsi="Times New Roman" w:eastAsia="Times New Roman"/>
          <w:b w:val="0"/>
          <w:i w:val="0"/>
          <w:sz w:val="22"/>
        </w:rPr>
        <w:t>The three-year programme of work and the session’s list of reports.</w:t>
      </w:r>
    </w:p>
    <w:p>
      <w:pPr>
        <w:pStyle w:val="ListBullet"/>
      </w:pPr>
      <w:r>
        <w:rPr>
          <w:rFonts w:ascii="Times New Roman" w:hAnsi="Times New Roman" w:eastAsia="Times New Roman"/>
          <w:b w:val="0"/>
          <w:i w:val="0"/>
          <w:sz w:val="22"/>
        </w:rPr>
        <w:t>The live session page: programme of work, SCHED or session calendar, speakers lists, A–Z guide, zero drafts, draft resolutions, revisions, programme-budget implications, recordings and webcasts. The programme can change during the session.</w:t>
      </w:r>
    </w:p>
    <w:p>
      <w:pPr>
        <w:pStyle w:val="ListBullet"/>
      </w:pPr>
      <w:r>
        <w:rPr>
          <w:rFonts w:ascii="Times New Roman" w:hAnsi="Times New Roman" w:eastAsia="Times New Roman"/>
          <w:b w:val="0"/>
          <w:i w:val="0"/>
          <w:sz w:val="22"/>
        </w:rPr>
        <w:t>The exact speaking format. Interactive dialogues respond to a mandate holder or report, general debates address an agenda item, and panel discussions have their own registration procedure; the Mission must check the current speaker-list rules and limits.</w:t>
      </w:r>
    </w:p>
    <w:p>
      <w:pPr>
        <w:pStyle w:val="ListBullet"/>
      </w:pPr>
      <w:r>
        <w:rPr>
          <w:rFonts w:ascii="Times New Roman" w:hAnsi="Times New Roman" w:eastAsia="Times New Roman"/>
          <w:b w:val="0"/>
          <w:i w:val="0"/>
          <w:sz w:val="22"/>
        </w:rPr>
        <w:t>To forecast recurring resolutions, compare the same seasonal session in the previous one to three years, identify the recurring sponsor or core group, and ask when the zero draft and informal consultations are expected.</w:t>
      </w:r>
    </w:p>
    <w:p>
      <w:pPr>
        <w:pStyle w:val="ListBullet"/>
      </w:pPr>
      <w:r>
        <w:rPr>
          <w:rFonts w:ascii="Times New Roman" w:hAnsi="Times New Roman" w:eastAsia="Times New Roman"/>
          <w:b w:val="0"/>
          <w:i w:val="0"/>
          <w:sz w:val="22"/>
        </w:rPr>
        <w:t>The resolution sequence: zero draft, informal consultations and paragraph-by-paragraph readings, revisions, bilateral work with the penholder or core group, tabling under an A/HRC/…/L… symbol, amendments or programme-budget implications, and final action.</w:t>
      </w:r>
    </w:p>
    <w:p>
      <w:pPr>
        <w:pStyle w:val="ListBullet"/>
      </w:pPr>
      <w:r>
        <w:rPr>
          <w:rFonts w:ascii="Times New Roman" w:hAnsi="Times New Roman" w:eastAsia="Times New Roman"/>
          <w:b w:val="0"/>
          <w:i w:val="0"/>
          <w:sz w:val="22"/>
        </w:rPr>
        <w:t>The current A–Z guide or Secretariat notice for the actual tabling and action deadlines. Observer delegations can engage in informals and sponsor drafts, but only the Council’s 47 members take part in voting and action.</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Aim to contact your country’s Permanent Mission in Geneva around eight weeks before the relevant session. Name the exact report, panel, dialogue or resolution; ask whether the country sponsored or co-sponsored the previous iteration, because previous co-sponsors may receive pre-zero-draft text or invitations to co-sponsor meetings.</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Begin with the human-rights team at your country’s Permanent Mission in Geneva. In an informal consultation, useful input means clause-specific wording stated in the room and then sent in writing to the penholder or core group through the national delegation.</w:t>
      </w:r>
    </w:p>
    <w:p>
      <w:pPr>
        <w:pStyle w:val="Heading2"/>
      </w:pPr>
      <w:r>
        <w:t>Negotiation and language resources</w:t>
      </w:r>
    </w:p>
    <w:p>
      <w:pPr>
        <w:pStyle w:val="ListBullet"/>
      </w:pPr>
      <w:hyperlink r:id="rId17">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8">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ListBullet"/>
      </w:pPr>
      <w:hyperlink r:id="rId19">
        <w:r>
          <w:rPr>
            <w:rFonts w:ascii="Times New Roman" w:hAnsi="Times New Roman" w:eastAsia="Times New Roman"/>
            <w:sz w:val="22"/>
            <w:color w:val="0563C1"/>
            <w:u w:val="single"/>
          </w:rPr>
          <w:t>HRC 2027 recurring-resolution forecast (.xlsx)</w:t>
        </w:r>
      </w:hyperlink>
      <w:r>
        <w:rPr>
          <w:rFonts w:ascii="Times New Roman" w:hAnsi="Times New Roman" w:eastAsia="Times New Roman"/>
          <w:b w:val="0"/>
          <w:i w:val="0"/>
          <w:sz w:val="22"/>
        </w:rPr>
        <w:t>: Dated 29 August 2026. This is a first research attempt to forecast recurring HRC files, not an official or continuously updated forecast; re-check it against the live session pages.</w:t>
      </w:r>
    </w:p>
    <w:p>
      <w:pPr>
        <w:pStyle w:val="Heading1"/>
      </w:pPr>
      <w:r>
        <w:t>Practical timeline</w:t>
      </w:r>
    </w:p>
    <w:p>
      <w:pPr>
        <w:pStyle w:val="ListBullet"/>
      </w:pPr>
      <w:r>
        <w:rPr>
          <w:rFonts w:ascii="Times New Roman" w:hAnsi="Times New Roman" w:eastAsia="Times New Roman"/>
          <w:b/>
          <w:i w:val="0"/>
          <w:sz w:val="22"/>
        </w:rPr>
        <w:t xml:space="preserve">Rolling — </w:t>
      </w:r>
      <w:hyperlink r:id="rId12">
        <w:r>
          <w:rPr>
            <w:rFonts w:ascii="Times New Roman" w:hAnsi="Times New Roman" w:eastAsia="Times New Roman"/>
            <w:sz w:val="22"/>
            <w:color w:val="0563C1"/>
            <w:u w:val="single"/>
          </w:rPr>
          <w:t>Three-year programme</w:t>
        </w:r>
      </w:hyperlink>
      <w:r>
        <w:rPr>
          <w:rFonts w:ascii="Times New Roman" w:hAnsi="Times New Roman" w:eastAsia="Times New Roman"/>
          <w:b w:val="0"/>
          <w:i w:val="0"/>
          <w:sz w:val="22"/>
        </w:rPr>
        <w:t>: Use the programme and its supplementary information to identify the session number, mandated reports, panels, interactive dialogues, annual thematic meetings and recurring files already scheduled for 2026–2028.</w:t>
      </w:r>
    </w:p>
    <w:p>
      <w:pPr>
        <w:pStyle w:val="ListBullet"/>
      </w:pPr>
      <w:r>
        <w:rPr>
          <w:rFonts w:ascii="Times New Roman" w:hAnsi="Times New Roman" w:eastAsia="Times New Roman"/>
          <w:b/>
          <w:i w:val="0"/>
          <w:sz w:val="22"/>
        </w:rPr>
        <w:t xml:space="preserve">Around 8 weeks before — </w:t>
      </w:r>
      <w:r>
        <w:rPr>
          <w:rFonts w:ascii="Times New Roman" w:hAnsi="Times New Roman" w:eastAsia="Times New Roman"/>
          <w:b/>
          <w:i w:val="0"/>
          <w:sz w:val="22"/>
        </w:rPr>
        <w:t>Contact your country’s Permanent Mission in Geneva</w:t>
      </w:r>
      <w:r>
        <w:rPr>
          <w:rFonts w:ascii="Times New Roman" w:hAnsi="Times New Roman" w:eastAsia="Times New Roman"/>
          <w:b w:val="0"/>
          <w:i w:val="0"/>
          <w:sz w:val="22"/>
        </w:rPr>
        <w:t>: Name the exact agenda item, report, panel or resolution. Ask about accreditation, the speaking or submission route, the country’s previous sponsor or co-sponsor role and the national delegation’s internal deadline for text input.</w:t>
      </w:r>
    </w:p>
    <w:p>
      <w:pPr>
        <w:pStyle w:val="ListBullet"/>
      </w:pPr>
      <w:r>
        <w:rPr>
          <w:rFonts w:ascii="Times New Roman" w:hAnsi="Times New Roman" w:eastAsia="Times New Roman"/>
          <w:b/>
          <w:i w:val="0"/>
          <w:sz w:val="22"/>
        </w:rPr>
        <w:t xml:space="preserve">When the session page opens — </w:t>
      </w:r>
      <w:hyperlink r:id="rId14">
        <w:r>
          <w:rPr>
            <w:rFonts w:ascii="Times New Roman" w:hAnsi="Times New Roman" w:eastAsia="Times New Roman"/>
            <w:sz w:val="22"/>
            <w:color w:val="0563C1"/>
            <w:u w:val="single"/>
          </w:rPr>
          <w:t>Use the session page as the operational hub</w:t>
        </w:r>
      </w:hyperlink>
      <w:r>
        <w:rPr>
          <w:rFonts w:ascii="Times New Roman" w:hAnsi="Times New Roman" w:eastAsia="Times New Roman"/>
          <w:b w:val="0"/>
          <w:i w:val="0"/>
          <w:sz w:val="22"/>
        </w:rPr>
        <w:t>: Check the changing programme, SCHED or session calendar, speaker lists, A–Z guide, reports, zero drafts, draft resolutions, revisions, programme-budget implications, recordings and webcasts. Interactive dialogues, general debates and panel discussions use different registration procedures.</w:t>
      </w:r>
    </w:p>
    <w:p>
      <w:pPr>
        <w:pStyle w:val="ListBullet"/>
      </w:pPr>
      <w:r>
        <w:rPr>
          <w:rFonts w:ascii="Times New Roman" w:hAnsi="Times New Roman" w:eastAsia="Times New Roman"/>
          <w:b/>
          <w:i w:val="0"/>
          <w:sz w:val="22"/>
        </w:rPr>
        <w:t xml:space="preserve">Before drafting starts — </w:t>
      </w:r>
      <w:hyperlink r:id="rId19">
        <w:r>
          <w:rPr>
            <w:rFonts w:ascii="Times New Roman" w:hAnsi="Times New Roman" w:eastAsia="Times New Roman"/>
            <w:sz w:val="22"/>
            <w:color w:val="0563C1"/>
            <w:u w:val="single"/>
          </w:rPr>
          <w:t>Check whether the resolution file recurs</w:t>
        </w:r>
      </w:hyperlink>
      <w:r>
        <w:rPr>
          <w:rFonts w:ascii="Times New Roman" w:hAnsi="Times New Roman" w:eastAsia="Times New Roman"/>
          <w:b w:val="0"/>
          <w:i w:val="0"/>
          <w:sz w:val="22"/>
        </w:rPr>
        <w:t>: Compare the same seasonal session in the previous one to three years, identify the recurring sponsor or core group, and ask when the zero draft and informal consultations are expected.</w:t>
      </w:r>
    </w:p>
    <w:p>
      <w:pPr>
        <w:pStyle w:val="ListBullet"/>
      </w:pPr>
      <w:r>
        <w:rPr>
          <w:rFonts w:ascii="Times New Roman" w:hAnsi="Times New Roman" w:eastAsia="Times New Roman"/>
          <w:b/>
          <w:i w:val="0"/>
          <w:sz w:val="22"/>
        </w:rPr>
        <w:t xml:space="preserve">During the session — </w:t>
      </w:r>
      <w:hyperlink r:id="rId20">
        <w:r>
          <w:rPr>
            <w:rFonts w:ascii="Times New Roman" w:hAnsi="Times New Roman" w:eastAsia="Times New Roman"/>
            <w:sz w:val="22"/>
            <w:color w:val="0563C1"/>
            <w:u w:val="single"/>
          </w:rPr>
          <w:t>Follow the resolution from zero draft to action</w:t>
        </w:r>
      </w:hyperlink>
      <w:r>
        <w:rPr>
          <w:rFonts w:ascii="Times New Roman" w:hAnsi="Times New Roman" w:eastAsia="Times New Roman"/>
          <w:b w:val="0"/>
          <w:i w:val="0"/>
          <w:sz w:val="22"/>
        </w:rPr>
        <w:t>: Track the zero draft, paragraph-by-paragraph informal consultations, revised drafts, bilateral work, the A/HRC/…/L… document, amendments and programme-budget implications. Present clause-specific wording and send it in writing through the national delegation; obtain the live tabling and action deadlines from the current A–Z guide or Secretariat notice.</w:t>
      </w:r>
    </w:p>
    <w:p>
      <w:pPr>
        <w:pStyle w:val="ListBullet"/>
      </w:pPr>
      <w:r>
        <w:rPr>
          <w:rFonts w:ascii="Times New Roman" w:hAnsi="Times New Roman" w:eastAsia="Times New Roman"/>
          <w:b/>
          <w:i w:val="0"/>
          <w:sz w:val="22"/>
        </w:rPr>
        <w:t xml:space="preserve">At action — </w:t>
      </w:r>
      <w:r>
        <w:rPr>
          <w:rFonts w:ascii="Times New Roman" w:hAnsi="Times New Roman" w:eastAsia="Times New Roman"/>
          <w:b/>
          <w:i w:val="0"/>
          <w:sz w:val="22"/>
        </w:rPr>
        <w:t>Check the national delegation’s formal role</w:t>
      </w:r>
      <w:r>
        <w:rPr>
          <w:rFonts w:ascii="Times New Roman" w:hAnsi="Times New Roman" w:eastAsia="Times New Roman"/>
          <w:b w:val="0"/>
          <w:i w:val="0"/>
          <w:sz w:val="22"/>
        </w:rPr>
        <w:t>: All delegations can engage in public informals, and observer States may sponsor and introduce drafts, but only the Council’s 47 members participate in voting and formal action.</w:t>
      </w:r>
    </w:p>
    <w:p>
      <w:pPr>
        <w:pStyle w:val="ListBullet"/>
      </w:pPr>
      <w:r>
        <w:rPr>
          <w:rFonts w:ascii="Times New Roman" w:hAnsi="Times New Roman" w:eastAsia="Times New Roman"/>
          <w:b/>
          <w:i w:val="0"/>
          <w:sz w:val="22"/>
        </w:rPr>
        <w:t xml:space="preserve">After adoption — </w:t>
      </w:r>
      <w:r>
        <w:rPr>
          <w:rFonts w:ascii="Times New Roman" w:hAnsi="Times New Roman" w:eastAsia="Times New Roman"/>
          <w:b/>
          <w:i w:val="0"/>
          <w:sz w:val="22"/>
        </w:rPr>
        <w:t>Trace the next mandated opening</w:t>
      </w:r>
      <w:r>
        <w:rPr>
          <w:rFonts w:ascii="Times New Roman" w:hAnsi="Times New Roman" w:eastAsia="Times New Roman"/>
          <w:b w:val="0"/>
          <w:i w:val="0"/>
          <w:sz w:val="22"/>
        </w:rPr>
        <w:t>: Read the adopted operative paragraphs for the next report, panel, study, consultation, call for input or return session, and add that concrete follow-up to the process watch.</w:t>
      </w:r>
    </w:p>
    <w:p>
      <w:pPr>
        <w:pStyle w:val="Heading1"/>
      </w:pPr>
      <w:r>
        <w:t>Examples</w:t>
      </w:r>
    </w:p>
    <w:p>
      <w:r>
        <w:rPr>
          <w:rFonts w:ascii="Times New Roman" w:hAnsi="Times New Roman" w:eastAsia="Times New Roman"/>
          <w:b/>
          <w:i w:val="0"/>
          <w:sz w:val="22"/>
        </w:rPr>
        <w:t xml:space="preserve">Statement — </w:t>
      </w:r>
      <w:hyperlink r:id="rId21">
        <w:r>
          <w:rPr>
            <w:rFonts w:ascii="Times New Roman" w:hAnsi="Times New Roman" w:eastAsia="Times New Roman"/>
            <w:sz w:val="22"/>
            <w:color w:val="0563C1"/>
            <w:u w:val="single"/>
          </w:rPr>
          <w:t>UNYD interventions in the biennial panel on youth and human rights</w:t>
        </w:r>
      </w:hyperlink>
      <w:r>
        <w:rPr>
          <w:rFonts w:ascii="Times New Roman" w:hAnsi="Times New Roman" w:eastAsia="Times New Roman"/>
          <w:b w:val="0"/>
          <w:i w:val="0"/>
          <w:sz w:val="22"/>
        </w:rPr>
        <w:t>. A session-specific opening created by a mandated HRC panel; the resulting report can become a source for later policy work.</w:t>
      </w:r>
    </w:p>
    <w:p>
      <w:r>
        <w:rPr>
          <w:rFonts w:ascii="Times New Roman" w:hAnsi="Times New Roman" w:eastAsia="Times New Roman"/>
          <w:b/>
          <w:i w:val="0"/>
          <w:sz w:val="22"/>
        </w:rPr>
        <w:t xml:space="preserve">Meeting — </w:t>
      </w:r>
      <w:r>
        <w:rPr>
          <w:rFonts w:ascii="Times New Roman" w:hAnsi="Times New Roman" w:eastAsia="Times New Roman"/>
          <w:b/>
          <w:i w:val="0"/>
          <w:sz w:val="22"/>
        </w:rPr>
        <w:t>OHCHR–DESA–UN Youth Office follow-up on UNYD participation</w:t>
      </w:r>
      <w:r>
        <w:rPr>
          <w:rFonts w:ascii="Times New Roman" w:hAnsi="Times New Roman" w:eastAsia="Times New Roman"/>
          <w:b w:val="0"/>
          <w:i w:val="0"/>
          <w:sz w:val="22"/>
        </w:rPr>
        <w:t>. A 2026 exchange brought together institutional focal points and current/former youth delegates to discuss practical HRC entry points and recurring barriers.</w:t>
      </w:r>
    </w:p>
    <w:p>
      <w:pPr>
        <w:pStyle w:val="Heading1"/>
      </w:pPr>
      <w:r>
        <w:t>Contacts</w:t>
      </w:r>
    </w:p>
    <w:p>
      <w:pPr>
        <w:pStyle w:val="ListBullet"/>
      </w:pPr>
      <w:r>
        <w:rPr>
          <w:rFonts w:ascii="Times New Roman" w:hAnsi="Times New Roman" w:eastAsia="Times New Roman"/>
          <w:b/>
          <w:i w:val="0"/>
          <w:sz w:val="22"/>
        </w:rPr>
        <w:t xml:space="preserve">Helen Griffiths: </w:t>
      </w:r>
      <w:r>
        <w:rPr>
          <w:rFonts w:ascii="Times New Roman" w:hAnsi="Times New Roman" w:eastAsia="Times New Roman"/>
          <w:b w:val="0"/>
          <w:i w:val="0"/>
          <w:sz w:val="22"/>
        </w:rPr>
        <w:t xml:space="preserve">OHCHR Child and Youth Rights Unit · youth-rights and HRC participation enquiries — </w:t>
      </w:r>
      <w:hyperlink r:id="rId22">
        <w:r>
          <w:rPr>
            <w:rFonts w:ascii="Times New Roman" w:hAnsi="Times New Roman" w:eastAsia="Times New Roman"/>
            <w:sz w:val="22"/>
            <w:color w:val="0563C1"/>
            <w:u w:val="single"/>
          </w:rPr>
          <w:t>helen.griffiths@un.org</w:t>
        </w:r>
      </w:hyperlink>
    </w:p>
    <w:p>
      <w:pPr>
        <w:pStyle w:val="ListBullet"/>
      </w:pPr>
      <w:r>
        <w:rPr>
          <w:rFonts w:ascii="Times New Roman" w:hAnsi="Times New Roman" w:eastAsia="Times New Roman"/>
          <w:b/>
          <w:i w:val="0"/>
          <w:sz w:val="22"/>
        </w:rPr>
        <w:t xml:space="preserve">Razan Askar: </w:t>
      </w:r>
      <w:r>
        <w:rPr>
          <w:rFonts w:ascii="Times New Roman" w:hAnsi="Times New Roman" w:eastAsia="Times New Roman"/>
          <w:b w:val="0"/>
          <w:i w:val="0"/>
          <w:sz w:val="22"/>
        </w:rPr>
        <w:t xml:space="preserve">HRC Secretariat · correspondence and extranet — </w:t>
      </w:r>
      <w:hyperlink r:id="rId23">
        <w:r>
          <w:rPr>
            <w:rFonts w:ascii="Times New Roman" w:hAnsi="Times New Roman" w:eastAsia="Times New Roman"/>
            <w:sz w:val="22"/>
            <w:color w:val="0563C1"/>
            <w:u w:val="single"/>
          </w:rPr>
          <w:t>razan.askar@un.org</w:t>
        </w:r>
      </w:hyperlink>
    </w:p>
    <w:p>
      <w:pPr>
        <w:pStyle w:val="ListBullet"/>
      </w:pPr>
      <w:r>
        <w:rPr>
          <w:rFonts w:ascii="Times New Roman" w:hAnsi="Times New Roman" w:eastAsia="Times New Roman"/>
          <w:b/>
          <w:i w:val="0"/>
          <w:sz w:val="22"/>
        </w:rPr>
        <w:t xml:space="preserve">Matias Pellado: </w:t>
      </w:r>
      <w:r>
        <w:rPr>
          <w:rFonts w:ascii="Times New Roman" w:hAnsi="Times New Roman" w:eastAsia="Times New Roman"/>
          <w:b w:val="0"/>
          <w:i w:val="0"/>
          <w:sz w:val="22"/>
        </w:rPr>
        <w:t xml:space="preserve">HRC Secretariat · resolutions processing — </w:t>
      </w:r>
      <w:hyperlink r:id="rId24">
        <w:r>
          <w:rPr>
            <w:rFonts w:ascii="Times New Roman" w:hAnsi="Times New Roman" w:eastAsia="Times New Roman"/>
            <w:sz w:val="22"/>
            <w:color w:val="0563C1"/>
            <w:u w:val="single"/>
          </w:rPr>
          <w:t>matias.pellado@un.org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peer contact on UNYD participation and youth-rights coordination — </w:t>
      </w:r>
      <w:hyperlink r:id="rId25">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6">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7">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8">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14">
        <w:r>
          <w:rPr>
            <w:rFonts w:ascii="Times New Roman" w:hAnsi="Times New Roman" w:eastAsia="Times New Roman"/>
            <w:sz w:val="22"/>
            <w:color w:val="0563C1"/>
            <w:u w:val="single"/>
          </w:rPr>
          <w:t>HRC session calendar</w:t>
        </w:r>
      </w:hyperlink>
    </w:p>
    <w:p>
      <w:pPr>
        <w:pStyle w:val="ListBullet"/>
      </w:pPr>
      <w:hyperlink r:id="rId12">
        <w:r>
          <w:rPr>
            <w:rFonts w:ascii="Times New Roman" w:hAnsi="Times New Roman" w:eastAsia="Times New Roman"/>
            <w:sz w:val="22"/>
            <w:color w:val="0563C1"/>
            <w:u w:val="single"/>
          </w:rPr>
          <w:t>Three-year programme of work</w:t>
        </w:r>
      </w:hyperlink>
    </w:p>
    <w:p>
      <w:pPr>
        <w:pStyle w:val="ListBullet"/>
      </w:pPr>
      <w:hyperlink r:id="rId29">
        <w:r>
          <w:rPr>
            <w:rFonts w:ascii="Times New Roman" w:hAnsi="Times New Roman" w:eastAsia="Times New Roman"/>
            <w:sz w:val="22"/>
            <w:color w:val="0563C1"/>
            <w:u w:val="single"/>
          </w:rPr>
          <w:t>Youth and human rights resolution adopted in 2024</w:t>
        </w:r>
      </w:hyperlink>
    </w:p>
    <w:p>
      <w:pPr>
        <w:pStyle w:val="ListBullet"/>
      </w:pPr>
      <w:hyperlink r:id="rId11">
        <w:r>
          <w:rPr>
            <w:rFonts w:ascii="Times New Roman" w:hAnsi="Times New Roman" w:eastAsia="Times New Roman"/>
            <w:sz w:val="22"/>
            <w:color w:val="0563C1"/>
            <w:u w:val="single"/>
          </w:rPr>
          <w:t>HRC60 biennial panel on youth and human rights</w:t>
        </w:r>
      </w:hyperlink>
    </w:p>
    <w:p>
      <w:pPr>
        <w:pStyle w:val="ListBullet"/>
      </w:pPr>
      <w:hyperlink r:id="rId30">
        <w:r>
          <w:rPr>
            <w:rFonts w:ascii="Times New Roman" w:hAnsi="Times New Roman" w:eastAsia="Times New Roman"/>
            <w:sz w:val="22"/>
            <w:color w:val="0563C1"/>
            <w:u w:val="single"/>
          </w:rPr>
          <w:t>Rights of the child resolution adopted in 2026</w:t>
        </w:r>
      </w:hyperlink>
    </w:p>
    <w:p>
      <w:pPr>
        <w:pStyle w:val="ListBullet"/>
      </w:pPr>
      <w:hyperlink r:id="rId15">
        <w:r>
          <w:rPr>
            <w:rFonts w:ascii="Times New Roman" w:hAnsi="Times New Roman" w:eastAsia="Times New Roman"/>
            <w:sz w:val="22"/>
            <w:color w:val="0563C1"/>
            <w:u w:val="single"/>
          </w:rPr>
          <w:t>Committee on the Rights of the Child session database</w:t>
        </w:r>
      </w:hyperlink>
    </w:p>
    <w:p>
      <w:pPr>
        <w:pStyle w:val="ListBullet"/>
      </w:pPr>
      <w:hyperlink r:id="rId10">
        <w:r>
          <w:rPr>
            <w:rFonts w:ascii="Times New Roman" w:hAnsi="Times New Roman" w:eastAsia="Times New Roman"/>
            <w:sz w:val="22"/>
            <w:color w:val="0563C1"/>
            <w:u w:val="single"/>
          </w:rPr>
          <w:t>OHCHR youth reports and studies</w:t>
        </w:r>
      </w:hyperlink>
    </w:p>
    <w:p>
      <w:pPr>
        <w:pStyle w:val="ListBullet"/>
      </w:pPr>
      <w:hyperlink r:id="rId20">
        <w:r>
          <w:rPr>
            <w:rFonts w:ascii="Times New Roman" w:hAnsi="Times New Roman" w:eastAsia="Times New Roman"/>
            <w:sz w:val="22"/>
            <w:color w:val="0563C1"/>
            <w:u w:val="single"/>
          </w:rPr>
          <w:t>Practical information and deadlines</w:t>
        </w:r>
      </w:hyperlink>
    </w:p>
    <w:p>
      <w:pPr>
        <w:pStyle w:val="ListBullet"/>
      </w:pPr>
      <w:hyperlink r:id="rId31">
        <w:r>
          <w:rPr>
            <w:rFonts w:ascii="Times New Roman" w:hAnsi="Times New Roman" w:eastAsia="Times New Roman"/>
            <w:sz w:val="22"/>
            <w:color w:val="0563C1"/>
            <w:u w:val="single"/>
          </w:rPr>
          <w:t>HRC Secretariat directory</w:t>
        </w:r>
      </w:hyperlink>
    </w:p>
    <w:p>
      <w:pPr>
        <w:pStyle w:val="ListBullet"/>
      </w:pPr>
      <w:hyperlink r:id="rId32">
        <w:r>
          <w:rPr>
            <w:rFonts w:ascii="Times New Roman" w:hAnsi="Times New Roman" w:eastAsia="Times New Roman"/>
            <w:sz w:val="22"/>
            <w:color w:val="0563C1"/>
            <w:u w:val="single"/>
          </w:rPr>
          <w:t>Peacocks &amp; Procedure · public 2024 edition (independent guide)</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hchr.org/en/youth" TargetMode="External"/><Relationship Id="rId10" Type="http://schemas.openxmlformats.org/officeDocument/2006/relationships/hyperlink" Target="https://www.ohchr.org/en/youth/reports" TargetMode="External"/><Relationship Id="rId11" Type="http://schemas.openxmlformats.org/officeDocument/2006/relationships/hyperlink" Target="https://hrcportal.ohchr.org/60th-regular-session-human-rights-council-0" TargetMode="External"/><Relationship Id="rId12" Type="http://schemas.openxmlformats.org/officeDocument/2006/relationships/hyperlink" Target="https://hrcportal.ohchr.org/three-year-programme-work" TargetMode="External"/><Relationship Id="rId13" Type="http://schemas.openxmlformats.org/officeDocument/2006/relationships/hyperlink" Target="https://www.ohchr.org/en/children" TargetMode="External"/><Relationship Id="rId14" Type="http://schemas.openxmlformats.org/officeDocument/2006/relationships/hyperlink" Target="https://hrcportal.ohchr.org/hrc-sessions" TargetMode="External"/><Relationship Id="rId15" Type="http://schemas.openxmlformats.org/officeDocument/2006/relationships/hyperlink" Target="https://tbinternet.ohchr.org/_layouts/15/TreatyBodyExternal/SessionsList.aspx?Treaty=CRC" TargetMode="External"/><Relationship Id="rId16" Type="http://schemas.openxmlformats.org/officeDocument/2006/relationships/hyperlink" Target="https://www.ohchr.org/en/treaty-bodies/crc" TargetMode="External"/><Relationship Id="rId17" Type="http://schemas.openxmlformats.org/officeDocument/2006/relationships/hyperlink" Target="https://docs.google.com/document/d/1ieNXyo4w0Q6Q5sOg9TjoX4l19ny9eXKhLkD-XyATjQk/edit" TargetMode="External"/><Relationship Id="rId18" Type="http://schemas.openxmlformats.org/officeDocument/2006/relationships/hyperlink" Target="https://docs.google.com/presentation/d/1uIk5GrBEQ-TFYGFgR9M8jybopsfCVEzznZ8vp4kY22E/edit" TargetMode="External"/><Relationship Id="rId19" Type="http://schemas.openxmlformats.org/officeDocument/2006/relationships/hyperlink" Target="https://waindewane.github.io/unyd-process-guide/downloads/HRC_2027_Recurring_Resolution_Forecast.xlsx" TargetMode="External"/><Relationship Id="rId20" Type="http://schemas.openxmlformats.org/officeDocument/2006/relationships/hyperlink" Target="https://hrcportal.ohchr.org/practical-information" TargetMode="External"/><Relationship Id="rId21" Type="http://schemas.openxmlformats.org/officeDocument/2006/relationships/hyperlink" Target="https://hrcportal.ohchr.org/panel-discussions" TargetMode="External"/><Relationship Id="rId22" Type="http://schemas.openxmlformats.org/officeDocument/2006/relationships/hyperlink" Target="mailto:helen.griffiths@un.org" TargetMode="External"/><Relationship Id="rId23" Type="http://schemas.openxmlformats.org/officeDocument/2006/relationships/hyperlink" Target="mailto:razan.askar@un.org" TargetMode="External"/><Relationship Id="rId24" Type="http://schemas.openxmlformats.org/officeDocument/2006/relationships/hyperlink" Target="mailto:matias.pellado@un.org" TargetMode="External"/><Relationship Id="rId25" Type="http://schemas.openxmlformats.org/officeDocument/2006/relationships/hyperlink" Target="mailto:waindewane@gmail.com" TargetMode="External"/><Relationship Id="rId26" Type="http://schemas.openxmlformats.org/officeDocument/2006/relationships/hyperlink" Target="mailto:youthaffairs@un.org" TargetMode="External"/><Relationship Id="rId27" Type="http://schemas.openxmlformats.org/officeDocument/2006/relationships/hyperlink" Target="mailto:youth@un.org" TargetMode="External"/><Relationship Id="rId28" Type="http://schemas.openxmlformats.org/officeDocument/2006/relationships/hyperlink" Target="mailto:unyds.workinggroup@gmail.com" TargetMode="External"/><Relationship Id="rId29" Type="http://schemas.openxmlformats.org/officeDocument/2006/relationships/hyperlink" Target="https://searchlibrary.ohchr.org/record/31693" TargetMode="External"/><Relationship Id="rId30" Type="http://schemas.openxmlformats.org/officeDocument/2006/relationships/hyperlink" Target="https://searchlibrary.ohchr.org/record/35366" TargetMode="External"/><Relationship Id="rId31" Type="http://schemas.openxmlformats.org/officeDocument/2006/relationships/hyperlink" Target="https://hrcportal.ohchr.org/contact-directory" TargetMode="External"/><Relationship Id="rId32" Type="http://schemas.openxmlformats.org/officeDocument/2006/relationships/hyperlink" Target="https://blogs.fcdo.gov.uk/wp-content/uploads/Peacocks-Procedure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HRC: Human Rights Council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