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Times New Roman"/>
          <w:b/>
          <w:i w:val="0"/>
          <w:sz w:val="22"/>
        </w:rPr>
        <w:t>CND: Commission on Narcotic Drugs</w:t>
      </w:r>
    </w:p>
    <w:p>
      <w:r>
        <w:rPr>
          <w:rFonts w:ascii="Times New Roman" w:hAnsi="Times New Roman" w:eastAsia="Times New Roman"/>
          <w:b/>
          <w:i w:val="0"/>
          <w:sz w:val="22"/>
        </w:rPr>
        <w:t xml:space="preserve">Location: </w:t>
      </w:r>
      <w:r>
        <w:rPr>
          <w:rFonts w:ascii="Times New Roman" w:hAnsi="Times New Roman" w:eastAsia="Times New Roman"/>
          <w:b w:val="0"/>
          <w:i w:val="0"/>
          <w:sz w:val="22"/>
        </w:rPr>
        <w:t>Vienna</w:t>
      </w:r>
    </w:p>
    <w:p>
      <w:r>
        <w:rPr>
          <w:rFonts w:ascii="Times New Roman" w:hAnsi="Times New Roman" w:eastAsia="Times New Roman"/>
          <w:b/>
          <w:i w:val="0"/>
          <w:sz w:val="22"/>
        </w:rPr>
        <w:t xml:space="preserve">2027 date or window: </w:t>
      </w:r>
      <w:r>
        <w:rPr>
          <w:rFonts w:ascii="Times New Roman" w:hAnsi="Times New Roman" w:eastAsia="Times New Roman"/>
          <w:b w:val="0"/>
          <w:i w:val="0"/>
          <w:sz w:val="22"/>
        </w:rPr>
        <w:t>15–19 March 2027</w:t>
      </w:r>
    </w:p>
    <w:p>
      <w:r>
        <w:rPr>
          <w:rFonts w:ascii="Times New Roman" w:hAnsi="Times New Roman" w:eastAsia="Times New Roman"/>
          <w:b/>
          <w:i w:val="0"/>
          <w:sz w:val="22"/>
        </w:rPr>
        <w:t xml:space="preserve">Date status: </w:t>
      </w:r>
      <w:r>
        <w:rPr>
          <w:rFonts w:ascii="Times New Roman" w:hAnsi="Times New Roman" w:eastAsia="Times New Roman"/>
          <w:b w:val="0"/>
          <w:i w:val="0"/>
          <w:sz w:val="22"/>
        </w:rPr>
        <w:t>official provisional</w:t>
      </w:r>
    </w:p>
    <w:p>
      <w:r>
        <w:rPr>
          <w:rFonts w:ascii="Times New Roman" w:hAnsi="Times New Roman" w:eastAsia="Times New Roman"/>
          <w:b/>
          <w:i w:val="0"/>
          <w:sz w:val="22"/>
        </w:rPr>
        <w:t xml:space="preserve">Website content last verified: </w:t>
      </w:r>
      <w:r>
        <w:rPr>
          <w:rFonts w:ascii="Times New Roman" w:hAnsi="Times New Roman" w:eastAsia="Times New Roman"/>
          <w:b w:val="0"/>
          <w:i w:val="0"/>
          <w:sz w:val="22"/>
        </w:rPr>
        <w:t>28 August 2026</w:t>
      </w:r>
    </w:p>
    <w:p>
      <w:r>
        <w:t>This document contains the substantive information currently published on the UNYD process guide for this process. Official and primary links are included for checking updates. Planning estimates and recent-cycle precedents are not UN deadlines.</w:t>
      </w:r>
    </w:p>
    <w:p>
      <w:pPr>
        <w:pStyle w:val="Heading1"/>
      </w:pPr>
      <w:r>
        <w:t>Process overview</w:t>
      </w:r>
    </w:p>
    <w:p>
      <w:r>
        <w:t>The main UN policymaking body on international drug control. A small, changing package of draft resolutions is negotiated in the Committee of the Whole alongside plenary debate and treaty-based scheduling decisions.</w:t>
      </w:r>
    </w:p>
    <w:p>
      <w:r>
        <w:rPr>
          <w:rFonts w:ascii="Times New Roman" w:hAnsi="Times New Roman" w:eastAsia="Times New Roman"/>
          <w:b/>
          <w:i w:val="0"/>
          <w:sz w:val="22"/>
        </w:rPr>
        <w:t xml:space="preserve">Mandate: </w:t>
      </w:r>
      <w:r>
        <w:rPr>
          <w:rFonts w:ascii="Times New Roman" w:hAnsi="Times New Roman" w:eastAsia="Times New Roman"/>
          <w:b w:val="0"/>
          <w:i w:val="0"/>
          <w:sz w:val="22"/>
        </w:rPr>
        <w:t>The UN’s principal policy-making body on international drug control and implementation of the drug-control conventions.</w:t>
      </w:r>
    </w:p>
    <w:p>
      <w:r>
        <w:rPr>
          <w:rFonts w:ascii="Times New Roman" w:hAnsi="Times New Roman" w:eastAsia="Times New Roman"/>
          <w:b/>
          <w:i w:val="0"/>
          <w:sz w:val="22"/>
        </w:rPr>
        <w:t xml:space="preserve">Main outputs: </w:t>
      </w:r>
      <w:r>
        <w:rPr>
          <w:rFonts w:ascii="Times New Roman" w:hAnsi="Times New Roman" w:eastAsia="Times New Roman"/>
          <w:b w:val="0"/>
          <w:i w:val="0"/>
          <w:sz w:val="22"/>
        </w:rPr>
        <w:t>A small annual package of policy resolutions, treaty-based drug-scheduling decisions and occasional declarations or recommendations to ECOSOC and the General Assembly.</w:t>
      </w:r>
    </w:p>
    <w:p>
      <w:r>
        <w:rPr>
          <w:rFonts w:ascii="Times New Roman" w:hAnsi="Times New Roman" w:eastAsia="Times New Roman"/>
          <w:b/>
          <w:i w:val="0"/>
          <w:sz w:val="22"/>
        </w:rPr>
        <w:t xml:space="preserve">Working structure: </w:t>
      </w:r>
      <w:r>
        <w:rPr>
          <w:rFonts w:ascii="Times New Roman" w:hAnsi="Times New Roman" w:eastAsia="Times New Roman"/>
          <w:b w:val="0"/>
          <w:i w:val="0"/>
          <w:sz w:val="22"/>
        </w:rPr>
        <w:t>Plenary considers the agenda and adopts outcomes; the parallel Committee of the Whole works through draft resolutions before they return to plenary for action.</w:t>
      </w:r>
    </w:p>
    <w:p>
      <w:r>
        <w:rPr>
          <w:rFonts w:ascii="Times New Roman" w:hAnsi="Times New Roman" w:eastAsia="Times New Roman"/>
          <w:b/>
          <w:i w:val="0"/>
          <w:sz w:val="22"/>
        </w:rPr>
        <w:t xml:space="preserve">What access depends on: </w:t>
      </w:r>
      <w:r>
        <w:rPr>
          <w:rFonts w:ascii="Times New Roman" w:hAnsi="Times New Roman" w:eastAsia="Times New Roman"/>
          <w:b w:val="0"/>
          <w:i w:val="0"/>
          <w:sz w:val="22"/>
        </w:rPr>
        <w:t>Only a State member of the Commission can table a draft. Practical UNYD access to sponsor drafts, informal consultations and the Committee of the Whole therefore depends on the national delegation and the country’s Permanent Mission in Vienna.</w:t>
      </w:r>
    </w:p>
    <w:p>
      <w:r>
        <w:rPr>
          <w:rFonts w:ascii="Times New Roman" w:hAnsi="Times New Roman" w:eastAsia="Times New Roman"/>
          <w:b/>
          <w:i w:val="0"/>
          <w:sz w:val="22"/>
        </w:rPr>
        <w:t xml:space="preserve">Recurring youth relevance: </w:t>
      </w:r>
      <w:r>
        <w:rPr>
          <w:rFonts w:ascii="Times New Roman" w:hAnsi="Times New Roman" w:eastAsia="Times New Roman"/>
          <w:b w:val="0"/>
          <w:i w:val="0"/>
          <w:sz w:val="22"/>
        </w:rPr>
        <w:t>CND does not have one recurring youth resolution. Two separate youth-specific openings are the annual UNODC Youth Forum and the independent expert panel established by resolution 68/6, which must consult youth groups and return to CND70 in 2027.</w:t>
      </w:r>
    </w:p>
    <w:p>
      <w:pPr>
        <w:pStyle w:val="Heading2"/>
      </w:pPr>
      <w:r>
        <w:t>Recurring entry points</w:t>
      </w:r>
    </w:p>
    <w:p>
      <w:hyperlink r:id="rId9">
        <w:r>
          <w:rPr>
            <w:rFonts w:ascii="Times New Roman" w:hAnsi="Times New Roman" w:eastAsia="Times New Roman"/>
            <w:sz w:val="22"/>
            <w:color w:val="0563C1"/>
            <w:u w:val="single"/>
          </w:rPr>
          <w:t>Annual UNODC Youth Forum</w:t>
        </w:r>
      </w:hyperlink>
      <w:r>
        <w:rPr>
          <w:rFonts w:ascii="Times New Roman" w:hAnsi="Times New Roman" w:eastAsia="Times New Roman"/>
          <w:b/>
          <w:i w:val="0"/>
          <w:sz w:val="22"/>
        </w:rPr>
        <w:t xml:space="preserve"> — Nomination can begin in the previous summer · event around CND</w:t>
      </w:r>
      <w:r>
        <w:rPr>
          <w:rFonts w:ascii="Times New Roman" w:hAnsi="Times New Roman" w:eastAsia="Times New Roman"/>
          <w:b w:val="0"/>
          <w:i w:val="0"/>
          <w:sz w:val="22"/>
        </w:rPr>
        <w:t>. UNODC organizes the Forum with ongoing support from the Government of the Russian Federation. It is not a UN Youth Delegate forum: Member States nominate participants through their Permanent Missions, UNODC selects them and they participate in their personal capacity. Some UN Youth Delegates have participated, but the official reports do not consistently identify UNYD status. The Forum produces a collective youth statement delivered to CND.</w:t>
      </w:r>
      <w:r>
        <w:rPr>
          <w:rFonts w:ascii="Times New Roman" w:hAnsi="Times New Roman" w:eastAsia="Times New Roman"/>
          <w:b w:val="0"/>
          <w:i/>
          <w:sz w:val="22"/>
        </w:rPr>
        <w:t xml:space="preserve"> Status: Annual adjacent participation route; 2027 nomination pending.</w:t>
      </w:r>
    </w:p>
    <w:p>
      <w:r>
        <w:rPr>
          <w:rFonts w:ascii="Times New Roman" w:hAnsi="Times New Roman" w:eastAsia="Times New Roman"/>
          <w:b/>
          <w:i w:val="0"/>
          <w:sz w:val="22"/>
        </w:rPr>
        <w:t>Annual draft-resolution package</w:t>
      </w:r>
      <w:r>
        <w:rPr>
          <w:rFonts w:ascii="Times New Roman" w:hAnsi="Times New Roman" w:eastAsia="Times New Roman"/>
          <w:b/>
          <w:i w:val="0"/>
          <w:sz w:val="22"/>
        </w:rPr>
        <w:t xml:space="preserve"> — Deadline normally four weeks before the session</w:t>
      </w:r>
      <w:r>
        <w:rPr>
          <w:rFonts w:ascii="Times New Roman" w:hAnsi="Times New Roman" w:eastAsia="Times New Roman"/>
          <w:b w:val="0"/>
          <w:i w:val="0"/>
          <w:sz w:val="22"/>
        </w:rPr>
        <w:t>. This is not a fixed list of six or seven recurring resolutions. The official reports record four CND policy resolutions plus a high-level declaration in 2024, six resolutions in 2025, and four CND resolutions plus one draft General Assembly resolution in 2026. Titles, sponsors and votes changed in every package.</w:t>
      </w:r>
      <w:r>
        <w:rPr>
          <w:rFonts w:ascii="Times New Roman" w:hAnsi="Times New Roman" w:eastAsia="Times New Roman"/>
          <w:b w:val="0"/>
          <w:i/>
          <w:sz w:val="22"/>
        </w:rPr>
        <w:t xml:space="preserve"> Status: Annual mechanism; 2027 draft list not yet published.</w:t>
      </w:r>
      <w:r>
        <w:rPr>
          <w:rFonts w:ascii="Times New Roman" w:hAnsi="Times New Roman" w:eastAsia="Times New Roman"/>
          <w:b w:val="0"/>
          <w:i w:val="0"/>
          <w:sz w:val="22"/>
        </w:rPr>
        <w:t xml:space="preserve"> </w:t>
      </w:r>
      <w:hyperlink r:id="rId10">
        <w:r>
          <w:rPr>
            <w:rFonts w:ascii="Times New Roman" w:hAnsi="Times New Roman" w:eastAsia="Times New Roman"/>
            <w:sz w:val="22"/>
            <w:color w:val="0563C1"/>
            <w:u w:val="single"/>
          </w:rPr>
          <w:t>CND67 report (2024)</w:t>
        </w:r>
      </w:hyperlink>
      <w:r>
        <w:rPr>
          <w:rFonts w:ascii="Times New Roman" w:hAnsi="Times New Roman" w:eastAsia="Times New Roman"/>
          <w:b w:val="0"/>
          <w:i w:val="0"/>
          <w:sz w:val="22"/>
        </w:rPr>
        <w:t>.</w:t>
      </w:r>
      <w:r>
        <w:rPr>
          <w:rFonts w:ascii="Times New Roman" w:hAnsi="Times New Roman" w:eastAsia="Times New Roman"/>
          <w:b w:val="0"/>
          <w:i w:val="0"/>
          <w:sz w:val="22"/>
        </w:rPr>
        <w:t xml:space="preserve"> </w:t>
      </w:r>
      <w:hyperlink r:id="rId11">
        <w:r>
          <w:rPr>
            <w:rFonts w:ascii="Times New Roman" w:hAnsi="Times New Roman" w:eastAsia="Times New Roman"/>
            <w:sz w:val="22"/>
            <w:color w:val="0563C1"/>
            <w:u w:val="single"/>
          </w:rPr>
          <w:t>CND68 report (2025)</w:t>
        </w:r>
      </w:hyperlink>
      <w:r>
        <w:rPr>
          <w:rFonts w:ascii="Times New Roman" w:hAnsi="Times New Roman" w:eastAsia="Times New Roman"/>
          <w:b w:val="0"/>
          <w:i w:val="0"/>
          <w:sz w:val="22"/>
        </w:rPr>
        <w:t>.</w:t>
      </w:r>
      <w:r>
        <w:rPr>
          <w:rFonts w:ascii="Times New Roman" w:hAnsi="Times New Roman" w:eastAsia="Times New Roman"/>
          <w:b w:val="0"/>
          <w:i w:val="0"/>
          <w:sz w:val="22"/>
        </w:rPr>
        <w:t xml:space="preserve"> </w:t>
      </w:r>
      <w:hyperlink r:id="rId12">
        <w:r>
          <w:rPr>
            <w:rFonts w:ascii="Times New Roman" w:hAnsi="Times New Roman" w:eastAsia="Times New Roman"/>
            <w:sz w:val="22"/>
            <w:color w:val="0563C1"/>
            <w:u w:val="single"/>
          </w:rPr>
          <w:t>CND69 report (2026)</w:t>
        </w:r>
      </w:hyperlink>
      <w:r>
        <w:rPr>
          <w:rFonts w:ascii="Times New Roman" w:hAnsi="Times New Roman" w:eastAsia="Times New Roman"/>
          <w:b w:val="0"/>
          <w:i w:val="0"/>
          <w:sz w:val="22"/>
        </w:rPr>
        <w:t>.</w:t>
      </w:r>
    </w:p>
    <w:p>
      <w:hyperlink r:id="rId13">
        <w:r>
          <w:rPr>
            <w:rFonts w:ascii="Times New Roman" w:hAnsi="Times New Roman" w:eastAsia="Times New Roman"/>
            <w:sz w:val="22"/>
            <w:color w:val="0563C1"/>
            <w:u w:val="single"/>
          </w:rPr>
          <w:t>Recurring policy lines, not recurring titles</w:t>
        </w:r>
      </w:hyperlink>
      <w:r>
        <w:rPr>
          <w:rFonts w:ascii="Times New Roman" w:hAnsi="Times New Roman" w:eastAsia="Times New Roman"/>
          <w:b/>
          <w:i w:val="0"/>
          <w:sz w:val="22"/>
        </w:rPr>
        <w:t xml:space="preserve"> — Multi-year lineages · no fixed annual or biennial cycle</w:t>
      </w:r>
      <w:r>
        <w:rPr>
          <w:rFonts w:ascii="Times New Roman" w:hAnsi="Times New Roman" w:eastAsia="Times New Roman"/>
          <w:b w:val="0"/>
          <w:i w:val="0"/>
          <w:sz w:val="22"/>
        </w:rPr>
        <w:t>. Alternative development formed a clear 2024–2026 chain. Public-health resolutions moved from recovery, medicines and overdose in 2024 to prevention and stimulant treatment in 2025 and an integrated public-health resolution in 2026. Synthetic-drug and precursor files also recur, but their scope and sponsors change.</w:t>
      </w:r>
      <w:r>
        <w:rPr>
          <w:rFonts w:ascii="Times New Roman" w:hAnsi="Times New Roman" w:eastAsia="Times New Roman"/>
          <w:b w:val="0"/>
          <w:i/>
          <w:sz w:val="22"/>
        </w:rPr>
        <w:t xml:space="preserve"> Status: Pattern verified across the 2024–2026 official reports.</w:t>
      </w:r>
    </w:p>
    <w:p>
      <w:hyperlink r:id="rId14">
        <w:r>
          <w:rPr>
            <w:rFonts w:ascii="Times New Roman" w:hAnsi="Times New Roman" w:eastAsia="Times New Roman"/>
            <w:sz w:val="22"/>
            <w:color w:val="0563C1"/>
            <w:u w:val="single"/>
          </w:rPr>
          <w:t>Independent expert-panel recommendations</w:t>
        </w:r>
      </w:hyperlink>
      <w:r>
        <w:rPr>
          <w:rFonts w:ascii="Times New Roman" w:hAnsi="Times New Roman" w:eastAsia="Times New Roman"/>
          <w:b/>
          <w:i w:val="0"/>
          <w:sz w:val="22"/>
        </w:rPr>
        <w:t xml:space="preserve"> — Consultations before CND70 · discussion at CND70</w:t>
      </w:r>
      <w:r>
        <w:rPr>
          <w:rFonts w:ascii="Times New Roman" w:hAnsi="Times New Roman" w:eastAsia="Times New Roman"/>
          <w:b w:val="0"/>
          <w:i w:val="0"/>
          <w:sz w:val="22"/>
        </w:rPr>
        <w:t>. Resolution 68/6 requires the 19-member panel to consult States and stakeholders, expressly including youth groups, through a virtual platform. CND69 completed the panel’s composition; CND70 is mandated to discuss its recommendations. Consultation dates and the route for youth input still have to be published.</w:t>
      </w:r>
      <w:r>
        <w:rPr>
          <w:rFonts w:ascii="Times New Roman" w:hAnsi="Times New Roman" w:eastAsia="Times New Roman"/>
          <w:b w:val="0"/>
          <w:i/>
          <w:sz w:val="22"/>
        </w:rPr>
        <w:t xml:space="preserve"> Status: 2027 discussion mandated; consultation timetable pending.</w:t>
      </w:r>
    </w:p>
    <w:p>
      <w:hyperlink r:id="rId15">
        <w:r>
          <w:rPr>
            <w:rFonts w:ascii="Times New Roman" w:hAnsi="Times New Roman" w:eastAsia="Times New Roman"/>
            <w:sz w:val="22"/>
            <w:color w:val="0563C1"/>
            <w:u w:val="single"/>
          </w:rPr>
          <w:t>Drug-scheduling decisions</w:t>
        </w:r>
      </w:hyperlink>
      <w:r>
        <w:rPr>
          <w:rFonts w:ascii="Times New Roman" w:hAnsi="Times New Roman" w:eastAsia="Times New Roman"/>
          <w:b/>
          <w:i w:val="0"/>
          <w:sz w:val="22"/>
        </w:rPr>
        <w:t xml:space="preserve"> — Annual treaty function · separate from policy resolutions</w:t>
      </w:r>
      <w:r>
        <w:rPr>
          <w:rFonts w:ascii="Times New Roman" w:hAnsi="Times New Roman" w:eastAsia="Times New Roman"/>
          <w:b w:val="0"/>
          <w:i w:val="0"/>
          <w:sz w:val="22"/>
        </w:rPr>
        <w:t>. The Commission also votes on WHO and INCB recommendations to place substances and precursors under international control. These decisions can be numerous, but they are not the same as the smaller package of negotiated thematic resolutions.</w:t>
      </w:r>
      <w:r>
        <w:rPr>
          <w:rFonts w:ascii="Times New Roman" w:hAnsi="Times New Roman" w:eastAsia="Times New Roman"/>
          <w:b w:val="0"/>
          <w:i/>
          <w:sz w:val="22"/>
        </w:rPr>
        <w:t xml:space="preserve"> Status: Recurring treaty-based process.</w:t>
      </w:r>
    </w:p>
    <w:p>
      <w:hyperlink r:id="rId16">
        <w:r>
          <w:rPr>
            <w:rFonts w:ascii="Times New Roman" w:hAnsi="Times New Roman" w:eastAsia="Times New Roman"/>
            <w:sz w:val="22"/>
            <w:color w:val="0563C1"/>
            <w:u w:val="single"/>
          </w:rPr>
          <w:t>Committee of the Whole</w:t>
        </w:r>
      </w:hyperlink>
      <w:r>
        <w:rPr>
          <w:rFonts w:ascii="Times New Roman" w:hAnsi="Times New Roman" w:eastAsia="Times New Roman"/>
          <w:b/>
          <w:i w:val="0"/>
          <w:sz w:val="22"/>
        </w:rPr>
        <w:t xml:space="preserve"> — During the regular session</w:t>
      </w:r>
      <w:r>
        <w:rPr>
          <w:rFonts w:ascii="Times New Roman" w:hAnsi="Times New Roman" w:eastAsia="Times New Roman"/>
          <w:b w:val="0"/>
          <w:i w:val="0"/>
          <w:sz w:val="22"/>
        </w:rPr>
        <w:t>. Sponsors introduce draft resolutions and delegations negotiate them in the Committee of the Whole, which runs alongside plenary. Approved texts return to plenary for adoption. Informal sponsor consultations may begin before formal introduction when the Commission’s Bureau agrees.</w:t>
      </w:r>
      <w:r>
        <w:rPr>
          <w:rFonts w:ascii="Times New Roman" w:hAnsi="Times New Roman" w:eastAsia="Times New Roman"/>
          <w:b w:val="0"/>
          <w:i/>
          <w:sz w:val="22"/>
        </w:rPr>
        <w:t xml:space="preserve"> Status: Recurring formal working structure.</w:t>
      </w:r>
    </w:p>
    <w:p>
      <w:pPr>
        <w:pStyle w:val="Heading1"/>
      </w:pPr>
      <w:r>
        <w:t>UNYD participation</w:t>
      </w:r>
    </w:p>
    <w:p>
      <w:pPr>
        <w:pStyle w:val="ListBullet"/>
      </w:pPr>
      <w:r>
        <w:rPr>
          <w:rFonts w:ascii="Times New Roman" w:hAnsi="Times New Roman" w:eastAsia="Times New Roman"/>
          <w:b w:val="0"/>
          <w:i w:val="0"/>
          <w:sz w:val="22"/>
        </w:rPr>
        <w:t>UN Youth Delegates participate through their country’s official delegation, with responsibilities agreed with the national authorities and their country’s Permanent Mission in Vienna.</w:t>
      </w:r>
    </w:p>
    <w:p>
      <w:pPr>
        <w:pStyle w:val="ListBullet"/>
      </w:pPr>
      <w:r>
        <w:rPr>
          <w:rFonts w:ascii="Times New Roman" w:hAnsi="Times New Roman" w:eastAsia="Times New Roman"/>
          <w:b w:val="0"/>
          <w:i w:val="0"/>
          <w:sz w:val="22"/>
        </w:rPr>
        <w:t>Resolution work depends on national-delegation access: only CND member States can table drafts, and the country’s Permanent Mission in Vienna decides whether a Youth Delegate can receive sponsor text, join coordination or submit wording.</w:t>
      </w:r>
    </w:p>
    <w:p>
      <w:pPr>
        <w:pStyle w:val="ListBullet"/>
      </w:pPr>
      <w:r>
        <w:rPr>
          <w:rFonts w:ascii="Times New Roman" w:hAnsi="Times New Roman" w:eastAsia="Times New Roman"/>
          <w:b w:val="0"/>
          <w:i w:val="0"/>
          <w:sz w:val="22"/>
        </w:rPr>
        <w:t>The annual UNODC Youth Forum is a separate route: Member States nominate young participants through their Permanent Missions, UNODC selects them and they attend in their personal capacity rather than as members of a national delegation.</w:t>
      </w:r>
    </w:p>
    <w:p>
      <w:pPr>
        <w:pStyle w:val="ListBullet"/>
      </w:pPr>
      <w:r>
        <w:rPr>
          <w:rFonts w:ascii="Times New Roman" w:hAnsi="Times New Roman" w:eastAsia="Times New Roman"/>
          <w:b w:val="0"/>
          <w:i w:val="0"/>
          <w:sz w:val="22"/>
        </w:rPr>
        <w:t>The independent panel created by resolution 68/6 must also consult youth groups. That stakeholder route is separate from participation as a member of a national delegation.</w:t>
      </w:r>
    </w:p>
    <w:p>
      <w:pPr>
        <w:pStyle w:val="Heading1"/>
      </w:pPr>
      <w:r>
        <w:t>Session structure</w:t>
      </w:r>
    </w:p>
    <w:p>
      <w:pPr>
        <w:pStyle w:val="ListBullet"/>
      </w:pPr>
      <w:r>
        <w:rPr>
          <w:rFonts w:ascii="Times New Roman" w:hAnsi="Times New Roman" w:eastAsia="Times New Roman"/>
          <w:b/>
          <w:i w:val="0"/>
          <w:sz w:val="22"/>
        </w:rPr>
        <w:t xml:space="preserve">Previous summer onward — UNODC Youth Forum nominations: </w:t>
      </w:r>
      <w:r>
        <w:rPr>
          <w:rFonts w:ascii="Times New Roman" w:hAnsi="Times New Roman" w:eastAsia="Times New Roman"/>
          <w:b w:val="0"/>
          <w:i w:val="0"/>
          <w:sz w:val="22"/>
        </w:rPr>
        <w:t>Member State nominations through Permanent Missions; timing and selection are separate from the CND delegation</w:t>
      </w:r>
    </w:p>
    <w:p>
      <w:pPr>
        <w:pStyle w:val="ListBullet"/>
      </w:pPr>
      <w:r>
        <w:rPr>
          <w:rFonts w:ascii="Times New Roman" w:hAnsi="Times New Roman" w:eastAsia="Times New Roman"/>
          <w:b/>
          <w:i w:val="0"/>
          <w:sz w:val="22"/>
        </w:rPr>
        <w:t xml:space="preserve">25 January — National delegation resolution-file check: </w:t>
      </w:r>
      <w:r>
        <w:rPr>
          <w:rFonts w:ascii="Times New Roman" w:hAnsi="Times New Roman" w:eastAsia="Times New Roman"/>
          <w:b w:val="0"/>
          <w:i w:val="0"/>
          <w:sz w:val="22"/>
        </w:rPr>
        <w:t>Planning point three weeks before the expected tabling deadline</w:t>
      </w:r>
    </w:p>
    <w:p>
      <w:pPr>
        <w:pStyle w:val="ListBullet"/>
      </w:pPr>
      <w:r>
        <w:rPr>
          <w:rFonts w:ascii="Times New Roman" w:hAnsi="Times New Roman" w:eastAsia="Times New Roman"/>
          <w:b/>
          <w:i w:val="0"/>
          <w:sz w:val="22"/>
        </w:rPr>
        <w:t xml:space="preserve">Around 15 February — Draft-resolution deadline: </w:t>
      </w:r>
      <w:r>
        <w:rPr>
          <w:rFonts w:ascii="Times New Roman" w:hAnsi="Times New Roman" w:eastAsia="Times New Roman"/>
          <w:b w:val="0"/>
          <w:i w:val="0"/>
          <w:sz w:val="22"/>
        </w:rPr>
        <w:t>Four-week rule applied to the provisional CND70 opening; exact deadline to confirm</w:t>
      </w:r>
    </w:p>
    <w:p>
      <w:pPr>
        <w:pStyle w:val="ListBullet"/>
      </w:pPr>
      <w:r>
        <w:rPr>
          <w:rFonts w:ascii="Times New Roman" w:hAnsi="Times New Roman" w:eastAsia="Times New Roman"/>
          <w:b/>
          <w:i w:val="0"/>
          <w:sz w:val="22"/>
        </w:rPr>
        <w:t xml:space="preserve">15 March — Opening: </w:t>
      </w:r>
      <w:r>
        <w:rPr>
          <w:rFonts w:ascii="Times New Roman" w:hAnsi="Times New Roman" w:eastAsia="Times New Roman"/>
          <w:b w:val="0"/>
          <w:i w:val="0"/>
          <w:sz w:val="22"/>
        </w:rPr>
        <w:t>Formal opening of the seventieth session</w:t>
      </w:r>
    </w:p>
    <w:p>
      <w:pPr>
        <w:pStyle w:val="ListBullet"/>
      </w:pPr>
      <w:r>
        <w:rPr>
          <w:rFonts w:ascii="Times New Roman" w:hAnsi="Times New Roman" w:eastAsia="Times New Roman"/>
          <w:b/>
          <w:i w:val="0"/>
          <w:sz w:val="22"/>
        </w:rPr>
        <w:t xml:space="preserve">15–19 March — Committee of the Whole and plenary: </w:t>
      </w:r>
      <w:r>
        <w:rPr>
          <w:rFonts w:ascii="Times New Roman" w:hAnsi="Times New Roman" w:eastAsia="Times New Roman"/>
          <w:b w:val="0"/>
          <w:i w:val="0"/>
          <w:sz w:val="22"/>
        </w:rPr>
        <w:t>Negotiation, action on resolutions and discussion of the 68/6 panel recommendations</w:t>
      </w:r>
    </w:p>
    <w:p>
      <w:pPr>
        <w:pStyle w:val="ListBullet"/>
      </w:pPr>
      <w:r>
        <w:rPr>
          <w:rFonts w:ascii="Times New Roman" w:hAnsi="Times New Roman" w:eastAsia="Times New Roman"/>
          <w:b/>
          <w:i w:val="0"/>
          <w:sz w:val="22"/>
        </w:rPr>
        <w:t xml:space="preserve">19 March — Action and closing: </w:t>
      </w:r>
      <w:r>
        <w:rPr>
          <w:rFonts w:ascii="Times New Roman" w:hAnsi="Times New Roman" w:eastAsia="Times New Roman"/>
          <w:b w:val="0"/>
          <w:i w:val="0"/>
          <w:sz w:val="22"/>
        </w:rPr>
        <w:t>Final decisions and session closure</w:t>
      </w:r>
    </w:p>
    <w:p>
      <w:pPr>
        <w:pStyle w:val="Heading1"/>
      </w:pPr>
      <w:r>
        <w:t>Preparation and negotiation calendar</w:t>
      </w:r>
    </w:p>
    <w:p>
      <w:r>
        <w:t>The four-week tabling rule is official, but the 15 February 2027 date is derived from the officially published provisional CND70 start date and must be checked against the Bureau-endorsed deadline. The 25 January Mission check is a planning point exactly three weeks earlier, not a UN deadline.</w:t>
      </w:r>
    </w:p>
    <w:p>
      <w:pPr>
        <w:pStyle w:val="ListBullet"/>
      </w:pPr>
      <w:r>
        <w:rPr>
          <w:rFonts w:ascii="Times New Roman" w:hAnsi="Times New Roman" w:eastAsia="Times New Roman"/>
          <w:b/>
          <w:i w:val="0"/>
          <w:sz w:val="22"/>
        </w:rPr>
        <w:t xml:space="preserve">National delegation check on intended resolution files — 2027-01-25 to 2027-01-25: </w:t>
      </w:r>
      <w:r>
        <w:rPr>
          <w:rFonts w:ascii="Times New Roman" w:hAnsi="Times New Roman" w:eastAsia="Times New Roman"/>
          <w:b w:val="0"/>
          <w:i w:val="0"/>
          <w:sz w:val="22"/>
        </w:rPr>
        <w:t>Planning point exactly three weeks before the projected tabling deadline. Ask your country’s Permanent Mission in Vienna which national, EU or other regional drafts it expects to sponsor, co-sponsor or follow, who owns each file and whether early sponsor text is available. Status: tentative.</w:t>
      </w:r>
    </w:p>
    <w:p>
      <w:pPr>
        <w:pStyle w:val="ListBullet"/>
      </w:pPr>
      <w:r>
        <w:rPr>
          <w:rFonts w:ascii="Times New Roman" w:hAnsi="Times New Roman" w:eastAsia="Times New Roman"/>
          <w:b/>
          <w:i w:val="0"/>
          <w:sz w:val="22"/>
        </w:rPr>
        <w:t xml:space="preserve">Expected CND70 draft-resolution deadline — 2027-02-15 to 2027-02-15: </w:t>
      </w:r>
      <w:r>
        <w:rPr>
          <w:rFonts w:ascii="Times New Roman" w:hAnsi="Times New Roman" w:eastAsia="Times New Roman"/>
          <w:b w:val="0"/>
          <w:i w:val="0"/>
          <w:sz w:val="22"/>
        </w:rPr>
        <w:t>Commission decision 55/1 sets the deadline in principle four weeks before the session. Applying that rule to the provisional 15 March 2027 opening gives 15 February; the Bureau-endorsed CND70 deadline must still be confirmed. Status: tentative.</w:t>
      </w:r>
    </w:p>
    <w:p>
      <w:pPr>
        <w:pStyle w:val="ListBullet"/>
      </w:pPr>
      <w:r>
        <w:rPr>
          <w:rFonts w:ascii="Times New Roman" w:hAnsi="Times New Roman" w:eastAsia="Times New Roman"/>
          <w:b/>
          <w:i w:val="0"/>
          <w:sz w:val="22"/>
        </w:rPr>
        <w:t xml:space="preserve">Sponsor circulation and informal consultations — 2027-02-22 to 2027-03-12: </w:t>
      </w:r>
      <w:r>
        <w:rPr>
          <w:rFonts w:ascii="Times New Roman" w:hAnsi="Times New Roman" w:eastAsia="Times New Roman"/>
          <w:b w:val="0"/>
          <w:i w:val="0"/>
          <w:sz w:val="22"/>
        </w:rPr>
        <w:t>Once the L-documents and sponsors are known, follow the sponsor-led informals and revised texts. The exact sequence depends on the drafts tabled; negotiations can start before formal introduction when the Bureau agrees. Status: tentative.</w:t>
      </w:r>
    </w:p>
    <w:p>
      <w:pPr>
        <w:pStyle w:val="ListBullet"/>
      </w:pPr>
      <w:r>
        <w:rPr>
          <w:rFonts w:ascii="Times New Roman" w:hAnsi="Times New Roman" w:eastAsia="Times New Roman"/>
          <w:b/>
          <w:i w:val="0"/>
          <w:sz w:val="22"/>
        </w:rPr>
        <w:t xml:space="preserve">Resolution 68/6 panel recommendations — 2027-03-15 to 2027-03-19: </w:t>
      </w:r>
      <w:r>
        <w:rPr>
          <w:rFonts w:ascii="Times New Roman" w:hAnsi="Times New Roman" w:eastAsia="Times New Roman"/>
          <w:b w:val="0"/>
          <w:i w:val="0"/>
          <w:sz w:val="22"/>
        </w:rPr>
        <w:t>CND70 is mandated to discuss the independent expert panel’s recommendations. Resolution 68/6 also requires stakeholder consultations that expressly include youth groups; their dates are still pending. Status: official provisional.</w:t>
      </w:r>
    </w:p>
    <w:p>
      <w:pPr>
        <w:pStyle w:val="ListBullet"/>
      </w:pPr>
      <w:r>
        <w:rPr>
          <w:rFonts w:ascii="Times New Roman" w:hAnsi="Times New Roman" w:eastAsia="Times New Roman"/>
          <w:b/>
          <w:i w:val="0"/>
          <w:sz w:val="22"/>
        </w:rPr>
        <w:t xml:space="preserve">CND70 — 2027-03-15 to 2027-03-19: </w:t>
      </w:r>
      <w:r>
        <w:rPr>
          <w:rFonts w:ascii="Times New Roman" w:hAnsi="Times New Roman" w:eastAsia="Times New Roman"/>
          <w:b w:val="0"/>
          <w:i w:val="0"/>
          <w:sz w:val="22"/>
        </w:rPr>
        <w:t>Official provisional session dates. Status: official provisional.</w:t>
      </w:r>
    </w:p>
    <w:p>
      <w:pPr>
        <w:pStyle w:val="Heading2"/>
      </w:pPr>
      <w:r>
        <w:t>2027 file watch</w:t>
      </w:r>
    </w:p>
    <w:p>
      <w:r>
        <w:rPr>
          <w:rFonts w:ascii="Times New Roman" w:hAnsi="Times New Roman" w:eastAsia="Times New Roman"/>
          <w:b/>
          <w:i w:val="0"/>
          <w:sz w:val="22"/>
        </w:rPr>
        <w:t xml:space="preserve">Published: </w:t>
      </w:r>
      <w:r>
        <w:rPr>
          <w:rFonts w:ascii="Times New Roman" w:hAnsi="Times New Roman" w:eastAsia="Times New Roman"/>
          <w:b w:val="0"/>
          <w:i w:val="0"/>
          <w:sz w:val="22"/>
        </w:rPr>
        <w:t>Official provisional dates and the CND70 return of the resolution 68/6 expert-panel recommendations are known.</w:t>
      </w:r>
    </w:p>
    <w:p>
      <w:r>
        <w:rPr>
          <w:rFonts w:ascii="Times New Roman" w:hAnsi="Times New Roman" w:eastAsia="Times New Roman"/>
          <w:b/>
          <w:i w:val="0"/>
          <w:sz w:val="22"/>
        </w:rPr>
        <w:t xml:space="preserve">Expected next: </w:t>
      </w:r>
      <w:r>
        <w:rPr>
          <w:rFonts w:ascii="Times New Roman" w:hAnsi="Times New Roman" w:eastAsia="Times New Roman"/>
          <w:b w:val="0"/>
          <w:i w:val="0"/>
          <w:sz w:val="22"/>
        </w:rPr>
        <w:t>The UNODC Youth Forum nomination invitation, Bureau-endorsed tabling deadline, draft-resolution list and panel consultation details.</w:t>
      </w:r>
    </w:p>
    <w:p>
      <w:r>
        <w:rPr>
          <w:rFonts w:ascii="Times New Roman" w:hAnsi="Times New Roman" w:eastAsia="Times New Roman"/>
          <w:b/>
          <w:i w:val="0"/>
          <w:sz w:val="22"/>
        </w:rPr>
        <w:t xml:space="preserve">Official page: </w:t>
      </w:r>
      <w:hyperlink r:id="rId17">
        <w:r>
          <w:rPr>
            <w:rFonts w:ascii="Times New Roman" w:hAnsi="Times New Roman" w:eastAsia="Times New Roman"/>
            <w:sz w:val="22"/>
            <w:color w:val="0563C1"/>
            <w:u w:val="single"/>
          </w:rPr>
          <w:t>CND sessions</w:t>
        </w:r>
      </w:hyperlink>
    </w:p>
    <w:p>
      <w:r>
        <w:rPr>
          <w:rFonts w:ascii="Times New Roman" w:hAnsi="Times New Roman" w:eastAsia="Times New Roman"/>
          <w:b/>
          <w:i w:val="0"/>
          <w:sz w:val="22"/>
        </w:rPr>
        <w:t xml:space="preserve">Practical route: </w:t>
      </w:r>
      <w:r>
        <w:rPr>
          <w:rFonts w:ascii="Times New Roman" w:hAnsi="Times New Roman" w:eastAsia="Times New Roman"/>
          <w:b w:val="0"/>
          <w:i w:val="0"/>
          <w:sz w:val="22"/>
        </w:rPr>
        <w:t>Ask your country’s Permanent Mission in Vienna about Youth Forum nominations and the resolution files it expects to sponsor or follow.</w:t>
      </w:r>
    </w:p>
    <w:p>
      <w:pPr>
        <w:pStyle w:val="Heading1"/>
      </w:pPr>
      <w:r>
        <w:t>Negotiations and policy work</w:t>
      </w:r>
    </w:p>
    <w:p>
      <w:r>
        <w:rPr>
          <w:rFonts w:ascii="Times New Roman" w:hAnsi="Times New Roman" w:eastAsia="Times New Roman"/>
          <w:b/>
          <w:i w:val="0"/>
          <w:sz w:val="22"/>
        </w:rPr>
        <w:t xml:space="preserve">What to follow: </w:t>
      </w:r>
      <w:r>
        <w:rPr>
          <w:rFonts w:ascii="Times New Roman" w:hAnsi="Times New Roman" w:eastAsia="Times New Roman"/>
          <w:b w:val="0"/>
          <w:i w:val="0"/>
          <w:sz w:val="22"/>
        </w:rPr>
        <w:t>CND does not return to a fixed roster of six or seven resolutions. It receives a small annual package of new or follow-up drafts. Policy lines recur, but titles, sponsors, operative requests and votes change from one session to the next.</w:t>
      </w:r>
    </w:p>
    <w:p>
      <w:pPr>
        <w:pStyle w:val="Heading2"/>
      </w:pPr>
      <w:r>
        <w:t>Watch for</w:t>
      </w:r>
    </w:p>
    <w:p>
      <w:pPr>
        <w:pStyle w:val="ListBullet"/>
      </w:pPr>
      <w:r>
        <w:rPr>
          <w:rFonts w:ascii="Times New Roman" w:hAnsi="Times New Roman" w:eastAsia="Times New Roman"/>
          <w:b w:val="0"/>
          <w:i w:val="0"/>
          <w:sz w:val="22"/>
        </w:rPr>
        <w:t>The CND68 package that Markus encountered in 2025 contained six resolutions: child- and adolescent-focused prevention; stimulant-use-disorder treatment; complementing the Guiding Principles on Alternative Development; safety when dismantling illicit synthetic-drug laboratories; environmental impacts of illicit drug activities; and strengthening the international drug-control system through an independent expert panel.</w:t>
      </w:r>
    </w:p>
    <w:p>
      <w:pPr>
        <w:pStyle w:val="ListBullet"/>
      </w:pPr>
      <w:r>
        <w:rPr>
          <w:rFonts w:ascii="Times New Roman" w:hAnsi="Times New Roman" w:eastAsia="Times New Roman"/>
          <w:b w:val="0"/>
          <w:i w:val="0"/>
          <w:sz w:val="22"/>
        </w:rPr>
        <w:t>The CND69 package changed in 2026. Four Commission resolutions covered equipment used in illicit manufacture, supply-chain integrity, early-warning systems for synthetic drugs and precursors, and integrated public-health responses. A fifth outcome recommended an Appendix to the Guiding Principles on Alternative Development for General Assembly adoption.</w:t>
      </w:r>
    </w:p>
    <w:p>
      <w:pPr>
        <w:pStyle w:val="ListBullet"/>
      </w:pPr>
      <w:r>
        <w:rPr>
          <w:rFonts w:ascii="Times New Roman" w:hAnsi="Times New Roman" w:eastAsia="Times New Roman"/>
          <w:b w:val="0"/>
          <w:i w:val="0"/>
          <w:sz w:val="22"/>
        </w:rPr>
        <w:t>For CND70, resolution 68/6 is already a known file: the independent panel must consult stakeholders including youth groups, and CND70 is mandated to discuss its recommendations. The consultation timetable is not yet published.</w:t>
      </w:r>
    </w:p>
    <w:p>
      <w:pPr>
        <w:pStyle w:val="ListBullet"/>
      </w:pPr>
      <w:r>
        <w:rPr>
          <w:rFonts w:ascii="Times New Roman" w:hAnsi="Times New Roman" w:eastAsia="Times New Roman"/>
          <w:b w:val="0"/>
          <w:i w:val="0"/>
          <w:sz w:val="22"/>
        </w:rPr>
        <w:t>Drug-scheduling decisions are a separate annual treaty function based on WHO or INCB recommendations. Do not count them as thematic policy resolutions when mapping the negotiation package.</w:t>
      </w:r>
    </w:p>
    <w:p>
      <w:r>
        <w:rPr>
          <w:rFonts w:ascii="Times New Roman" w:hAnsi="Times New Roman" w:eastAsia="Times New Roman"/>
          <w:b/>
          <w:i w:val="0"/>
          <w:sz w:val="22"/>
        </w:rPr>
        <w:t xml:space="preserve">Indicative lead time: </w:t>
      </w:r>
      <w:r>
        <w:rPr>
          <w:rFonts w:ascii="Times New Roman" w:hAnsi="Times New Roman" w:eastAsia="Times New Roman"/>
          <w:b w:val="0"/>
          <w:i w:val="0"/>
          <w:sz w:val="22"/>
        </w:rPr>
        <w:t>Use 25 January 2027 as an early-warning date: it is exactly three weeks before the projected 15 February tabling deadline. Ask your country’s Permanent Mission in Vienna which national, EU or other regional drafts it expects to sponsor or follow, who the lead negotiator is and whether early sponsor text can be shared. This is a planning date, not an official deadline.</w:t>
      </w:r>
    </w:p>
    <w:p>
      <w:r>
        <w:rPr>
          <w:rFonts w:ascii="Times New Roman" w:hAnsi="Times New Roman" w:eastAsia="Times New Roman"/>
          <w:b/>
          <w:i w:val="0"/>
          <w:sz w:val="22"/>
        </w:rPr>
        <w:t xml:space="preserve">Likely formal route: </w:t>
      </w:r>
      <w:r>
        <w:rPr>
          <w:rFonts w:ascii="Times New Roman" w:hAnsi="Times New Roman" w:eastAsia="Times New Roman"/>
          <w:b w:val="0"/>
          <w:i w:val="0"/>
          <w:sz w:val="22"/>
        </w:rPr>
        <w:t>A CND member State tables the draft; the sponsor then leads consultations and the Committee of the Whole works through the text before plenary adoption. For an EU Member State, ask your country’s Permanent Mission in Vienna about both nationally sponsored drafts and EU coordination files.</w:t>
      </w:r>
    </w:p>
    <w:p>
      <w:pPr>
        <w:pStyle w:val="Heading2"/>
      </w:pPr>
      <w:r>
        <w:t>Negotiation and language resources</w:t>
      </w:r>
    </w:p>
    <w:p>
      <w:pPr>
        <w:pStyle w:val="ListBullet"/>
      </w:pPr>
      <w:hyperlink r:id="rId18">
        <w:r>
          <w:rPr>
            <w:rFonts w:ascii="Times New Roman" w:hAnsi="Times New Roman" w:eastAsia="Times New Roman"/>
            <w:sz w:val="22"/>
            <w:color w:val="0563C1"/>
            <w:u w:val="single"/>
          </w:rPr>
          <w:t>Negotiation and language guide</w:t>
        </w:r>
      </w:hyperlink>
      <w:r>
        <w:rPr>
          <w:rFonts w:ascii="Times New Roman" w:hAnsi="Times New Roman" w:eastAsia="Times New Roman"/>
          <w:b w:val="0"/>
          <w:i w:val="0"/>
          <w:sz w:val="22"/>
        </w:rPr>
        <w:t>: Negotiation process, agreed-language research, resolution structure and text-markup conventions.</w:t>
      </w:r>
    </w:p>
    <w:p>
      <w:pPr>
        <w:pStyle w:val="ListBullet"/>
      </w:pPr>
      <w:hyperlink r:id="rId19">
        <w:r>
          <w:rPr>
            <w:rFonts w:ascii="Times New Roman" w:hAnsi="Times New Roman" w:eastAsia="Times New Roman"/>
            <w:sz w:val="22"/>
            <w:color w:val="0563C1"/>
            <w:u w:val="single"/>
          </w:rPr>
          <w:t>UNGA explainer slides · negotiation section</w:t>
        </w:r>
      </w:hyperlink>
      <w:r>
        <w:rPr>
          <w:rFonts w:ascii="Times New Roman" w:hAnsi="Times New Roman" w:eastAsia="Times New Roman"/>
          <w:b w:val="0"/>
          <w:i w:val="0"/>
          <w:sz w:val="22"/>
        </w:rPr>
        <w:t>: Slides 16–28 show recurring resolutions, drafting roles, the Youth Resolution sequence, agreed language and markup notation.</w:t>
      </w:r>
    </w:p>
    <w:p>
      <w:pPr>
        <w:pStyle w:val="Heading1"/>
      </w:pPr>
      <w:r>
        <w:t>Practical timeline</w:t>
      </w:r>
    </w:p>
    <w:p>
      <w:pPr>
        <w:pStyle w:val="ListBullet"/>
      </w:pPr>
      <w:r>
        <w:rPr>
          <w:rFonts w:ascii="Times New Roman" w:hAnsi="Times New Roman" w:eastAsia="Times New Roman"/>
          <w:b/>
          <w:i w:val="0"/>
          <w:sz w:val="22"/>
        </w:rPr>
        <w:t xml:space="preserve">Previous summer onward · when invited — </w:t>
      </w:r>
      <w:hyperlink r:id="rId9">
        <w:r>
          <w:rPr>
            <w:rFonts w:ascii="Times New Roman" w:hAnsi="Times New Roman" w:eastAsia="Times New Roman"/>
            <w:sz w:val="22"/>
            <w:color w:val="0563C1"/>
            <w:u w:val="single"/>
          </w:rPr>
          <w:t>UNODC Youth Forum nomination</w:t>
        </w:r>
      </w:hyperlink>
      <w:r>
        <w:rPr>
          <w:rFonts w:ascii="Times New Roman" w:hAnsi="Times New Roman" w:eastAsia="Times New Roman"/>
          <w:b w:val="0"/>
          <w:i w:val="0"/>
          <w:sz w:val="22"/>
        </w:rPr>
        <w:t>: Ask your country’s Permanent Mission in Vienna whether the nomination invitation has arrived. The Forum is organized by UNODC with ongoing support from the Government of the Russian Federation; participants are selected by UNODC and attend in their personal capacity. Its collective youth statement is delivered to CND, but this is not the CND resolution-negotiation route.</w:t>
      </w:r>
    </w:p>
    <w:p>
      <w:pPr>
        <w:pStyle w:val="ListBullet"/>
      </w:pPr>
      <w:r>
        <w:rPr>
          <w:rFonts w:ascii="Times New Roman" w:hAnsi="Times New Roman" w:eastAsia="Times New Roman"/>
          <w:b/>
          <w:i w:val="0"/>
          <w:sz w:val="22"/>
        </w:rPr>
        <w:t xml:space="preserve">When a panel consultation is announced — </w:t>
      </w:r>
      <w:hyperlink r:id="rId14">
        <w:r>
          <w:rPr>
            <w:rFonts w:ascii="Times New Roman" w:hAnsi="Times New Roman" w:eastAsia="Times New Roman"/>
            <w:sz w:val="22"/>
            <w:color w:val="0563C1"/>
            <w:u w:val="single"/>
          </w:rPr>
          <w:t>Resolution 68/6 stakeholder consultation</w:t>
        </w:r>
      </w:hyperlink>
      <w:r>
        <w:rPr>
          <w:rFonts w:ascii="Times New Roman" w:hAnsi="Times New Roman" w:eastAsia="Times New Roman"/>
          <w:b w:val="0"/>
          <w:i w:val="0"/>
          <w:sz w:val="22"/>
        </w:rPr>
        <w:t>: The panel must consult stakeholders through a virtual platform and expressly include youth groups. Check the official CND channels for the call, eligibility, questions and submission date; no 2027 timetable is published yet.</w:t>
      </w:r>
    </w:p>
    <w:p>
      <w:pPr>
        <w:pStyle w:val="ListBullet"/>
      </w:pPr>
      <w:r>
        <w:rPr>
          <w:rFonts w:ascii="Times New Roman" w:hAnsi="Times New Roman" w:eastAsia="Times New Roman"/>
          <w:b/>
          <w:i w:val="0"/>
          <w:sz w:val="22"/>
        </w:rPr>
        <w:t xml:space="preserve">25 January 2027 · planning date — </w:t>
      </w:r>
      <w:r>
        <w:rPr>
          <w:rFonts w:ascii="Times New Roman" w:hAnsi="Times New Roman" w:eastAsia="Times New Roman"/>
          <w:b/>
          <w:i w:val="0"/>
          <w:sz w:val="22"/>
        </w:rPr>
        <w:t>Ask your country’s Permanent Mission in Vienna which resolution files it expects</w:t>
      </w:r>
      <w:r>
        <w:rPr>
          <w:rFonts w:ascii="Times New Roman" w:hAnsi="Times New Roman" w:eastAsia="Times New Roman"/>
          <w:b w:val="0"/>
          <w:i w:val="0"/>
          <w:sz w:val="22"/>
        </w:rPr>
        <w:t>: Name the projected deadline and ask about intended national, EU or other regional drafts, the lead sponsor, the person or team responsible for each file and the route for receiving early text. This planning point is not a UN deadline.</w:t>
      </w:r>
    </w:p>
    <w:p>
      <w:pPr>
        <w:pStyle w:val="ListBullet"/>
      </w:pPr>
      <w:r>
        <w:rPr>
          <w:rFonts w:ascii="Times New Roman" w:hAnsi="Times New Roman" w:eastAsia="Times New Roman"/>
          <w:b/>
          <w:i w:val="0"/>
          <w:sz w:val="22"/>
        </w:rPr>
        <w:t xml:space="preserve">Around 15 February 2027 · to confirm — </w:t>
      </w:r>
      <w:hyperlink r:id="rId16">
        <w:r>
          <w:rPr>
            <w:rFonts w:ascii="Times New Roman" w:hAnsi="Times New Roman" w:eastAsia="Times New Roman"/>
            <w:sz w:val="22"/>
            <w:color w:val="0563C1"/>
            <w:u w:val="single"/>
          </w:rPr>
          <w:t>CND70 draft-resolution deadline</w:t>
        </w:r>
      </w:hyperlink>
      <w:r>
        <w:rPr>
          <w:rFonts w:ascii="Times New Roman" w:hAnsi="Times New Roman" w:eastAsia="Times New Roman"/>
          <w:b w:val="0"/>
          <w:i w:val="0"/>
          <w:sz w:val="22"/>
        </w:rPr>
        <w:t>: Decision 55/1 sets the deadline in principle four weeks before the session. The date shown applies that rule to the provisional 15 March opening and must be replaced by the Bureau-endorsed deadline when published.</w:t>
      </w:r>
    </w:p>
    <w:p>
      <w:pPr>
        <w:pStyle w:val="ListBullet"/>
      </w:pPr>
      <w:r>
        <w:rPr>
          <w:rFonts w:ascii="Times New Roman" w:hAnsi="Times New Roman" w:eastAsia="Times New Roman"/>
          <w:b/>
          <w:i w:val="0"/>
          <w:sz w:val="22"/>
        </w:rPr>
        <w:t xml:space="preserve">After the L-documents appear — </w:t>
      </w:r>
      <w:hyperlink r:id="rId13">
        <w:r>
          <w:rPr>
            <w:rFonts w:ascii="Times New Roman" w:hAnsi="Times New Roman" w:eastAsia="Times New Roman"/>
            <w:sz w:val="22"/>
            <w:color w:val="0563C1"/>
            <w:u w:val="single"/>
          </w:rPr>
          <w:t>Identify drafts, sponsors and earlier mandates</w:t>
        </w:r>
      </w:hyperlink>
      <w:r>
        <w:rPr>
          <w:rFonts w:ascii="Times New Roman" w:hAnsi="Times New Roman" w:eastAsia="Times New Roman"/>
          <w:b w:val="0"/>
          <w:i w:val="0"/>
          <w:sz w:val="22"/>
        </w:rPr>
        <w:t>: Use the official draft list to replace predictions. For each file, record the lead sponsor, co-sponsors, cited prior resolutions, reporting mandate and the national delegation’s internal deadline for wording.</w:t>
      </w:r>
    </w:p>
    <w:p>
      <w:pPr>
        <w:pStyle w:val="ListBullet"/>
      </w:pPr>
      <w:r>
        <w:rPr>
          <w:rFonts w:ascii="Times New Roman" w:hAnsi="Times New Roman" w:eastAsia="Times New Roman"/>
          <w:b/>
          <w:i w:val="0"/>
          <w:sz w:val="22"/>
        </w:rPr>
        <w:t xml:space="preserve">15–19 March 2027 · provisional — </w:t>
      </w:r>
      <w:r>
        <w:rPr>
          <w:rFonts w:ascii="Times New Roman" w:hAnsi="Times New Roman" w:eastAsia="Times New Roman"/>
          <w:b/>
          <w:i w:val="0"/>
          <w:sz w:val="22"/>
        </w:rPr>
        <w:t>Committee of the Whole and plenary action</w:t>
      </w:r>
      <w:r>
        <w:rPr>
          <w:rFonts w:ascii="Times New Roman" w:hAnsi="Times New Roman" w:eastAsia="Times New Roman"/>
          <w:b w:val="0"/>
          <w:i w:val="0"/>
          <w:sz w:val="22"/>
        </w:rPr>
        <w:t>: Follow sponsor consultations and revised L-documents in the Committee of the Whole. The plenary adopts the final resolutions and is also mandated to discuss the resolution 68/6 expert-panel recommendations.</w:t>
      </w:r>
    </w:p>
    <w:p>
      <w:pPr>
        <w:pStyle w:val="ListBullet"/>
      </w:pPr>
      <w:r>
        <w:rPr>
          <w:rFonts w:ascii="Times New Roman" w:hAnsi="Times New Roman" w:eastAsia="Times New Roman"/>
          <w:b/>
          <w:i w:val="0"/>
          <w:sz w:val="22"/>
        </w:rPr>
        <w:t xml:space="preserve">After CND70 — </w:t>
      </w:r>
      <w:r>
        <w:rPr>
          <w:rFonts w:ascii="Times New Roman" w:hAnsi="Times New Roman" w:eastAsia="Times New Roman"/>
          <w:b/>
          <w:i w:val="0"/>
          <w:sz w:val="22"/>
        </w:rPr>
        <w:t>Session report and adopted texts</w:t>
      </w:r>
      <w:r>
        <w:rPr>
          <w:rFonts w:ascii="Times New Roman" w:hAnsi="Times New Roman" w:eastAsia="Times New Roman"/>
          <w:b w:val="0"/>
          <w:i w:val="0"/>
          <w:sz w:val="22"/>
        </w:rPr>
        <w:t>: Use the official report to verify titles, sponsors, votes, explanations of vote and new reporting or consultation mandates before describing the outcome.</w:t>
      </w:r>
    </w:p>
    <w:p>
      <w:pPr>
        <w:pStyle w:val="Heading1"/>
      </w:pPr>
      <w:r>
        <w:t>Examples</w:t>
      </w:r>
    </w:p>
    <w:p>
      <w:r>
        <w:rPr>
          <w:rFonts w:ascii="Times New Roman" w:hAnsi="Times New Roman" w:eastAsia="Times New Roman"/>
          <w:b/>
          <w:i w:val="0"/>
          <w:sz w:val="22"/>
        </w:rPr>
        <w:t xml:space="preserve">Initiative — </w:t>
      </w:r>
      <w:hyperlink r:id="rId20">
        <w:r>
          <w:rPr>
            <w:rFonts w:ascii="Times New Roman" w:hAnsi="Times New Roman" w:eastAsia="Times New Roman"/>
            <w:sz w:val="22"/>
            <w:color w:val="0563C1"/>
            <w:u w:val="single"/>
          </w:rPr>
          <w:t>Austrian–Irish CND explainer Reel</w:t>
        </w:r>
      </w:hyperlink>
      <w:r>
        <w:rPr>
          <w:rFonts w:ascii="Times New Roman" w:hAnsi="Times New Roman" w:eastAsia="Times New Roman"/>
          <w:b w:val="0"/>
          <w:i w:val="0"/>
          <w:sz w:val="22"/>
        </w:rPr>
        <w:t>. A public collaboration explaining why drug policy matters to young people and calling for support-focused, participatory approaches.</w:t>
      </w:r>
    </w:p>
    <w:p>
      <w:pPr>
        <w:pStyle w:val="Heading1"/>
      </w:pPr>
      <w:r>
        <w:t>Contacts</w:t>
      </w:r>
    </w:p>
    <w:p>
      <w:pPr>
        <w:pStyle w:val="ListBullet"/>
      </w:pPr>
      <w:r>
        <w:rPr>
          <w:rFonts w:ascii="Times New Roman" w:hAnsi="Times New Roman" w:eastAsia="Times New Roman"/>
          <w:b/>
          <w:i w:val="0"/>
          <w:sz w:val="22"/>
        </w:rPr>
        <w:t xml:space="preserve">UNODC · Secretariat to the Governing Bodies: </w:t>
      </w:r>
      <w:r>
        <w:rPr>
          <w:rFonts w:ascii="Times New Roman" w:hAnsi="Times New Roman" w:eastAsia="Times New Roman"/>
          <w:b w:val="0"/>
          <w:i w:val="0"/>
          <w:sz w:val="22"/>
        </w:rPr>
        <w:t xml:space="preserve">CND session, documentation and organizational enquiries — </w:t>
      </w:r>
      <w:hyperlink r:id="rId21">
        <w:r>
          <w:rPr>
            <w:rFonts w:ascii="Times New Roman" w:hAnsi="Times New Roman" w:eastAsia="Times New Roman"/>
            <w:sz w:val="22"/>
            <w:color w:val="0563C1"/>
            <w:u w:val="single"/>
          </w:rPr>
          <w:t>unodc-sgb@un.org</w:t>
        </w:r>
      </w:hyperlink>
    </w:p>
    <w:p>
      <w:pPr>
        <w:pStyle w:val="ListBullet"/>
      </w:pPr>
      <w:r>
        <w:rPr>
          <w:rFonts w:ascii="Times New Roman" w:hAnsi="Times New Roman" w:eastAsia="Times New Roman"/>
          <w:b/>
          <w:i w:val="0"/>
          <w:sz w:val="22"/>
        </w:rPr>
        <w:t xml:space="preserve">Kirsty Rancier: </w:t>
      </w:r>
      <w:r>
        <w:rPr>
          <w:rFonts w:ascii="Times New Roman" w:hAnsi="Times New Roman" w:eastAsia="Times New Roman"/>
          <w:b w:val="0"/>
          <w:i w:val="0"/>
          <w:sz w:val="22"/>
        </w:rPr>
        <w:t xml:space="preserve">UNODC Youth Focal Point — </w:t>
      </w:r>
      <w:hyperlink r:id="rId22">
        <w:r>
          <w:rPr>
            <w:rFonts w:ascii="Times New Roman" w:hAnsi="Times New Roman" w:eastAsia="Times New Roman"/>
            <w:sz w:val="22"/>
            <w:color w:val="0563C1"/>
            <w:u w:val="single"/>
          </w:rPr>
          <w:t>kirsty.rancier@un.org</w:t>
        </w:r>
      </w:hyperlink>
    </w:p>
    <w:p>
      <w:pPr>
        <w:pStyle w:val="ListBullet"/>
      </w:pPr>
      <w:r>
        <w:rPr>
          <w:rFonts w:ascii="Times New Roman" w:hAnsi="Times New Roman" w:eastAsia="Times New Roman"/>
          <w:b/>
          <w:i w:val="0"/>
          <w:sz w:val="22"/>
        </w:rPr>
        <w:t xml:space="preserve">Markus Wainde Wane: </w:t>
      </w:r>
      <w:r>
        <w:rPr>
          <w:rFonts w:ascii="Times New Roman" w:hAnsi="Times New Roman" w:eastAsia="Times New Roman"/>
          <w:b w:val="0"/>
          <w:i w:val="0"/>
          <w:sz w:val="22"/>
        </w:rPr>
        <w:t xml:space="preserve">Former Austrian UN Youth Delegate · CND participation and peer contact — </w:t>
      </w:r>
      <w:hyperlink r:id="rId23">
        <w:r>
          <w:rPr>
            <w:rFonts w:ascii="Times New Roman" w:hAnsi="Times New Roman" w:eastAsia="Times New Roman"/>
            <w:sz w:val="22"/>
            <w:color w:val="0563C1"/>
            <w:u w:val="single"/>
          </w:rPr>
          <w:t>waindewane@gmail.com</w:t>
        </w:r>
      </w:hyperlink>
    </w:p>
    <w:p>
      <w:pPr>
        <w:pStyle w:val="Heading2"/>
      </w:pPr>
      <w:r>
        <w:t>General UN youth contacts</w:t>
      </w:r>
    </w:p>
    <w:p>
      <w:pPr>
        <w:pStyle w:val="ListBullet"/>
      </w:pPr>
      <w:r>
        <w:rPr>
          <w:rFonts w:ascii="Times New Roman" w:hAnsi="Times New Roman" w:eastAsia="Times New Roman"/>
          <w:b/>
          <w:i w:val="0"/>
          <w:sz w:val="22"/>
        </w:rPr>
        <w:t xml:space="preserve">United Nations Youth Office: </w:t>
      </w:r>
      <w:r>
        <w:rPr>
          <w:rFonts w:ascii="Times New Roman" w:hAnsi="Times New Roman" w:eastAsia="Times New Roman"/>
          <w:b w:val="0"/>
          <w:i w:val="0"/>
          <w:sz w:val="22"/>
        </w:rPr>
        <w:t xml:space="preserve">General youth-affairs and meaningful-participation enquiries — </w:t>
      </w:r>
      <w:hyperlink r:id="rId24">
        <w:r>
          <w:rPr>
            <w:rFonts w:ascii="Times New Roman" w:hAnsi="Times New Roman" w:eastAsia="Times New Roman"/>
            <w:sz w:val="22"/>
            <w:color w:val="0563C1"/>
            <w:u w:val="single"/>
          </w:rPr>
          <w:t>youthaffairs@un.org</w:t>
        </w:r>
      </w:hyperlink>
    </w:p>
    <w:p>
      <w:pPr>
        <w:pStyle w:val="ListBullet"/>
      </w:pPr>
      <w:r>
        <w:rPr>
          <w:rFonts w:ascii="Times New Roman" w:hAnsi="Times New Roman" w:eastAsia="Times New Roman"/>
          <w:b/>
          <w:i w:val="0"/>
          <w:sz w:val="22"/>
        </w:rPr>
        <w:t xml:space="preserve">UN DESA · Programme on Youth: </w:t>
      </w:r>
      <w:r>
        <w:rPr>
          <w:rFonts w:ascii="Times New Roman" w:hAnsi="Times New Roman" w:eastAsia="Times New Roman"/>
          <w:b w:val="0"/>
          <w:i w:val="0"/>
          <w:sz w:val="22"/>
        </w:rPr>
        <w:t xml:space="preserve">UN Youth Delegate Programme and UN youth-system routing — </w:t>
      </w:r>
      <w:hyperlink r:id="rId25">
        <w:r>
          <w:rPr>
            <w:rFonts w:ascii="Times New Roman" w:hAnsi="Times New Roman" w:eastAsia="Times New Roman"/>
            <w:sz w:val="22"/>
            <w:color w:val="0563C1"/>
            <w:u w:val="single"/>
          </w:rPr>
          <w:t>youth@un.org</w:t>
        </w:r>
      </w:hyperlink>
    </w:p>
    <w:p>
      <w:pPr>
        <w:pStyle w:val="ListBullet"/>
      </w:pPr>
      <w:r>
        <w:rPr>
          <w:rFonts w:ascii="Times New Roman" w:hAnsi="Times New Roman" w:eastAsia="Times New Roman"/>
          <w:b/>
          <w:i w:val="0"/>
          <w:sz w:val="22"/>
        </w:rPr>
        <w:t xml:space="preserve">UNYD Working Group: </w:t>
      </w:r>
      <w:r>
        <w:rPr>
          <w:rFonts w:ascii="Times New Roman" w:hAnsi="Times New Roman" w:eastAsia="Times New Roman"/>
          <w:b w:val="0"/>
          <w:i w:val="0"/>
          <w:sz w:val="22"/>
        </w:rPr>
        <w:t xml:space="preserve">Peer-run coordination mailbox for current UN Youth Delegates — </w:t>
      </w:r>
      <w:hyperlink r:id="rId26">
        <w:r>
          <w:rPr>
            <w:rFonts w:ascii="Times New Roman" w:hAnsi="Times New Roman" w:eastAsia="Times New Roman"/>
            <w:sz w:val="22"/>
            <w:color w:val="0563C1"/>
            <w:u w:val="single"/>
          </w:rPr>
          <w:t>unyds.workinggroup@gmail.com</w:t>
        </w:r>
      </w:hyperlink>
    </w:p>
    <w:p>
      <w:pPr>
        <w:pStyle w:val="Heading1"/>
      </w:pPr>
      <w:r>
        <w:t>Official and primary sources</w:t>
      </w:r>
    </w:p>
    <w:p>
      <w:pPr>
        <w:pStyle w:val="ListBullet"/>
      </w:pPr>
      <w:hyperlink r:id="rId27">
        <w:r>
          <w:rPr>
            <w:rFonts w:ascii="Times New Roman" w:hAnsi="Times New Roman" w:eastAsia="Times New Roman"/>
            <w:sz w:val="22"/>
            <w:color w:val="0563C1"/>
            <w:u w:val="single"/>
          </w:rPr>
          <w:t>CND official site</w:t>
        </w:r>
      </w:hyperlink>
    </w:p>
    <w:p>
      <w:pPr>
        <w:pStyle w:val="ListBullet"/>
      </w:pPr>
      <w:hyperlink r:id="rId9">
        <w:r>
          <w:rPr>
            <w:rFonts w:ascii="Times New Roman" w:hAnsi="Times New Roman" w:eastAsia="Times New Roman"/>
            <w:sz w:val="22"/>
            <w:color w:val="0563C1"/>
            <w:u w:val="single"/>
          </w:rPr>
          <w:t>UNODC Youth Forum 2025 report</w:t>
        </w:r>
      </w:hyperlink>
    </w:p>
    <w:p>
      <w:pPr>
        <w:pStyle w:val="ListBullet"/>
      </w:pPr>
      <w:hyperlink r:id="rId28">
        <w:r>
          <w:rPr>
            <w:rFonts w:ascii="Times New Roman" w:hAnsi="Times New Roman" w:eastAsia="Times New Roman"/>
            <w:sz w:val="22"/>
            <w:color w:val="0563C1"/>
            <w:u w:val="single"/>
          </w:rPr>
          <w:t>ECOSOC 2026–2027 provisional calendar</w:t>
        </w:r>
      </w:hyperlink>
    </w:p>
    <w:p>
      <w:pPr>
        <w:pStyle w:val="ListBullet"/>
      </w:pPr>
      <w:hyperlink r:id="rId10">
        <w:r>
          <w:rPr>
            <w:rFonts w:ascii="Times New Roman" w:hAnsi="Times New Roman" w:eastAsia="Times New Roman"/>
            <w:sz w:val="22"/>
            <w:color w:val="0563C1"/>
            <w:u w:val="single"/>
          </w:rPr>
          <w:t>CND67 official report (2024)</w:t>
        </w:r>
      </w:hyperlink>
    </w:p>
    <w:p>
      <w:pPr>
        <w:pStyle w:val="ListBullet"/>
      </w:pPr>
      <w:hyperlink r:id="rId11">
        <w:r>
          <w:rPr>
            <w:rFonts w:ascii="Times New Roman" w:hAnsi="Times New Roman" w:eastAsia="Times New Roman"/>
            <w:sz w:val="22"/>
            <w:color w:val="0563C1"/>
            <w:u w:val="single"/>
          </w:rPr>
          <w:t>CND68 official report (2025)</w:t>
        </w:r>
      </w:hyperlink>
    </w:p>
    <w:p>
      <w:pPr>
        <w:pStyle w:val="ListBullet"/>
      </w:pPr>
      <w:hyperlink r:id="rId12">
        <w:r>
          <w:rPr>
            <w:rFonts w:ascii="Times New Roman" w:hAnsi="Times New Roman" w:eastAsia="Times New Roman"/>
            <w:sz w:val="22"/>
            <w:color w:val="0563C1"/>
            <w:u w:val="single"/>
          </w:rPr>
          <w:t>CND69 official report (2026)</w:t>
        </w:r>
      </w:hyperlink>
    </w:p>
    <w:p>
      <w:pPr>
        <w:pStyle w:val="ListBullet"/>
      </w:pPr>
      <w:hyperlink r:id="rId14">
        <w:r>
          <w:rPr>
            <w:rFonts w:ascii="Times New Roman" w:hAnsi="Times New Roman" w:eastAsia="Times New Roman"/>
            <w:sz w:val="22"/>
            <w:color w:val="0563C1"/>
            <w:u w:val="single"/>
          </w:rPr>
          <w:t>Resolution 68/6 · independent expert panel</w:t>
        </w:r>
      </w:hyperlink>
    </w:p>
    <w:p>
      <w:pPr>
        <w:pStyle w:val="ListBullet"/>
      </w:pPr>
      <w:hyperlink r:id="rId13">
        <w:r>
          <w:rPr>
            <w:rFonts w:ascii="Times New Roman" w:hAnsi="Times New Roman" w:eastAsia="Times New Roman"/>
            <w:sz w:val="22"/>
            <w:color w:val="0563C1"/>
            <w:u w:val="single"/>
          </w:rPr>
          <w:t>UNODC resolutions and decisions database</w:t>
        </w:r>
      </w:hyperlink>
    </w:p>
    <w:p>
      <w:pPr>
        <w:pStyle w:val="ListBullet"/>
      </w:pPr>
      <w:hyperlink r:id="rId16">
        <w:r>
          <w:rPr>
            <w:rFonts w:ascii="Times New Roman" w:hAnsi="Times New Roman" w:eastAsia="Times New Roman"/>
            <w:sz w:val="22"/>
            <w:color w:val="0563C1"/>
            <w:u w:val="single"/>
          </w:rPr>
          <w:t>Delegates’ Handbook · tabling and Committee of the Whole</w:t>
        </w:r>
      </w:hyperlink>
    </w:p>
    <w:p>
      <w:pPr>
        <w:pStyle w:val="ListBullet"/>
      </w:pPr>
      <w:hyperlink r:id="rId29">
        <w:r>
          <w:rPr>
            <w:rFonts w:ascii="Times New Roman" w:hAnsi="Times New Roman" w:eastAsia="Times New Roman"/>
            <w:sz w:val="22"/>
            <w:color w:val="0563C1"/>
            <w:u w:val="single"/>
          </w:rPr>
          <w:t>Official UNODC concept note identifying the Youth Focal Point</w:t>
        </w:r>
      </w:hyperlink>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Times New Roman" w:hAnsi="Times New Roman" w:eastAsia="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eastAsia="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Times New Roman" w:hAnsi="Times New Roman" w:eastAsia="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Times New Roman" w:hAnsi="Times New Roman" w:eastAsia="Times New Roman"/>
      <w:sz w:val="22"/>
    </w:rPr>
  </w:style>
  <w:style w:type="paragraph" w:styleId="ListBullet2">
    <w:name w:val="List Bullet 2"/>
    <w:basedOn w:val="Normal"/>
    <w:uiPriority w:val="99"/>
    <w:unhideWhenUsed/>
    <w:rsid w:val="00326F90"/>
    <w:pPr>
      <w:numPr>
        <w:numId w:val="2"/>
      </w:numPr>
      <w:spacing w:after="80"/>
      <w:contextualSpacing/>
    </w:pPr>
    <w:rPr>
      <w:rFonts w:ascii="Times New Roman" w:hAnsi="Times New Roman" w:eastAsia="Times New Roman"/>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unodc.org/res/prevention/youth-initiative/youth-forum-2025_html/Youth_Forum_2025_Report_Final.pdf" TargetMode="External"/><Relationship Id="rId10" Type="http://schemas.openxmlformats.org/officeDocument/2006/relationships/hyperlink" Target="https://documents.un.org/api/symbol/access?l=en&amp;s=E%2F2024%2F28&amp;t=pdf" TargetMode="External"/><Relationship Id="rId11" Type="http://schemas.openxmlformats.org/officeDocument/2006/relationships/hyperlink" Target="https://documents.un.org/api/symbol/access?l=en&amp;s=E%2F2025%2F28&amp;t=pdf" TargetMode="External"/><Relationship Id="rId12" Type="http://schemas.openxmlformats.org/officeDocument/2006/relationships/hyperlink" Target="https://documents.un.org/api/symbol/access?l=en&amp;s=E%2F2026%2F28&amp;t=pdf" TargetMode="External"/><Relationship Id="rId13" Type="http://schemas.openxmlformats.org/officeDocument/2006/relationships/hyperlink" Target="https://rddb.unodc.org/rddb/" TargetMode="External"/><Relationship Id="rId14" Type="http://schemas.openxmlformats.org/officeDocument/2006/relationships/hyperlink" Target="https://www.unodc.org/documents/commissions/CND/Drug_Resolutions/2020-2029/2025/Res_68_6.pdf" TargetMode="External"/><Relationship Id="rId15" Type="http://schemas.openxmlformats.org/officeDocument/2006/relationships/hyperlink" Target="https://www.unodc.org/LSS/Announcement/Details/475042d4-534c-4a06-b956-4531d4a72432" TargetMode="External"/><Relationship Id="rId16" Type="http://schemas.openxmlformats.org/officeDocument/2006/relationships/hyperlink" Target="https://www.unodc.org/documents/commissions/CND_CCPCJ_joint/Delegates_Handbook/Delegates_Handbook_2019_update_sept_19.pdf" TargetMode="External"/><Relationship Id="rId17" Type="http://schemas.openxmlformats.org/officeDocument/2006/relationships/hyperlink" Target="https://www.unodc.org/unodc/en/commissions/CND/session.html" TargetMode="External"/><Relationship Id="rId18" Type="http://schemas.openxmlformats.org/officeDocument/2006/relationships/hyperlink" Target="https://docs.google.com/document/d/1ieNXyo4w0Q6Q5sOg9TjoX4l19ny9eXKhLkD-XyATjQk/edit" TargetMode="External"/><Relationship Id="rId19" Type="http://schemas.openxmlformats.org/officeDocument/2006/relationships/hyperlink" Target="https://docs.google.com/presentation/d/1uIk5GrBEQ-TFYGFgR9M8jybopsfCVEzznZ8vp4kY22E/edit" TargetMode="External"/><Relationship Id="rId20" Type="http://schemas.openxmlformats.org/officeDocument/2006/relationships/hyperlink" Target="https://www.instagram.com/unyouthirl/reel/DHESZGnPhGL/" TargetMode="External"/><Relationship Id="rId21" Type="http://schemas.openxmlformats.org/officeDocument/2006/relationships/hyperlink" Target="mailto:unodc-sgb@un.org" TargetMode="External"/><Relationship Id="rId22" Type="http://schemas.openxmlformats.org/officeDocument/2006/relationships/hyperlink" Target="mailto:kirsty.rancier@un.org" TargetMode="External"/><Relationship Id="rId23" Type="http://schemas.openxmlformats.org/officeDocument/2006/relationships/hyperlink" Target="mailto:waindewane@gmail.com" TargetMode="External"/><Relationship Id="rId24" Type="http://schemas.openxmlformats.org/officeDocument/2006/relationships/hyperlink" Target="mailto:youthaffairs@un.org" TargetMode="External"/><Relationship Id="rId25" Type="http://schemas.openxmlformats.org/officeDocument/2006/relationships/hyperlink" Target="mailto:youth@un.org" TargetMode="External"/><Relationship Id="rId26" Type="http://schemas.openxmlformats.org/officeDocument/2006/relationships/hyperlink" Target="mailto:unyds.workinggroup@gmail.com" TargetMode="External"/><Relationship Id="rId27" Type="http://schemas.openxmlformats.org/officeDocument/2006/relationships/hyperlink" Target="https://www.unodc.org/unodc/en/commissions/CND/index.html" TargetMode="External"/><Relationship Id="rId28" Type="http://schemas.openxmlformats.org/officeDocument/2006/relationships/hyperlink" Target="https://documents.un.org/api/symbol/access?l=en&amp;s=E%2F2025%2F47&amp;t=pdf" TargetMode="External"/><Relationship Id="rId29" Type="http://schemas.openxmlformats.org/officeDocument/2006/relationships/hyperlink" Target="https://www.unodc.org/documents/NGO/COP_UNTOC/Youth_Side_Event_-_Concept_not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CND: Commission on Narcotic Drugs — prose export</dc:title>
  <dc:subject>UNYD process guide website content</dc:subject>
  <dc:creator>UNYD process guide</dc:creator>
  <cp:keywords/>
  <dc:description>generated by python-docx</dc:description>
  <cp:lastModifiedBy/>
  <cp:revision>1</cp:revision>
  <dcterms:created xsi:type="dcterms:W3CDTF">2013-12-23T23:15:00Z</dcterms:created>
  <dcterms:modified xsi:type="dcterms:W3CDTF">2013-12-23T23:15:00Z</dcterms:modified>
  <cp:category/>
</cp:coreProperties>
</file>