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1A6" w:rsidRDefault="00E136C7" w:rsidP="00E136C7">
      <w:pPr>
        <w:jc w:val="center"/>
        <w:rPr>
          <w:b/>
          <w:u w:val="single"/>
        </w:rPr>
      </w:pPr>
      <w:r>
        <w:rPr>
          <w:b/>
          <w:u w:val="single"/>
        </w:rPr>
        <w:t xml:space="preserve">PhD </w:t>
      </w:r>
      <w:r w:rsidR="005F16B6">
        <w:rPr>
          <w:b/>
          <w:u w:val="single"/>
        </w:rPr>
        <w:t xml:space="preserve">Draft </w:t>
      </w:r>
      <w:r>
        <w:rPr>
          <w:b/>
          <w:u w:val="single"/>
        </w:rPr>
        <w:t>Chapters</w:t>
      </w:r>
      <w:r w:rsidR="00D7740C">
        <w:rPr>
          <w:b/>
          <w:u w:val="single"/>
        </w:rPr>
        <w:t xml:space="preserve"> </w:t>
      </w:r>
      <w:bookmarkStart w:id="0" w:name="_GoBack"/>
      <w:bookmarkEnd w:id="0"/>
    </w:p>
    <w:p w:rsidR="00E136C7" w:rsidRDefault="00E136C7" w:rsidP="00E136C7">
      <w:pPr>
        <w:jc w:val="center"/>
        <w:rPr>
          <w:b/>
          <w:u w:val="single"/>
        </w:rPr>
      </w:pPr>
    </w:p>
    <w:p w:rsidR="00E136C7" w:rsidRPr="00E136C7" w:rsidRDefault="00E136C7" w:rsidP="00A01261">
      <w:pPr>
        <w:pStyle w:val="ListParagraph"/>
        <w:numPr>
          <w:ilvl w:val="0"/>
          <w:numId w:val="2"/>
        </w:numPr>
        <w:spacing w:line="360" w:lineRule="auto"/>
      </w:pPr>
      <w:r w:rsidRPr="00E136C7">
        <w:rPr>
          <w:rFonts w:ascii="Arial" w:hAnsi="Arial" w:cs="Arial"/>
          <w:u w:val="single"/>
        </w:rPr>
        <w:t>Romania Fieldwork</w:t>
      </w:r>
      <w:r>
        <w:rPr>
          <w:rFonts w:ascii="Arial" w:hAnsi="Arial" w:cs="Arial"/>
        </w:rPr>
        <w:t xml:space="preserve">: </w:t>
      </w:r>
      <w:r w:rsidRPr="00E136C7">
        <w:rPr>
          <w:rFonts w:ascii="Arial" w:hAnsi="Arial" w:cs="Arial"/>
        </w:rPr>
        <w:t>Contracts for supplying Farm Animal Genetic Resources (</w:t>
      </w:r>
      <w:proofErr w:type="spellStart"/>
      <w:r w:rsidRPr="00E136C7">
        <w:rPr>
          <w:rFonts w:ascii="Arial" w:hAnsi="Arial" w:cs="Arial"/>
        </w:rPr>
        <w:t>FAnGR</w:t>
      </w:r>
      <w:proofErr w:type="spellEnd"/>
      <w:r w:rsidRPr="00E136C7">
        <w:rPr>
          <w:rFonts w:ascii="Arial" w:hAnsi="Arial" w:cs="Arial"/>
        </w:rPr>
        <w:t>) conservation services in Romania</w:t>
      </w:r>
    </w:p>
    <w:p w:rsidR="005E1C7E" w:rsidRDefault="005E1C7E" w:rsidP="00F87AA6">
      <w:pPr>
        <w:pStyle w:val="ListParagraph"/>
        <w:ind w:left="0"/>
        <w:jc w:val="both"/>
        <w:rPr>
          <w:rFonts w:ascii="Arial" w:hAnsi="Arial" w:cs="Arial"/>
          <w:sz w:val="20"/>
          <w:szCs w:val="20"/>
        </w:rPr>
      </w:pPr>
    </w:p>
    <w:p w:rsidR="00E136C7" w:rsidRDefault="00A01261" w:rsidP="00F87AA6">
      <w:pPr>
        <w:pStyle w:val="ListParagraph"/>
        <w:ind w:left="0"/>
        <w:jc w:val="both"/>
        <w:rPr>
          <w:rFonts w:ascii="Arial" w:hAnsi="Arial" w:cs="Arial"/>
          <w:sz w:val="20"/>
          <w:szCs w:val="20"/>
        </w:rPr>
      </w:pPr>
      <w:r>
        <w:rPr>
          <w:rFonts w:ascii="Arial" w:hAnsi="Arial" w:cs="Arial"/>
          <w:sz w:val="20"/>
          <w:szCs w:val="20"/>
        </w:rPr>
        <w:t>The chapter</w:t>
      </w:r>
      <w:r w:rsidR="00E136C7" w:rsidRPr="00F87AA6">
        <w:rPr>
          <w:rFonts w:ascii="Arial" w:hAnsi="Arial" w:cs="Arial"/>
          <w:sz w:val="20"/>
          <w:szCs w:val="20"/>
        </w:rPr>
        <w:t xml:space="preserve"> explores the barriers to participate in rare breed conservation programmes for farmers in small scale semi-subsistence systems in Romania.  We use a choice experiment (CE) to determine attributes of a conservation contract which may be less or more desirable from a farmer perspective whilst also measuring WTA conservation subsides.  The former are used to inform design of optimal contracts whilst the latter are contrasted with subsidy payment rates (Euro/head livestock/year) proposed by the EU for keeping rare breeds.   </w:t>
      </w:r>
      <w:r w:rsidR="00F87AA6">
        <w:rPr>
          <w:rFonts w:ascii="Arial" w:hAnsi="Arial" w:cs="Arial"/>
          <w:sz w:val="20"/>
          <w:szCs w:val="20"/>
        </w:rPr>
        <w:t xml:space="preserve">We </w:t>
      </w:r>
      <w:r w:rsidR="00F87AA6" w:rsidRPr="00F87AA6">
        <w:rPr>
          <w:rFonts w:ascii="Arial" w:hAnsi="Arial" w:cs="Arial"/>
          <w:sz w:val="20"/>
          <w:szCs w:val="20"/>
        </w:rPr>
        <w:t xml:space="preserve">address suitable targeting of farmers for such contracts through assessment of socioeconomic variables and how this </w:t>
      </w:r>
      <w:r w:rsidR="00F87AA6">
        <w:rPr>
          <w:rFonts w:ascii="Arial" w:hAnsi="Arial" w:cs="Arial"/>
          <w:sz w:val="20"/>
          <w:szCs w:val="20"/>
        </w:rPr>
        <w:t>may</w:t>
      </w:r>
      <w:r w:rsidR="00F87AA6" w:rsidRPr="00F87AA6">
        <w:rPr>
          <w:rFonts w:ascii="Arial" w:hAnsi="Arial" w:cs="Arial"/>
          <w:sz w:val="20"/>
          <w:szCs w:val="20"/>
        </w:rPr>
        <w:t xml:space="preserve"> influence probability of contractual enrolment among </w:t>
      </w:r>
      <w:r w:rsidR="00F87AA6">
        <w:rPr>
          <w:rFonts w:ascii="Arial" w:hAnsi="Arial" w:cs="Arial"/>
          <w:sz w:val="20"/>
          <w:szCs w:val="20"/>
        </w:rPr>
        <w:t>farmers</w:t>
      </w:r>
      <w:r w:rsidR="00F87AA6" w:rsidRPr="00F87AA6">
        <w:rPr>
          <w:rFonts w:ascii="Arial" w:hAnsi="Arial" w:cs="Arial"/>
          <w:sz w:val="20"/>
          <w:szCs w:val="20"/>
        </w:rPr>
        <w:t xml:space="preserve">.  Finally, we </w:t>
      </w:r>
      <w:r w:rsidR="00F87AA6">
        <w:rPr>
          <w:rFonts w:ascii="Arial" w:hAnsi="Arial" w:cs="Arial"/>
          <w:sz w:val="20"/>
          <w:szCs w:val="20"/>
        </w:rPr>
        <w:t xml:space="preserve">acknowledge the importance of spatial targeting in conservation programmes which delivers dual benefits.  </w:t>
      </w:r>
    </w:p>
    <w:p w:rsidR="00CA6B65" w:rsidRDefault="00CA6B65" w:rsidP="00F87AA6">
      <w:pPr>
        <w:pStyle w:val="ListParagraph"/>
        <w:ind w:left="0"/>
        <w:jc w:val="both"/>
        <w:rPr>
          <w:rFonts w:ascii="Arial" w:hAnsi="Arial" w:cs="Arial"/>
          <w:sz w:val="20"/>
          <w:szCs w:val="20"/>
        </w:rPr>
      </w:pPr>
    </w:p>
    <w:p w:rsidR="00CA6B65" w:rsidRDefault="00CA6B65" w:rsidP="00F87AA6">
      <w:pPr>
        <w:pStyle w:val="ListParagraph"/>
        <w:ind w:left="0"/>
        <w:jc w:val="both"/>
        <w:rPr>
          <w:rFonts w:ascii="Arial" w:hAnsi="Arial" w:cs="Arial"/>
          <w:sz w:val="20"/>
          <w:szCs w:val="20"/>
        </w:rPr>
      </w:pPr>
      <w:r>
        <w:rPr>
          <w:rFonts w:ascii="Arial" w:hAnsi="Arial" w:cs="Arial"/>
          <w:sz w:val="20"/>
          <w:szCs w:val="20"/>
        </w:rPr>
        <w:t xml:space="preserve">Completeness: </w:t>
      </w:r>
      <w:r w:rsidR="001847D5">
        <w:rPr>
          <w:rFonts w:ascii="Arial" w:hAnsi="Arial" w:cs="Arial"/>
          <w:sz w:val="20"/>
          <w:szCs w:val="20"/>
        </w:rPr>
        <w:t>80%</w:t>
      </w:r>
    </w:p>
    <w:p w:rsidR="00CA6B65" w:rsidRDefault="00CA6B65" w:rsidP="00F87AA6">
      <w:pPr>
        <w:pStyle w:val="ListParagraph"/>
        <w:ind w:left="0"/>
        <w:jc w:val="both"/>
        <w:rPr>
          <w:rFonts w:ascii="Arial" w:hAnsi="Arial" w:cs="Arial"/>
          <w:sz w:val="20"/>
          <w:szCs w:val="20"/>
        </w:rPr>
      </w:pPr>
      <w:r>
        <w:rPr>
          <w:rFonts w:ascii="Arial" w:hAnsi="Arial" w:cs="Arial"/>
          <w:sz w:val="20"/>
          <w:szCs w:val="20"/>
        </w:rPr>
        <w:t xml:space="preserve">Expected completion date: </w:t>
      </w:r>
      <w:r w:rsidR="001847D5">
        <w:rPr>
          <w:rFonts w:ascii="Arial" w:hAnsi="Arial" w:cs="Arial"/>
          <w:sz w:val="20"/>
          <w:szCs w:val="20"/>
        </w:rPr>
        <w:t>June 2017</w:t>
      </w:r>
    </w:p>
    <w:p w:rsidR="00F87AA6" w:rsidRDefault="00F87AA6" w:rsidP="00F87AA6">
      <w:pPr>
        <w:pStyle w:val="ListParagraph"/>
        <w:ind w:left="360"/>
        <w:jc w:val="both"/>
        <w:rPr>
          <w:rFonts w:ascii="Arial" w:hAnsi="Arial" w:cs="Arial"/>
          <w:sz w:val="20"/>
          <w:szCs w:val="20"/>
        </w:rPr>
      </w:pPr>
    </w:p>
    <w:p w:rsidR="00F87AA6" w:rsidRPr="00F87AA6" w:rsidRDefault="00F87AA6" w:rsidP="00A01261">
      <w:pPr>
        <w:pStyle w:val="ListParagraph"/>
        <w:numPr>
          <w:ilvl w:val="0"/>
          <w:numId w:val="2"/>
        </w:numPr>
        <w:spacing w:line="360" w:lineRule="auto"/>
        <w:jc w:val="both"/>
        <w:rPr>
          <w:rFonts w:ascii="Arial" w:hAnsi="Arial" w:cs="Arial"/>
          <w:sz w:val="20"/>
          <w:szCs w:val="20"/>
        </w:rPr>
      </w:pPr>
      <w:r>
        <w:rPr>
          <w:rFonts w:ascii="Arial" w:hAnsi="Arial" w:cs="Arial"/>
          <w:u w:val="single"/>
        </w:rPr>
        <w:t>Institutions review paper</w:t>
      </w:r>
      <w:r w:rsidRPr="00F87AA6">
        <w:rPr>
          <w:rFonts w:ascii="Arial" w:hAnsi="Arial" w:cs="Arial"/>
        </w:rPr>
        <w:t>: Valuing rare livestock breeds and farm animal genetic diversity: preferences, institutions and prospects</w:t>
      </w:r>
    </w:p>
    <w:p w:rsidR="00F87AA6" w:rsidRDefault="00F87AA6" w:rsidP="00F87AA6">
      <w:pPr>
        <w:jc w:val="both"/>
        <w:rPr>
          <w:rFonts w:ascii="Arial" w:hAnsi="Arial" w:cs="Arial"/>
          <w:sz w:val="20"/>
          <w:szCs w:val="20"/>
        </w:rPr>
      </w:pPr>
      <w:r>
        <w:rPr>
          <w:rFonts w:ascii="Arial" w:hAnsi="Arial" w:cs="Arial"/>
          <w:sz w:val="20"/>
          <w:szCs w:val="20"/>
        </w:rPr>
        <w:t xml:space="preserve">The </w:t>
      </w:r>
      <w:r w:rsidR="00A01261">
        <w:rPr>
          <w:rFonts w:ascii="Arial" w:hAnsi="Arial" w:cs="Arial"/>
          <w:sz w:val="20"/>
          <w:szCs w:val="20"/>
        </w:rPr>
        <w:t>chapter</w:t>
      </w:r>
      <w:r>
        <w:rPr>
          <w:rFonts w:ascii="Arial" w:hAnsi="Arial" w:cs="Arial"/>
          <w:sz w:val="20"/>
          <w:szCs w:val="20"/>
        </w:rPr>
        <w:t xml:space="preserve"> focuses on the distinction between ‘rare breeds’ and </w:t>
      </w:r>
      <w:proofErr w:type="spellStart"/>
      <w:r>
        <w:rPr>
          <w:rFonts w:ascii="Arial" w:hAnsi="Arial" w:cs="Arial"/>
          <w:sz w:val="20"/>
          <w:szCs w:val="20"/>
        </w:rPr>
        <w:t>FAnGR</w:t>
      </w:r>
      <w:proofErr w:type="spellEnd"/>
      <w:r>
        <w:rPr>
          <w:rFonts w:ascii="Arial" w:hAnsi="Arial" w:cs="Arial"/>
          <w:sz w:val="20"/>
          <w:szCs w:val="20"/>
        </w:rPr>
        <w:t xml:space="preserve"> more generally.  </w:t>
      </w:r>
      <w:r w:rsidR="009D727E">
        <w:rPr>
          <w:rFonts w:ascii="Arial" w:hAnsi="Arial" w:cs="Arial"/>
          <w:sz w:val="20"/>
          <w:szCs w:val="20"/>
        </w:rPr>
        <w:t xml:space="preserve">Highlighting the links between </w:t>
      </w:r>
      <w:proofErr w:type="spellStart"/>
      <w:r w:rsidR="009D727E">
        <w:rPr>
          <w:rFonts w:ascii="Arial" w:hAnsi="Arial" w:cs="Arial"/>
          <w:sz w:val="20"/>
          <w:szCs w:val="20"/>
        </w:rPr>
        <w:t>FAnGR</w:t>
      </w:r>
      <w:proofErr w:type="spellEnd"/>
      <w:r w:rsidR="009D727E">
        <w:rPr>
          <w:rFonts w:ascii="Arial" w:hAnsi="Arial" w:cs="Arial"/>
          <w:sz w:val="20"/>
          <w:szCs w:val="20"/>
        </w:rPr>
        <w:t xml:space="preserve"> and the sustainable intensification (SI)</w:t>
      </w:r>
      <w:r>
        <w:rPr>
          <w:rFonts w:ascii="Arial" w:hAnsi="Arial" w:cs="Arial"/>
          <w:sz w:val="20"/>
          <w:szCs w:val="20"/>
        </w:rPr>
        <w:t xml:space="preserve"> </w:t>
      </w:r>
      <w:r w:rsidR="009D727E">
        <w:rPr>
          <w:rFonts w:ascii="Arial" w:hAnsi="Arial" w:cs="Arial"/>
          <w:sz w:val="20"/>
          <w:szCs w:val="20"/>
        </w:rPr>
        <w:t xml:space="preserve">agenda, we discuss the prioritisation of efficiency objectives in the food system (and associated supply chains) over culture and heritage values.  Drawing on the latter, we link this example to the case of rare breeds which may possess attributes of value not linked to production efficiency.  </w:t>
      </w:r>
    </w:p>
    <w:p w:rsidR="00CA6B65" w:rsidRDefault="00CA6B65" w:rsidP="00CA6B65">
      <w:pPr>
        <w:pStyle w:val="ListParagraph"/>
        <w:ind w:left="0"/>
        <w:jc w:val="both"/>
        <w:rPr>
          <w:rFonts w:ascii="Arial" w:hAnsi="Arial" w:cs="Arial"/>
          <w:sz w:val="20"/>
          <w:szCs w:val="20"/>
        </w:rPr>
      </w:pPr>
      <w:r>
        <w:rPr>
          <w:rFonts w:ascii="Arial" w:hAnsi="Arial" w:cs="Arial"/>
          <w:sz w:val="20"/>
          <w:szCs w:val="20"/>
        </w:rPr>
        <w:t xml:space="preserve">Completeness: </w:t>
      </w:r>
      <w:r w:rsidR="001847D5">
        <w:rPr>
          <w:rFonts w:ascii="Arial" w:hAnsi="Arial" w:cs="Arial"/>
          <w:sz w:val="20"/>
          <w:szCs w:val="20"/>
        </w:rPr>
        <w:t>70%</w:t>
      </w:r>
    </w:p>
    <w:p w:rsidR="00CA6B65" w:rsidRDefault="00CA6B65" w:rsidP="00CA6B65">
      <w:pPr>
        <w:pStyle w:val="ListParagraph"/>
        <w:ind w:left="0"/>
        <w:jc w:val="both"/>
        <w:rPr>
          <w:rFonts w:ascii="Arial" w:hAnsi="Arial" w:cs="Arial"/>
          <w:sz w:val="20"/>
          <w:szCs w:val="20"/>
        </w:rPr>
      </w:pPr>
      <w:r>
        <w:rPr>
          <w:rFonts w:ascii="Arial" w:hAnsi="Arial" w:cs="Arial"/>
          <w:sz w:val="20"/>
          <w:szCs w:val="20"/>
        </w:rPr>
        <w:t xml:space="preserve">Expected completion date: </w:t>
      </w:r>
      <w:r w:rsidR="001847D5">
        <w:rPr>
          <w:rFonts w:ascii="Arial" w:hAnsi="Arial" w:cs="Arial"/>
          <w:sz w:val="20"/>
          <w:szCs w:val="20"/>
        </w:rPr>
        <w:t>February 2017</w:t>
      </w:r>
    </w:p>
    <w:p w:rsidR="00CA6B65" w:rsidRPr="00F87AA6" w:rsidRDefault="00CA6B65" w:rsidP="00F87AA6">
      <w:pPr>
        <w:jc w:val="both"/>
        <w:rPr>
          <w:rFonts w:ascii="Arial" w:hAnsi="Arial" w:cs="Arial"/>
          <w:sz w:val="20"/>
          <w:szCs w:val="20"/>
        </w:rPr>
      </w:pPr>
    </w:p>
    <w:p w:rsidR="00154BBE" w:rsidRDefault="00A01261" w:rsidP="00154BBE">
      <w:pPr>
        <w:pStyle w:val="ListParagraph"/>
        <w:numPr>
          <w:ilvl w:val="0"/>
          <w:numId w:val="2"/>
        </w:numPr>
        <w:spacing w:line="360" w:lineRule="auto"/>
        <w:jc w:val="both"/>
        <w:rPr>
          <w:rFonts w:ascii="Arial" w:hAnsi="Arial" w:cs="Arial"/>
          <w:sz w:val="20"/>
          <w:szCs w:val="20"/>
        </w:rPr>
      </w:pPr>
      <w:r>
        <w:rPr>
          <w:rFonts w:ascii="Arial" w:hAnsi="Arial" w:cs="Arial"/>
          <w:u w:val="single"/>
        </w:rPr>
        <w:t xml:space="preserve">Zambia PGR paper: </w:t>
      </w:r>
      <w:r w:rsidRPr="00A01261">
        <w:rPr>
          <w:rFonts w:ascii="Arial" w:hAnsi="Arial" w:cs="Arial"/>
        </w:rPr>
        <w:t>Economic costs for in-situ conservation of Crop Wild Relatives (CWR) in Zambia: An application of Competitive Tender (CT)</w:t>
      </w:r>
    </w:p>
    <w:p w:rsidR="00154BBE" w:rsidRDefault="00154BBE" w:rsidP="00154BBE">
      <w:pPr>
        <w:pStyle w:val="ListParagraph"/>
        <w:spacing w:line="360" w:lineRule="auto"/>
        <w:ind w:left="0"/>
        <w:jc w:val="both"/>
        <w:rPr>
          <w:rFonts w:ascii="Arial" w:hAnsi="Arial" w:cs="Arial"/>
          <w:u w:val="single"/>
        </w:rPr>
      </w:pPr>
    </w:p>
    <w:p w:rsidR="00A01261" w:rsidRDefault="00A01261" w:rsidP="00154BBE">
      <w:pPr>
        <w:pStyle w:val="ListParagraph"/>
        <w:ind w:left="0"/>
        <w:jc w:val="both"/>
        <w:rPr>
          <w:rFonts w:ascii="Arial" w:hAnsi="Arial" w:cs="Arial"/>
          <w:sz w:val="20"/>
          <w:szCs w:val="20"/>
        </w:rPr>
      </w:pPr>
      <w:r w:rsidRPr="00154BBE">
        <w:rPr>
          <w:rFonts w:ascii="Arial" w:hAnsi="Arial" w:cs="Arial"/>
          <w:sz w:val="20"/>
          <w:szCs w:val="20"/>
        </w:rPr>
        <w:t xml:space="preserve">The chapter identifies the lack of robust economic estimates concerning the costs surrounding in-situ CWR conservation.  We discuss the cost implications of using different </w:t>
      </w:r>
      <w:r w:rsidR="00154BBE" w:rsidRPr="00154BBE">
        <w:rPr>
          <w:rFonts w:ascii="Arial" w:hAnsi="Arial" w:cs="Arial"/>
          <w:sz w:val="20"/>
          <w:szCs w:val="20"/>
        </w:rPr>
        <w:t>Area management options (AMO</w:t>
      </w:r>
      <w:r w:rsidRPr="00154BBE">
        <w:rPr>
          <w:rFonts w:ascii="Arial" w:hAnsi="Arial" w:cs="Arial"/>
          <w:sz w:val="20"/>
          <w:szCs w:val="20"/>
        </w:rPr>
        <w:t>s</w:t>
      </w:r>
      <w:r w:rsidR="00154BBE" w:rsidRPr="00154BBE">
        <w:rPr>
          <w:rFonts w:ascii="Arial" w:hAnsi="Arial" w:cs="Arial"/>
          <w:sz w:val="20"/>
          <w:szCs w:val="20"/>
        </w:rPr>
        <w:t>)</w:t>
      </w:r>
      <w:r w:rsidRPr="00154BBE">
        <w:rPr>
          <w:rFonts w:ascii="Arial" w:hAnsi="Arial" w:cs="Arial"/>
          <w:sz w:val="20"/>
          <w:szCs w:val="20"/>
        </w:rPr>
        <w:t xml:space="preserve"> for conservation services and how the ‘mix’ of these might lead to fundamentally different conservation outcomes (i.e. species and diversity).  </w:t>
      </w:r>
      <w:r w:rsidR="00154BBE" w:rsidRPr="00154BBE">
        <w:rPr>
          <w:rFonts w:ascii="Arial" w:hAnsi="Arial" w:cs="Arial"/>
          <w:sz w:val="20"/>
          <w:szCs w:val="20"/>
        </w:rPr>
        <w:t xml:space="preserve">The article moves to discuss the aggregated resources (and costs) required should a national in-situ CWR conservation strategy be implemented in Zambia.  The article concludes with a summary of economic considerations for in-situ PES type programmes.  </w:t>
      </w:r>
    </w:p>
    <w:p w:rsidR="00CA6B65" w:rsidRDefault="00CA6B65" w:rsidP="00154BBE">
      <w:pPr>
        <w:pStyle w:val="ListParagraph"/>
        <w:ind w:left="0"/>
        <w:jc w:val="both"/>
        <w:rPr>
          <w:rFonts w:ascii="Arial" w:hAnsi="Arial" w:cs="Arial"/>
          <w:sz w:val="20"/>
          <w:szCs w:val="20"/>
        </w:rPr>
      </w:pPr>
    </w:p>
    <w:p w:rsidR="00CA6B65" w:rsidRDefault="00CA6B65" w:rsidP="00CA6B65">
      <w:pPr>
        <w:pStyle w:val="ListParagraph"/>
        <w:ind w:left="0"/>
        <w:jc w:val="both"/>
        <w:rPr>
          <w:rFonts w:ascii="Arial" w:hAnsi="Arial" w:cs="Arial"/>
          <w:sz w:val="20"/>
          <w:szCs w:val="20"/>
        </w:rPr>
      </w:pPr>
      <w:r>
        <w:rPr>
          <w:rFonts w:ascii="Arial" w:hAnsi="Arial" w:cs="Arial"/>
          <w:sz w:val="20"/>
          <w:szCs w:val="20"/>
        </w:rPr>
        <w:t xml:space="preserve">Completeness: </w:t>
      </w:r>
      <w:r w:rsidR="001847D5">
        <w:rPr>
          <w:rFonts w:ascii="Arial" w:hAnsi="Arial" w:cs="Arial"/>
          <w:sz w:val="20"/>
          <w:szCs w:val="20"/>
        </w:rPr>
        <w:t>20%</w:t>
      </w:r>
    </w:p>
    <w:p w:rsidR="00CA6B65" w:rsidRDefault="00CA6B65" w:rsidP="00CA6B65">
      <w:pPr>
        <w:pStyle w:val="ListParagraph"/>
        <w:ind w:left="0"/>
        <w:jc w:val="both"/>
        <w:rPr>
          <w:rFonts w:ascii="Arial" w:hAnsi="Arial" w:cs="Arial"/>
          <w:sz w:val="20"/>
          <w:szCs w:val="20"/>
        </w:rPr>
      </w:pPr>
      <w:r>
        <w:rPr>
          <w:rFonts w:ascii="Arial" w:hAnsi="Arial" w:cs="Arial"/>
          <w:sz w:val="20"/>
          <w:szCs w:val="20"/>
        </w:rPr>
        <w:t xml:space="preserve">Expected completion date: </w:t>
      </w:r>
      <w:r w:rsidR="001847D5">
        <w:rPr>
          <w:rFonts w:ascii="Arial" w:hAnsi="Arial" w:cs="Arial"/>
          <w:sz w:val="20"/>
          <w:szCs w:val="20"/>
        </w:rPr>
        <w:t>September 2017</w:t>
      </w:r>
    </w:p>
    <w:p w:rsidR="00CA6B65" w:rsidRDefault="00CA6B65" w:rsidP="00154BBE">
      <w:pPr>
        <w:pStyle w:val="ListParagraph"/>
        <w:ind w:left="0"/>
        <w:jc w:val="both"/>
        <w:rPr>
          <w:rFonts w:ascii="Arial" w:hAnsi="Arial" w:cs="Arial"/>
          <w:sz w:val="20"/>
          <w:szCs w:val="20"/>
        </w:rPr>
      </w:pPr>
    </w:p>
    <w:p w:rsidR="00154BBE" w:rsidRDefault="00154BBE" w:rsidP="00154BBE">
      <w:pPr>
        <w:pStyle w:val="ListParagraph"/>
        <w:ind w:left="0"/>
        <w:jc w:val="both"/>
        <w:rPr>
          <w:rFonts w:ascii="Arial" w:hAnsi="Arial" w:cs="Arial"/>
          <w:sz w:val="20"/>
          <w:szCs w:val="20"/>
        </w:rPr>
      </w:pPr>
    </w:p>
    <w:p w:rsidR="00154BBE" w:rsidRPr="00154BBE" w:rsidRDefault="00154BBE" w:rsidP="00154BBE">
      <w:pPr>
        <w:pStyle w:val="ListParagraph"/>
        <w:numPr>
          <w:ilvl w:val="0"/>
          <w:numId w:val="2"/>
        </w:numPr>
        <w:spacing w:line="360" w:lineRule="auto"/>
        <w:jc w:val="both"/>
        <w:rPr>
          <w:rFonts w:ascii="Arial" w:hAnsi="Arial" w:cs="Arial"/>
          <w:sz w:val="20"/>
          <w:szCs w:val="20"/>
        </w:rPr>
      </w:pPr>
      <w:r>
        <w:rPr>
          <w:rFonts w:ascii="Arial" w:hAnsi="Arial" w:cs="Arial"/>
          <w:u w:val="single"/>
        </w:rPr>
        <w:lastRenderedPageBreak/>
        <w:t xml:space="preserve">UK diversity indicator: </w:t>
      </w:r>
      <w:r>
        <w:rPr>
          <w:rFonts w:ascii="Arial" w:hAnsi="Arial" w:cs="Arial"/>
        </w:rPr>
        <w:t xml:space="preserve">Developing a prioritisation metric for conserving cattle native breeds at risk (NBAR) in the UK  </w:t>
      </w:r>
    </w:p>
    <w:p w:rsidR="00154BBE" w:rsidRDefault="00154BBE" w:rsidP="00154BBE">
      <w:pPr>
        <w:pStyle w:val="ListParagraph"/>
        <w:jc w:val="both"/>
      </w:pPr>
    </w:p>
    <w:p w:rsidR="00154BBE" w:rsidRDefault="00154BBE" w:rsidP="00154BBE">
      <w:pPr>
        <w:pStyle w:val="ListParagraph"/>
        <w:ind w:left="0"/>
        <w:jc w:val="both"/>
        <w:rPr>
          <w:rFonts w:ascii="Arial" w:hAnsi="Arial" w:cs="Arial"/>
          <w:sz w:val="20"/>
          <w:szCs w:val="20"/>
        </w:rPr>
      </w:pPr>
      <w:r w:rsidRPr="00154BBE">
        <w:rPr>
          <w:rFonts w:ascii="Arial" w:hAnsi="Arial" w:cs="Arial"/>
          <w:sz w:val="20"/>
          <w:szCs w:val="20"/>
        </w:rPr>
        <w:t xml:space="preserve">Prioritisation measures and indicators currently developed </w:t>
      </w:r>
      <w:r>
        <w:rPr>
          <w:rFonts w:ascii="Arial" w:hAnsi="Arial" w:cs="Arial"/>
          <w:sz w:val="20"/>
          <w:szCs w:val="20"/>
        </w:rPr>
        <w:t xml:space="preserve">to inform </w:t>
      </w:r>
      <w:proofErr w:type="spellStart"/>
      <w:r>
        <w:rPr>
          <w:rFonts w:ascii="Arial" w:hAnsi="Arial" w:cs="Arial"/>
          <w:sz w:val="20"/>
          <w:szCs w:val="20"/>
        </w:rPr>
        <w:t>FAnGR</w:t>
      </w:r>
      <w:proofErr w:type="spellEnd"/>
      <w:r>
        <w:rPr>
          <w:rFonts w:ascii="Arial" w:hAnsi="Arial" w:cs="Arial"/>
          <w:sz w:val="20"/>
          <w:szCs w:val="20"/>
        </w:rPr>
        <w:t xml:space="preserve"> conservation planning </w:t>
      </w:r>
      <w:r w:rsidRPr="00154BBE">
        <w:rPr>
          <w:rFonts w:ascii="Arial" w:hAnsi="Arial" w:cs="Arial"/>
          <w:sz w:val="20"/>
          <w:szCs w:val="20"/>
        </w:rPr>
        <w:t>are too data intensive and specific. Consequently, there has been low/no uptake of th</w:t>
      </w:r>
      <w:r>
        <w:rPr>
          <w:rFonts w:ascii="Arial" w:hAnsi="Arial" w:cs="Arial"/>
          <w:sz w:val="20"/>
          <w:szCs w:val="20"/>
        </w:rPr>
        <w:t>ese indicators by governments or</w:t>
      </w:r>
      <w:r w:rsidRPr="00154BBE">
        <w:rPr>
          <w:rFonts w:ascii="Arial" w:hAnsi="Arial" w:cs="Arial"/>
          <w:sz w:val="20"/>
          <w:szCs w:val="20"/>
        </w:rPr>
        <w:t xml:space="preserve"> NGO’s to inform thei</w:t>
      </w:r>
      <w:r w:rsidR="00F02AC5">
        <w:rPr>
          <w:rFonts w:ascii="Arial" w:hAnsi="Arial" w:cs="Arial"/>
          <w:sz w:val="20"/>
          <w:szCs w:val="20"/>
        </w:rPr>
        <w:t xml:space="preserve">r conservation efforts.  </w:t>
      </w:r>
      <w:r>
        <w:rPr>
          <w:rFonts w:ascii="Arial" w:hAnsi="Arial" w:cs="Arial"/>
          <w:sz w:val="20"/>
          <w:szCs w:val="20"/>
        </w:rPr>
        <w:t>We develop a</w:t>
      </w:r>
      <w:r w:rsidRPr="00154BBE">
        <w:rPr>
          <w:rFonts w:ascii="Arial" w:hAnsi="Arial" w:cs="Arial"/>
          <w:sz w:val="20"/>
          <w:szCs w:val="20"/>
        </w:rPr>
        <w:t xml:space="preserve"> simplistic indicator tool </w:t>
      </w:r>
      <w:r w:rsidR="00F02AC5">
        <w:rPr>
          <w:rFonts w:ascii="Arial" w:hAnsi="Arial" w:cs="Arial"/>
          <w:sz w:val="20"/>
          <w:szCs w:val="20"/>
        </w:rPr>
        <w:t xml:space="preserve">(applied to 29 UK cattle NBAR) </w:t>
      </w:r>
      <w:r w:rsidRPr="00154BBE">
        <w:rPr>
          <w:rFonts w:ascii="Arial" w:hAnsi="Arial" w:cs="Arial"/>
          <w:sz w:val="20"/>
          <w:szCs w:val="20"/>
        </w:rPr>
        <w:t>for prioritisation</w:t>
      </w:r>
      <w:r>
        <w:rPr>
          <w:rFonts w:ascii="Arial" w:hAnsi="Arial" w:cs="Arial"/>
          <w:sz w:val="20"/>
          <w:szCs w:val="20"/>
        </w:rPr>
        <w:t xml:space="preserve"> of breeds for conservation </w:t>
      </w:r>
      <w:r w:rsidR="00F02AC5">
        <w:rPr>
          <w:rFonts w:ascii="Arial" w:hAnsi="Arial" w:cs="Arial"/>
          <w:sz w:val="20"/>
          <w:szCs w:val="20"/>
        </w:rPr>
        <w:t>(</w:t>
      </w:r>
      <w:r>
        <w:rPr>
          <w:rFonts w:ascii="Arial" w:hAnsi="Arial" w:cs="Arial"/>
          <w:sz w:val="20"/>
          <w:szCs w:val="20"/>
        </w:rPr>
        <w:t>relative to budget constraints</w:t>
      </w:r>
      <w:r w:rsidR="00F02AC5">
        <w:rPr>
          <w:rFonts w:ascii="Arial" w:hAnsi="Arial" w:cs="Arial"/>
          <w:sz w:val="20"/>
          <w:szCs w:val="20"/>
        </w:rPr>
        <w:t xml:space="preserve">) through collaboration with a number of governmental and non-governmental stakeholders.  The new tool represents a holistic set of criteria (diversity; utility and endangerment) to guide conservation planning and ultimately deliver better public value from conservation spend (i.e. maximise benefits relative to cost).  </w:t>
      </w:r>
    </w:p>
    <w:p w:rsidR="00CA6B65" w:rsidRDefault="00CA6B65" w:rsidP="00154BBE">
      <w:pPr>
        <w:pStyle w:val="ListParagraph"/>
        <w:ind w:left="0"/>
        <w:jc w:val="both"/>
        <w:rPr>
          <w:rFonts w:ascii="Arial" w:hAnsi="Arial" w:cs="Arial"/>
          <w:sz w:val="20"/>
          <w:szCs w:val="20"/>
        </w:rPr>
      </w:pPr>
    </w:p>
    <w:p w:rsidR="00CA6B65" w:rsidRDefault="00CA6B65" w:rsidP="00CA6B65">
      <w:pPr>
        <w:pStyle w:val="ListParagraph"/>
        <w:ind w:left="0"/>
        <w:jc w:val="both"/>
        <w:rPr>
          <w:rFonts w:ascii="Arial" w:hAnsi="Arial" w:cs="Arial"/>
          <w:sz w:val="20"/>
          <w:szCs w:val="20"/>
        </w:rPr>
      </w:pPr>
      <w:r>
        <w:rPr>
          <w:rFonts w:ascii="Arial" w:hAnsi="Arial" w:cs="Arial"/>
          <w:sz w:val="20"/>
          <w:szCs w:val="20"/>
        </w:rPr>
        <w:t xml:space="preserve">Completeness: </w:t>
      </w:r>
      <w:r w:rsidR="001847D5">
        <w:rPr>
          <w:rFonts w:ascii="Arial" w:hAnsi="Arial" w:cs="Arial"/>
          <w:sz w:val="20"/>
          <w:szCs w:val="20"/>
        </w:rPr>
        <w:t>20%</w:t>
      </w:r>
    </w:p>
    <w:p w:rsidR="00CA6B65" w:rsidRDefault="00CA6B65" w:rsidP="00CA6B65">
      <w:pPr>
        <w:pStyle w:val="ListParagraph"/>
        <w:ind w:left="0"/>
        <w:jc w:val="both"/>
        <w:rPr>
          <w:rFonts w:ascii="Arial" w:hAnsi="Arial" w:cs="Arial"/>
          <w:sz w:val="20"/>
          <w:szCs w:val="20"/>
        </w:rPr>
      </w:pPr>
      <w:r>
        <w:rPr>
          <w:rFonts w:ascii="Arial" w:hAnsi="Arial" w:cs="Arial"/>
          <w:sz w:val="20"/>
          <w:szCs w:val="20"/>
        </w:rPr>
        <w:t xml:space="preserve">Expected completion date: </w:t>
      </w:r>
      <w:r w:rsidR="001847D5">
        <w:rPr>
          <w:rFonts w:ascii="Arial" w:hAnsi="Arial" w:cs="Arial"/>
          <w:sz w:val="20"/>
          <w:szCs w:val="20"/>
        </w:rPr>
        <w:t>December 2017</w:t>
      </w:r>
    </w:p>
    <w:p w:rsidR="00CA6B65" w:rsidRDefault="00CA6B65" w:rsidP="00154BBE">
      <w:pPr>
        <w:pStyle w:val="ListParagraph"/>
        <w:ind w:left="0"/>
        <w:jc w:val="both"/>
        <w:rPr>
          <w:rFonts w:ascii="Arial" w:hAnsi="Arial" w:cs="Arial"/>
          <w:sz w:val="20"/>
          <w:szCs w:val="20"/>
        </w:rPr>
      </w:pPr>
    </w:p>
    <w:p w:rsidR="00154BBE" w:rsidRDefault="00154BBE" w:rsidP="00154BBE">
      <w:pPr>
        <w:pStyle w:val="ListParagraph"/>
        <w:ind w:left="0"/>
        <w:jc w:val="both"/>
        <w:rPr>
          <w:rFonts w:ascii="Arial" w:hAnsi="Arial" w:cs="Arial"/>
          <w:sz w:val="20"/>
          <w:szCs w:val="20"/>
        </w:rPr>
      </w:pPr>
    </w:p>
    <w:p w:rsidR="00453CA4" w:rsidRDefault="00BA50EC" w:rsidP="00453CA4">
      <w:pPr>
        <w:pStyle w:val="ListParagraph"/>
        <w:numPr>
          <w:ilvl w:val="0"/>
          <w:numId w:val="2"/>
        </w:numPr>
        <w:spacing w:line="360" w:lineRule="auto"/>
        <w:jc w:val="both"/>
        <w:rPr>
          <w:rFonts w:ascii="Arial" w:hAnsi="Arial" w:cs="Arial"/>
          <w:sz w:val="20"/>
          <w:szCs w:val="20"/>
        </w:rPr>
      </w:pPr>
      <w:r>
        <w:rPr>
          <w:rFonts w:ascii="Arial" w:hAnsi="Arial" w:cs="Arial"/>
          <w:u w:val="single"/>
        </w:rPr>
        <w:t>Ex-situ conservation costs</w:t>
      </w:r>
      <w:r w:rsidRPr="001A4379">
        <w:rPr>
          <w:rFonts w:ascii="Arial" w:hAnsi="Arial" w:cs="Arial"/>
        </w:rPr>
        <w:t xml:space="preserve">: </w:t>
      </w:r>
      <w:r>
        <w:rPr>
          <w:rFonts w:ascii="Arial" w:hAnsi="Arial" w:cs="Arial"/>
        </w:rPr>
        <w:t>De</w:t>
      </w:r>
      <w:r w:rsidR="001A4379">
        <w:rPr>
          <w:rFonts w:ascii="Arial" w:hAnsi="Arial" w:cs="Arial"/>
        </w:rPr>
        <w:t xml:space="preserve">termining optimal sampling strategies and conservation costs associated with ex-situ gene banks </w:t>
      </w:r>
    </w:p>
    <w:p w:rsidR="00CA6B65" w:rsidRDefault="00453CA4" w:rsidP="00A50292">
      <w:pPr>
        <w:autoSpaceDE w:val="0"/>
        <w:autoSpaceDN w:val="0"/>
        <w:adjustRightInd w:val="0"/>
        <w:spacing w:after="0"/>
        <w:jc w:val="both"/>
        <w:rPr>
          <w:rFonts w:ascii="Arial" w:hAnsi="Arial" w:cs="Arial"/>
          <w:color w:val="000000"/>
          <w:sz w:val="20"/>
          <w:szCs w:val="20"/>
        </w:rPr>
      </w:pPr>
      <w:r w:rsidRPr="00453CA4">
        <w:rPr>
          <w:rFonts w:ascii="Arial" w:hAnsi="Arial" w:cs="Arial"/>
          <w:color w:val="000000"/>
          <w:sz w:val="20"/>
          <w:szCs w:val="20"/>
        </w:rPr>
        <w:t xml:space="preserve">Detailed information about costs of collections will be collected from gene banks in </w:t>
      </w:r>
      <w:r w:rsidR="00A50292">
        <w:rPr>
          <w:rFonts w:ascii="Arial" w:hAnsi="Arial" w:cs="Arial"/>
          <w:color w:val="000000"/>
          <w:sz w:val="20"/>
          <w:szCs w:val="20"/>
        </w:rPr>
        <w:t>EU</w:t>
      </w:r>
      <w:r w:rsidRPr="00453CA4">
        <w:rPr>
          <w:rFonts w:ascii="Arial" w:hAnsi="Arial" w:cs="Arial"/>
          <w:color w:val="000000"/>
          <w:sz w:val="20"/>
          <w:szCs w:val="20"/>
        </w:rPr>
        <w:t xml:space="preserve"> member countries </w:t>
      </w:r>
      <w:r w:rsidR="00A50292">
        <w:rPr>
          <w:rFonts w:ascii="Arial" w:hAnsi="Arial" w:cs="Arial"/>
          <w:color w:val="000000"/>
          <w:sz w:val="20"/>
          <w:szCs w:val="20"/>
        </w:rPr>
        <w:t xml:space="preserve">through an online questionnaire </w:t>
      </w:r>
      <w:r w:rsidRPr="00453CA4">
        <w:rPr>
          <w:rFonts w:ascii="Arial" w:hAnsi="Arial" w:cs="Arial"/>
          <w:color w:val="000000"/>
          <w:sz w:val="20"/>
          <w:szCs w:val="20"/>
        </w:rPr>
        <w:t xml:space="preserve">and evaluated against the gene bank objectives. </w:t>
      </w:r>
      <w:r w:rsidR="00A50292">
        <w:rPr>
          <w:rFonts w:ascii="Arial" w:hAnsi="Arial" w:cs="Arial"/>
          <w:color w:val="000000"/>
          <w:sz w:val="20"/>
          <w:szCs w:val="20"/>
        </w:rPr>
        <w:t xml:space="preserve">The degree of overlap between different collections will be analysed and quantified.  An LP model will use different scenarios to model the optimal conservation strategy for storing material in gene banks relative to the costs.  Thus, we try to describe what an ‘efficient’ gene-banking sampling strategy might resemble </w:t>
      </w:r>
      <w:r w:rsidR="00A50292" w:rsidRPr="00453CA4">
        <w:rPr>
          <w:rFonts w:ascii="Arial" w:hAnsi="Arial" w:cs="Arial"/>
          <w:color w:val="000000"/>
          <w:sz w:val="20"/>
          <w:szCs w:val="20"/>
        </w:rPr>
        <w:t>to best capture and conserve livestock genetic diversity</w:t>
      </w:r>
      <w:r w:rsidR="00A50292">
        <w:rPr>
          <w:rFonts w:ascii="Arial" w:hAnsi="Arial" w:cs="Arial"/>
          <w:color w:val="000000"/>
          <w:sz w:val="20"/>
          <w:szCs w:val="20"/>
        </w:rPr>
        <w:t xml:space="preserve"> (within and between breeds)</w:t>
      </w:r>
      <w:r w:rsidR="00A50292" w:rsidRPr="00453CA4">
        <w:rPr>
          <w:rFonts w:ascii="Arial" w:hAnsi="Arial" w:cs="Arial"/>
          <w:color w:val="000000"/>
          <w:sz w:val="20"/>
          <w:szCs w:val="20"/>
        </w:rPr>
        <w:t>.</w:t>
      </w:r>
    </w:p>
    <w:p w:rsidR="00CA6B65" w:rsidRDefault="00CA6B65" w:rsidP="00A50292">
      <w:pPr>
        <w:autoSpaceDE w:val="0"/>
        <w:autoSpaceDN w:val="0"/>
        <w:adjustRightInd w:val="0"/>
        <w:spacing w:after="0"/>
        <w:jc w:val="both"/>
        <w:rPr>
          <w:rFonts w:ascii="Arial" w:hAnsi="Arial" w:cs="Arial"/>
          <w:color w:val="000000"/>
          <w:sz w:val="20"/>
          <w:szCs w:val="20"/>
        </w:rPr>
      </w:pPr>
    </w:p>
    <w:p w:rsidR="00CA6B65" w:rsidRDefault="00CA6B65" w:rsidP="00CA6B65">
      <w:pPr>
        <w:pStyle w:val="ListParagraph"/>
        <w:ind w:left="0"/>
        <w:jc w:val="both"/>
        <w:rPr>
          <w:rFonts w:ascii="Arial" w:hAnsi="Arial" w:cs="Arial"/>
          <w:sz w:val="20"/>
          <w:szCs w:val="20"/>
        </w:rPr>
      </w:pPr>
      <w:r>
        <w:rPr>
          <w:rFonts w:ascii="Arial" w:hAnsi="Arial" w:cs="Arial"/>
          <w:sz w:val="20"/>
          <w:szCs w:val="20"/>
        </w:rPr>
        <w:t xml:space="preserve">Completeness: </w:t>
      </w:r>
      <w:r w:rsidR="001847D5">
        <w:rPr>
          <w:rFonts w:ascii="Arial" w:hAnsi="Arial" w:cs="Arial"/>
          <w:sz w:val="20"/>
          <w:szCs w:val="20"/>
        </w:rPr>
        <w:t>0%</w:t>
      </w:r>
    </w:p>
    <w:p w:rsidR="00A50292" w:rsidRPr="00CA6B65" w:rsidRDefault="00CA6B65" w:rsidP="00CA6B65">
      <w:pPr>
        <w:pStyle w:val="ListParagraph"/>
        <w:ind w:left="0"/>
        <w:jc w:val="both"/>
        <w:rPr>
          <w:rFonts w:ascii="Arial" w:hAnsi="Arial" w:cs="Arial"/>
          <w:sz w:val="20"/>
          <w:szCs w:val="20"/>
        </w:rPr>
      </w:pPr>
      <w:r>
        <w:rPr>
          <w:rFonts w:ascii="Arial" w:hAnsi="Arial" w:cs="Arial"/>
          <w:sz w:val="20"/>
          <w:szCs w:val="20"/>
        </w:rPr>
        <w:t xml:space="preserve">Expected completion date: </w:t>
      </w:r>
      <w:r w:rsidR="00A50292" w:rsidRPr="00453CA4">
        <w:rPr>
          <w:rFonts w:ascii="Arial" w:hAnsi="Arial" w:cs="Arial"/>
          <w:color w:val="000000"/>
          <w:sz w:val="20"/>
          <w:szCs w:val="20"/>
        </w:rPr>
        <w:t xml:space="preserve"> </w:t>
      </w:r>
      <w:r w:rsidR="001847D5">
        <w:rPr>
          <w:rFonts w:ascii="Arial" w:hAnsi="Arial" w:cs="Arial"/>
          <w:color w:val="000000"/>
          <w:sz w:val="20"/>
          <w:szCs w:val="20"/>
        </w:rPr>
        <w:t>March 2018</w:t>
      </w:r>
    </w:p>
    <w:p w:rsidR="00A50292" w:rsidRDefault="00A50292" w:rsidP="00453CA4">
      <w:pPr>
        <w:autoSpaceDE w:val="0"/>
        <w:autoSpaceDN w:val="0"/>
        <w:adjustRightInd w:val="0"/>
        <w:spacing w:after="0"/>
        <w:jc w:val="both"/>
        <w:rPr>
          <w:rFonts w:ascii="Arial" w:hAnsi="Arial" w:cs="Arial"/>
          <w:color w:val="000000"/>
          <w:sz w:val="20"/>
          <w:szCs w:val="20"/>
        </w:rPr>
      </w:pPr>
    </w:p>
    <w:p w:rsidR="00CA6B65" w:rsidRPr="00CA6B65" w:rsidRDefault="00A52469" w:rsidP="00CA6B65">
      <w:pPr>
        <w:pStyle w:val="ListParagraph"/>
        <w:numPr>
          <w:ilvl w:val="0"/>
          <w:numId w:val="2"/>
        </w:numPr>
        <w:spacing w:line="360" w:lineRule="auto"/>
        <w:jc w:val="both"/>
        <w:rPr>
          <w:rFonts w:ascii="Arial" w:hAnsi="Arial" w:cs="Arial"/>
          <w:sz w:val="20"/>
          <w:szCs w:val="20"/>
        </w:rPr>
      </w:pPr>
      <w:r>
        <w:rPr>
          <w:rFonts w:ascii="Arial" w:hAnsi="Arial" w:cs="Arial"/>
          <w:u w:val="single"/>
        </w:rPr>
        <w:t>UK competitive tender</w:t>
      </w:r>
      <w:r w:rsidR="0000125B" w:rsidRPr="001A4379">
        <w:rPr>
          <w:rFonts w:ascii="Arial" w:hAnsi="Arial" w:cs="Arial"/>
        </w:rPr>
        <w:t xml:space="preserve">: </w:t>
      </w:r>
      <w:r w:rsidR="0000125B">
        <w:rPr>
          <w:rFonts w:ascii="Arial" w:hAnsi="Arial" w:cs="Arial"/>
        </w:rPr>
        <w:t xml:space="preserve">Determining </w:t>
      </w:r>
      <w:r>
        <w:rPr>
          <w:rFonts w:ascii="Arial" w:hAnsi="Arial" w:cs="Arial"/>
        </w:rPr>
        <w:t>least cost conservation service providers for UK native breeds at risk (NBAR): The case of cattle</w:t>
      </w:r>
      <w:r w:rsidR="0000125B">
        <w:rPr>
          <w:rFonts w:ascii="Arial" w:hAnsi="Arial" w:cs="Arial"/>
        </w:rPr>
        <w:t xml:space="preserve"> </w:t>
      </w:r>
    </w:p>
    <w:p w:rsidR="0000125B" w:rsidRDefault="0000125B" w:rsidP="0000125B">
      <w:pPr>
        <w:pStyle w:val="ListParagraph"/>
        <w:jc w:val="both"/>
      </w:pPr>
    </w:p>
    <w:p w:rsidR="0000125B" w:rsidRPr="0000125B" w:rsidRDefault="0000125B" w:rsidP="0000125B">
      <w:pPr>
        <w:pStyle w:val="ListParagraph"/>
        <w:ind w:left="0"/>
        <w:jc w:val="both"/>
        <w:rPr>
          <w:rFonts w:ascii="Arial" w:hAnsi="Arial" w:cs="Arial"/>
          <w:sz w:val="20"/>
          <w:szCs w:val="20"/>
        </w:rPr>
      </w:pPr>
      <w:r w:rsidRPr="0000125B">
        <w:rPr>
          <w:rFonts w:ascii="Arial" w:hAnsi="Arial" w:cs="Arial"/>
          <w:sz w:val="20"/>
          <w:szCs w:val="20"/>
        </w:rPr>
        <w:t xml:space="preserve">Develop a pilot CT instrument to measure farmer willingness to accept (WTA) conservation payments (subsidies) for </w:t>
      </w:r>
      <w:proofErr w:type="spellStart"/>
      <w:r w:rsidRPr="0000125B">
        <w:rPr>
          <w:rFonts w:ascii="Arial" w:hAnsi="Arial" w:cs="Arial"/>
          <w:sz w:val="20"/>
          <w:szCs w:val="20"/>
        </w:rPr>
        <w:t>FAnGR</w:t>
      </w:r>
      <w:proofErr w:type="spellEnd"/>
      <w:r w:rsidRPr="0000125B">
        <w:rPr>
          <w:rFonts w:ascii="Arial" w:hAnsi="Arial" w:cs="Arial"/>
          <w:sz w:val="20"/>
          <w:szCs w:val="20"/>
        </w:rPr>
        <w:t xml:space="preserve"> conservation services.  CT mechanisms have been used by </w:t>
      </w:r>
      <w:r w:rsidRPr="0000125B">
        <w:rPr>
          <w:rFonts w:ascii="Arial" w:hAnsi="Arial" w:cs="Arial"/>
          <w:sz w:val="20"/>
          <w:szCs w:val="20"/>
        </w:rPr>
        <w:fldChar w:fldCharType="begin" w:fldLock="1"/>
      </w:r>
      <w:r w:rsidRPr="0000125B">
        <w:rPr>
          <w:rFonts w:ascii="Arial" w:hAnsi="Arial" w:cs="Arial"/>
          <w:sz w:val="20"/>
          <w:szCs w:val="20"/>
        </w:rPr>
        <w:instrText>ADDIN CSL_CITATION { "citationItems" : [ { "id" : "ITEM-1", "itemData" : { "ISSN" : "0264-8377", "author" : [ { "dropping-particle" : "", "family" : "Narloch", "given" : "Ulf", "non-dropping-particle" : "", "parse-names" : false, "suffix" : "" }, { "dropping-particle" : "", "family" : "Pascual", "given" : "Unai", "non-dropping-particle" : "", "parse-names" : false, "suffix" : "" }, { "dropping-particle" : "", "family" : "Drucker", "given" : "Adam G", "non-dropping-particle" : "", "parse-names" : false, "suffix" : "" } ], "container-title" : "Land Use Policy", "id" : "ITEM-1", "issued" : { "date-parts" : [ [ "2013" ] ] }, "page" : "107-118", "publisher" : "Elsevier", "title" : "How to achieve fairness in payments for ecosystem services? Insights from agrobiodiversity conservation auctions", "type" : "article-journal", "volume" : "35" }, "uris" : [ "http://www.mendeley.com/documents/?uuid=29e9643e-eedb-43da-9c5c-726f55b86a83" ] } ], "mendeley" : { "formattedCitation" : "(Narloch et al., 2013)", "manualFormatting" : "Narloch et al., (2011a&amp;b, 2013)", "plainTextFormattedCitation" : "(Narloch et al., 2013)", "previouslyFormattedCitation" : "(Narloch et al., 2013)" }, "properties" : { "noteIndex" : 0 }, "schema" : "https://github.com/citation-style-language/schema/raw/master/csl-citation.json" }</w:instrText>
      </w:r>
      <w:r w:rsidRPr="0000125B">
        <w:rPr>
          <w:rFonts w:ascii="Arial" w:hAnsi="Arial" w:cs="Arial"/>
          <w:sz w:val="20"/>
          <w:szCs w:val="20"/>
        </w:rPr>
        <w:fldChar w:fldCharType="separate"/>
      </w:r>
      <w:r w:rsidRPr="0000125B">
        <w:rPr>
          <w:rFonts w:ascii="Arial" w:hAnsi="Arial" w:cs="Arial"/>
          <w:noProof/>
          <w:sz w:val="20"/>
          <w:szCs w:val="20"/>
        </w:rPr>
        <w:t>Narloch et al., (2011a&amp;b, 2013)</w:t>
      </w:r>
      <w:r w:rsidRPr="0000125B">
        <w:rPr>
          <w:rFonts w:ascii="Arial" w:hAnsi="Arial" w:cs="Arial"/>
          <w:sz w:val="20"/>
          <w:szCs w:val="20"/>
        </w:rPr>
        <w:fldChar w:fldCharType="end"/>
      </w:r>
      <w:r w:rsidRPr="0000125B">
        <w:rPr>
          <w:rFonts w:ascii="Arial" w:hAnsi="Arial" w:cs="Arial"/>
          <w:sz w:val="20"/>
          <w:szCs w:val="20"/>
        </w:rPr>
        <w:t xml:space="preserve"> as a method for determining the costs of </w:t>
      </w:r>
      <w:proofErr w:type="spellStart"/>
      <w:r w:rsidRPr="0000125B">
        <w:rPr>
          <w:rFonts w:ascii="Arial" w:hAnsi="Arial" w:cs="Arial"/>
          <w:sz w:val="20"/>
          <w:szCs w:val="20"/>
        </w:rPr>
        <w:t>agrobiodiversity</w:t>
      </w:r>
      <w:proofErr w:type="spellEnd"/>
      <w:r w:rsidRPr="0000125B">
        <w:rPr>
          <w:rFonts w:ascii="Arial" w:hAnsi="Arial" w:cs="Arial"/>
          <w:sz w:val="20"/>
          <w:szCs w:val="20"/>
        </w:rPr>
        <w:t xml:space="preserve"> conservation.  Bids are assessed not only on price but als</w:t>
      </w:r>
      <w:r>
        <w:rPr>
          <w:rFonts w:ascii="Arial" w:hAnsi="Arial" w:cs="Arial"/>
          <w:sz w:val="20"/>
          <w:szCs w:val="20"/>
        </w:rPr>
        <w:t>o other parameters (i.e. the diversity indicator identified in 4</w:t>
      </w:r>
      <w:r w:rsidRPr="0000125B">
        <w:rPr>
          <w:rFonts w:ascii="Arial" w:hAnsi="Arial" w:cs="Arial"/>
          <w:sz w:val="20"/>
          <w:szCs w:val="20"/>
        </w:rPr>
        <w:t xml:space="preserve">) which may improve conservation outcomes whilst considering value for money.   Through analysis, we can determine factors influencing farmer WTA estimates and identify least cost conservation service providers whilst considering bid offer characteristics.   Socio-economic </w:t>
      </w:r>
      <w:r>
        <w:rPr>
          <w:rFonts w:ascii="Arial" w:hAnsi="Arial" w:cs="Arial"/>
          <w:sz w:val="20"/>
          <w:szCs w:val="20"/>
        </w:rPr>
        <w:t xml:space="preserve">parameters </w:t>
      </w:r>
      <w:r w:rsidRPr="0000125B">
        <w:rPr>
          <w:rFonts w:ascii="Arial" w:hAnsi="Arial" w:cs="Arial"/>
          <w:sz w:val="20"/>
          <w:szCs w:val="20"/>
        </w:rPr>
        <w:t xml:space="preserve">coupled with </w:t>
      </w:r>
      <w:r w:rsidR="00B361E9">
        <w:rPr>
          <w:rFonts w:ascii="Arial" w:hAnsi="Arial" w:cs="Arial"/>
          <w:sz w:val="20"/>
          <w:szCs w:val="20"/>
        </w:rPr>
        <w:t xml:space="preserve">GIS </w:t>
      </w:r>
      <w:r w:rsidRPr="0000125B">
        <w:rPr>
          <w:rFonts w:ascii="Arial" w:hAnsi="Arial" w:cs="Arial"/>
          <w:sz w:val="20"/>
          <w:szCs w:val="20"/>
        </w:rPr>
        <w:t>modelling could help develop a more targeted approach to subsidy payments</w:t>
      </w:r>
      <w:r>
        <w:rPr>
          <w:rFonts w:ascii="Arial" w:hAnsi="Arial" w:cs="Arial"/>
          <w:sz w:val="20"/>
          <w:szCs w:val="20"/>
        </w:rPr>
        <w:t xml:space="preserve"> and ultimately conservation of NBAR</w:t>
      </w:r>
      <w:r w:rsidRPr="0000125B">
        <w:rPr>
          <w:rFonts w:ascii="Arial" w:hAnsi="Arial" w:cs="Arial"/>
          <w:sz w:val="20"/>
          <w:szCs w:val="20"/>
        </w:rPr>
        <w:t xml:space="preserve">.   </w:t>
      </w:r>
    </w:p>
    <w:p w:rsidR="00CA6B65" w:rsidRDefault="001A4379" w:rsidP="00CA6B65">
      <w:pPr>
        <w:pStyle w:val="ListParagraph"/>
        <w:ind w:left="0"/>
        <w:jc w:val="both"/>
        <w:rPr>
          <w:rFonts w:ascii="Arial" w:hAnsi="Arial" w:cs="Arial"/>
        </w:rPr>
      </w:pPr>
      <w:r w:rsidRPr="0000125B">
        <w:rPr>
          <w:rFonts w:ascii="Arial" w:hAnsi="Arial" w:cs="Arial"/>
        </w:rPr>
        <w:t xml:space="preserve">   </w:t>
      </w:r>
    </w:p>
    <w:p w:rsidR="00CA6B65" w:rsidRDefault="00CA6B65" w:rsidP="00CA6B65">
      <w:pPr>
        <w:pStyle w:val="ListParagraph"/>
        <w:ind w:left="0"/>
        <w:jc w:val="both"/>
        <w:rPr>
          <w:rFonts w:ascii="Arial" w:hAnsi="Arial" w:cs="Arial"/>
          <w:sz w:val="20"/>
          <w:szCs w:val="20"/>
        </w:rPr>
      </w:pPr>
      <w:r>
        <w:rPr>
          <w:rFonts w:ascii="Arial" w:hAnsi="Arial" w:cs="Arial"/>
          <w:sz w:val="20"/>
          <w:szCs w:val="20"/>
        </w:rPr>
        <w:t xml:space="preserve">Completeness: </w:t>
      </w:r>
      <w:r w:rsidR="001847D5">
        <w:rPr>
          <w:rFonts w:ascii="Arial" w:hAnsi="Arial" w:cs="Arial"/>
          <w:sz w:val="20"/>
          <w:szCs w:val="20"/>
        </w:rPr>
        <w:t>0%</w:t>
      </w:r>
    </w:p>
    <w:p w:rsidR="00CA6B65" w:rsidRDefault="00CA6B65" w:rsidP="00CA6B65">
      <w:pPr>
        <w:pStyle w:val="ListParagraph"/>
        <w:ind w:left="0"/>
        <w:jc w:val="both"/>
        <w:rPr>
          <w:rFonts w:ascii="Arial" w:hAnsi="Arial" w:cs="Arial"/>
          <w:sz w:val="20"/>
          <w:szCs w:val="20"/>
        </w:rPr>
      </w:pPr>
      <w:r>
        <w:rPr>
          <w:rFonts w:ascii="Arial" w:hAnsi="Arial" w:cs="Arial"/>
          <w:sz w:val="20"/>
          <w:szCs w:val="20"/>
        </w:rPr>
        <w:t xml:space="preserve">Expected completion date: </w:t>
      </w:r>
      <w:r w:rsidR="001847D5">
        <w:rPr>
          <w:rFonts w:ascii="Arial" w:hAnsi="Arial" w:cs="Arial"/>
          <w:sz w:val="20"/>
          <w:szCs w:val="20"/>
        </w:rPr>
        <w:t>March 2018</w:t>
      </w:r>
    </w:p>
    <w:p w:rsidR="001A4379" w:rsidRPr="0000125B" w:rsidRDefault="001A4379" w:rsidP="0000125B">
      <w:pPr>
        <w:spacing w:line="360" w:lineRule="auto"/>
        <w:jc w:val="both"/>
        <w:rPr>
          <w:rFonts w:ascii="Arial" w:hAnsi="Arial" w:cs="Arial"/>
          <w:sz w:val="20"/>
          <w:szCs w:val="20"/>
        </w:rPr>
      </w:pPr>
    </w:p>
    <w:p w:rsidR="00453CA4" w:rsidRPr="00453CA4" w:rsidRDefault="00453CA4" w:rsidP="00453CA4">
      <w:pPr>
        <w:spacing w:line="360" w:lineRule="auto"/>
        <w:jc w:val="both"/>
        <w:rPr>
          <w:rFonts w:ascii="Arial" w:hAnsi="Arial" w:cs="Arial"/>
          <w:sz w:val="20"/>
          <w:szCs w:val="20"/>
        </w:rPr>
      </w:pPr>
    </w:p>
    <w:p w:rsidR="00154BBE" w:rsidRPr="00154BBE" w:rsidRDefault="00154BBE" w:rsidP="00154BBE">
      <w:pPr>
        <w:pStyle w:val="ListParagraph"/>
        <w:ind w:left="0"/>
        <w:jc w:val="both"/>
        <w:rPr>
          <w:rFonts w:ascii="Arial" w:hAnsi="Arial" w:cs="Arial"/>
          <w:sz w:val="20"/>
          <w:szCs w:val="20"/>
        </w:rPr>
      </w:pPr>
    </w:p>
    <w:p w:rsidR="00A01261" w:rsidRPr="00A01261" w:rsidRDefault="00A01261" w:rsidP="00A01261">
      <w:pPr>
        <w:spacing w:line="360" w:lineRule="auto"/>
        <w:jc w:val="both"/>
        <w:rPr>
          <w:rFonts w:ascii="Arial" w:hAnsi="Arial" w:cs="Arial"/>
          <w:sz w:val="20"/>
          <w:szCs w:val="20"/>
        </w:rPr>
      </w:pPr>
    </w:p>
    <w:p w:rsidR="00E136C7" w:rsidRDefault="00E136C7" w:rsidP="00E136C7">
      <w:pPr>
        <w:pStyle w:val="ListParagraph"/>
        <w:spacing w:line="480" w:lineRule="auto"/>
        <w:ind w:left="360"/>
        <w:rPr>
          <w:rFonts w:ascii="Arial" w:hAnsi="Arial" w:cs="Arial"/>
          <w:sz w:val="20"/>
          <w:szCs w:val="20"/>
        </w:rPr>
      </w:pPr>
    </w:p>
    <w:p w:rsidR="00E136C7" w:rsidRDefault="00E136C7">
      <w:pPr>
        <w:rPr>
          <w:b/>
          <w:u w:val="single"/>
        </w:rPr>
      </w:pPr>
    </w:p>
    <w:p w:rsidR="00E136C7" w:rsidRPr="00E136C7" w:rsidRDefault="00E136C7"/>
    <w:sectPr w:rsidR="00E136C7" w:rsidRPr="00E13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D6624"/>
    <w:multiLevelType w:val="hybridMultilevel"/>
    <w:tmpl w:val="B784D7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E85328D"/>
    <w:multiLevelType w:val="hybridMultilevel"/>
    <w:tmpl w:val="2C3A15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C653A7E"/>
    <w:multiLevelType w:val="hybridMultilevel"/>
    <w:tmpl w:val="6CE05C64"/>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nsid w:val="45BF605A"/>
    <w:multiLevelType w:val="hybridMultilevel"/>
    <w:tmpl w:val="BCDE2F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13C41CC"/>
    <w:multiLevelType w:val="hybridMultilevel"/>
    <w:tmpl w:val="BD2A7E46"/>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5">
    <w:nsid w:val="51A86FC6"/>
    <w:multiLevelType w:val="hybridMultilevel"/>
    <w:tmpl w:val="998289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5A47F63"/>
    <w:multiLevelType w:val="hybridMultilevel"/>
    <w:tmpl w:val="996097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91478CA"/>
    <w:multiLevelType w:val="hybridMultilevel"/>
    <w:tmpl w:val="B784D7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A514224"/>
    <w:multiLevelType w:val="hybridMultilevel"/>
    <w:tmpl w:val="B8B0BB52"/>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9">
    <w:nsid w:val="7F5108C1"/>
    <w:multiLevelType w:val="hybridMultilevel"/>
    <w:tmpl w:val="0C08CA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6"/>
  </w:num>
  <w:num w:numId="3">
    <w:abstractNumId w:val="4"/>
  </w:num>
  <w:num w:numId="4">
    <w:abstractNumId w:val="5"/>
  </w:num>
  <w:num w:numId="5">
    <w:abstractNumId w:val="2"/>
  </w:num>
  <w:num w:numId="6">
    <w:abstractNumId w:val="3"/>
  </w:num>
  <w:num w:numId="7">
    <w:abstractNumId w:val="1"/>
  </w:num>
  <w:num w:numId="8">
    <w:abstractNumId w:val="0"/>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6C7"/>
    <w:rsid w:val="0000125B"/>
    <w:rsid w:val="00154BBE"/>
    <w:rsid w:val="001847D5"/>
    <w:rsid w:val="001A4379"/>
    <w:rsid w:val="00453CA4"/>
    <w:rsid w:val="005E1C7E"/>
    <w:rsid w:val="005F16B6"/>
    <w:rsid w:val="008F61A6"/>
    <w:rsid w:val="009D727E"/>
    <w:rsid w:val="00A01261"/>
    <w:rsid w:val="00A50292"/>
    <w:rsid w:val="00A52469"/>
    <w:rsid w:val="00B361E9"/>
    <w:rsid w:val="00BA50EC"/>
    <w:rsid w:val="00CA6B65"/>
    <w:rsid w:val="00D7740C"/>
    <w:rsid w:val="00DD2DC7"/>
    <w:rsid w:val="00E136C7"/>
    <w:rsid w:val="00F02AC5"/>
    <w:rsid w:val="00F87A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6C7"/>
    <w:pPr>
      <w:ind w:left="720"/>
      <w:contextualSpacing/>
    </w:pPr>
  </w:style>
  <w:style w:type="character" w:styleId="CommentReference">
    <w:name w:val="annotation reference"/>
    <w:basedOn w:val="DefaultParagraphFont"/>
    <w:uiPriority w:val="99"/>
    <w:semiHidden/>
    <w:unhideWhenUsed/>
    <w:rsid w:val="00A01261"/>
    <w:rPr>
      <w:rFonts w:cs="Times New Roman"/>
      <w:sz w:val="16"/>
      <w:szCs w:val="16"/>
    </w:rPr>
  </w:style>
  <w:style w:type="paragraph" w:styleId="CommentText">
    <w:name w:val="annotation text"/>
    <w:basedOn w:val="Normal"/>
    <w:link w:val="CommentTextChar"/>
    <w:uiPriority w:val="99"/>
    <w:semiHidden/>
    <w:unhideWhenUsed/>
    <w:rsid w:val="00A01261"/>
    <w:pPr>
      <w:spacing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A01261"/>
    <w:rPr>
      <w:rFonts w:eastAsia="Times New Roman" w:cs="Times New Roman"/>
      <w:sz w:val="20"/>
      <w:szCs w:val="20"/>
    </w:rPr>
  </w:style>
  <w:style w:type="paragraph" w:styleId="BalloonText">
    <w:name w:val="Balloon Text"/>
    <w:basedOn w:val="Normal"/>
    <w:link w:val="BalloonTextChar"/>
    <w:uiPriority w:val="99"/>
    <w:semiHidden/>
    <w:unhideWhenUsed/>
    <w:rsid w:val="00A012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261"/>
    <w:rPr>
      <w:rFonts w:ascii="Tahoma" w:hAnsi="Tahoma" w:cs="Tahoma"/>
      <w:sz w:val="16"/>
      <w:szCs w:val="16"/>
    </w:rPr>
  </w:style>
  <w:style w:type="paragraph" w:customStyle="1" w:styleId="Default">
    <w:name w:val="Default"/>
    <w:rsid w:val="00453CA4"/>
    <w:pPr>
      <w:autoSpaceDE w:val="0"/>
      <w:autoSpaceDN w:val="0"/>
      <w:adjustRightInd w:val="0"/>
      <w:spacing w:after="0" w:line="240" w:lineRule="auto"/>
    </w:pPr>
    <w:rPr>
      <w:rFonts w:ascii="Times New Roman" w:hAnsi="Times New Roman" w:cs="Times New Roman"/>
      <w:color w:val="000000"/>
      <w:sz w:val="24"/>
      <w:szCs w:val="24"/>
    </w:rPr>
  </w:style>
  <w:style w:type="paragraph" w:styleId="CommentSubject">
    <w:name w:val="annotation subject"/>
    <w:basedOn w:val="CommentText"/>
    <w:next w:val="CommentText"/>
    <w:link w:val="CommentSubjectChar"/>
    <w:uiPriority w:val="99"/>
    <w:semiHidden/>
    <w:unhideWhenUsed/>
    <w:rsid w:val="00DD2DC7"/>
    <w:rPr>
      <w:rFonts w:eastAsiaTheme="minorHAnsi" w:cstheme="minorBidi"/>
      <w:b/>
      <w:bCs/>
    </w:rPr>
  </w:style>
  <w:style w:type="character" w:customStyle="1" w:styleId="CommentSubjectChar">
    <w:name w:val="Comment Subject Char"/>
    <w:basedOn w:val="CommentTextChar"/>
    <w:link w:val="CommentSubject"/>
    <w:uiPriority w:val="99"/>
    <w:semiHidden/>
    <w:rsid w:val="00DD2DC7"/>
    <w:rPr>
      <w:rFonts w:eastAsia="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6C7"/>
    <w:pPr>
      <w:ind w:left="720"/>
      <w:contextualSpacing/>
    </w:pPr>
  </w:style>
  <w:style w:type="character" w:styleId="CommentReference">
    <w:name w:val="annotation reference"/>
    <w:basedOn w:val="DefaultParagraphFont"/>
    <w:uiPriority w:val="99"/>
    <w:semiHidden/>
    <w:unhideWhenUsed/>
    <w:rsid w:val="00A01261"/>
    <w:rPr>
      <w:rFonts w:cs="Times New Roman"/>
      <w:sz w:val="16"/>
      <w:szCs w:val="16"/>
    </w:rPr>
  </w:style>
  <w:style w:type="paragraph" w:styleId="CommentText">
    <w:name w:val="annotation text"/>
    <w:basedOn w:val="Normal"/>
    <w:link w:val="CommentTextChar"/>
    <w:uiPriority w:val="99"/>
    <w:semiHidden/>
    <w:unhideWhenUsed/>
    <w:rsid w:val="00A01261"/>
    <w:pPr>
      <w:spacing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A01261"/>
    <w:rPr>
      <w:rFonts w:eastAsia="Times New Roman" w:cs="Times New Roman"/>
      <w:sz w:val="20"/>
      <w:szCs w:val="20"/>
    </w:rPr>
  </w:style>
  <w:style w:type="paragraph" w:styleId="BalloonText">
    <w:name w:val="Balloon Text"/>
    <w:basedOn w:val="Normal"/>
    <w:link w:val="BalloonTextChar"/>
    <w:uiPriority w:val="99"/>
    <w:semiHidden/>
    <w:unhideWhenUsed/>
    <w:rsid w:val="00A012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261"/>
    <w:rPr>
      <w:rFonts w:ascii="Tahoma" w:hAnsi="Tahoma" w:cs="Tahoma"/>
      <w:sz w:val="16"/>
      <w:szCs w:val="16"/>
    </w:rPr>
  </w:style>
  <w:style w:type="paragraph" w:customStyle="1" w:styleId="Default">
    <w:name w:val="Default"/>
    <w:rsid w:val="00453CA4"/>
    <w:pPr>
      <w:autoSpaceDE w:val="0"/>
      <w:autoSpaceDN w:val="0"/>
      <w:adjustRightInd w:val="0"/>
      <w:spacing w:after="0" w:line="240" w:lineRule="auto"/>
    </w:pPr>
    <w:rPr>
      <w:rFonts w:ascii="Times New Roman" w:hAnsi="Times New Roman" w:cs="Times New Roman"/>
      <w:color w:val="000000"/>
      <w:sz w:val="24"/>
      <w:szCs w:val="24"/>
    </w:rPr>
  </w:style>
  <w:style w:type="paragraph" w:styleId="CommentSubject">
    <w:name w:val="annotation subject"/>
    <w:basedOn w:val="CommentText"/>
    <w:next w:val="CommentText"/>
    <w:link w:val="CommentSubjectChar"/>
    <w:uiPriority w:val="99"/>
    <w:semiHidden/>
    <w:unhideWhenUsed/>
    <w:rsid w:val="00DD2DC7"/>
    <w:rPr>
      <w:rFonts w:eastAsiaTheme="minorHAnsi" w:cstheme="minorBidi"/>
      <w:b/>
      <w:bCs/>
    </w:rPr>
  </w:style>
  <w:style w:type="character" w:customStyle="1" w:styleId="CommentSubjectChar">
    <w:name w:val="Comment Subject Char"/>
    <w:basedOn w:val="CommentTextChar"/>
    <w:link w:val="CommentSubject"/>
    <w:uiPriority w:val="99"/>
    <w:semiHidden/>
    <w:rsid w:val="00DD2DC7"/>
    <w:rPr>
      <w:rFonts w:eastAsia="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SRUC</Company>
  <LinksUpToDate>false</LinksUpToDate>
  <CharactersWithSpaces>6485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Warwick Wainwright</dc:creator>
  <cp:lastModifiedBy>Warwick Wainwright</cp:lastModifiedBy>
  <cp:revision>14</cp:revision>
  <dcterms:created xsi:type="dcterms:W3CDTF">2016-12-14T16:51:00Z</dcterms:created>
  <dcterms:modified xsi:type="dcterms:W3CDTF">2016-12-19T14:46:00Z</dcterms:modified>
</cp:coreProperties>
</file>