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7A8" w:rsidRPr="002A0538" w:rsidRDefault="00475EF3" w:rsidP="002A0538">
      <w:pPr>
        <w:jc w:val="center"/>
        <w:rPr>
          <w:b/>
        </w:rPr>
      </w:pPr>
      <w:r>
        <w:rPr>
          <w:b/>
        </w:rPr>
        <w:t>Conclusion planning</w:t>
      </w:r>
    </w:p>
    <w:p w:rsidR="00074B53" w:rsidRPr="00475EF3" w:rsidRDefault="00074B53" w:rsidP="009C17A8">
      <w:p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074B53">
        <w:rPr>
          <w:rFonts w:ascii="Verdana" w:eastAsia="Times New Roman" w:hAnsi="Verdana" w:cs="Times New Roman"/>
          <w:b/>
          <w:bCs/>
          <w:i/>
          <w:iCs/>
          <w:color w:val="333333"/>
          <w:sz w:val="20"/>
          <w:szCs w:val="20"/>
          <w:bdr w:val="none" w:sz="0" w:space="0" w:color="auto" w:frame="1"/>
          <w:lang w:eastAsia="en-GB"/>
        </w:rPr>
        <w:t>So, what have I found – and why does it matter?</w:t>
      </w:r>
    </w:p>
    <w:p w:rsidR="00475EF3" w:rsidRDefault="00475EF3" w:rsidP="00475EF3">
      <w:pPr>
        <w:shd w:val="clear" w:color="auto" w:fill="FFFFFF"/>
        <w:spacing w:after="0" w:line="351" w:lineRule="atLeast"/>
        <w:textAlignment w:val="baseline"/>
        <w:rPr>
          <w:rFonts w:ascii="Verdana" w:eastAsia="Times New Roman" w:hAnsi="Verdana" w:cs="Times New Roman"/>
          <w:b/>
          <w:bCs/>
          <w:i/>
          <w:iCs/>
          <w:color w:val="333333"/>
          <w:sz w:val="20"/>
          <w:szCs w:val="20"/>
          <w:bdr w:val="none" w:sz="0" w:space="0" w:color="auto" w:frame="1"/>
          <w:lang w:eastAsia="en-GB"/>
        </w:rPr>
      </w:pPr>
    </w:p>
    <w:p w:rsidR="00B86BE8" w:rsidRDefault="00B86BE8" w:rsidP="00475EF3">
      <w:pPr>
        <w:shd w:val="clear" w:color="auto" w:fill="FFFFFF"/>
        <w:spacing w:after="0" w:line="351" w:lineRule="atLeast"/>
        <w:textAlignment w:val="baseline"/>
        <w:rPr>
          <w:rFonts w:ascii="Verdana" w:eastAsia="Times New Roman" w:hAnsi="Verdana" w:cs="Times New Roman"/>
          <w:b/>
          <w:bCs/>
          <w:i/>
          <w:iCs/>
          <w:color w:val="333333"/>
          <w:sz w:val="20"/>
          <w:szCs w:val="20"/>
          <w:bdr w:val="none" w:sz="0" w:space="0" w:color="auto" w:frame="1"/>
          <w:lang w:eastAsia="en-GB"/>
        </w:rPr>
      </w:pPr>
      <w:r>
        <w:rPr>
          <w:rFonts w:ascii="Verdana" w:eastAsia="Times New Roman" w:hAnsi="Verdana" w:cs="Times New Roman"/>
          <w:b/>
          <w:bCs/>
          <w:i/>
          <w:iCs/>
          <w:color w:val="333333"/>
          <w:sz w:val="20"/>
          <w:szCs w:val="20"/>
          <w:bdr w:val="none" w:sz="0" w:space="0" w:color="auto" w:frame="1"/>
          <w:lang w:eastAsia="en-GB"/>
        </w:rPr>
        <w:t>Institutions</w:t>
      </w:r>
    </w:p>
    <w:p w:rsidR="00534F30" w:rsidRPr="00534F30" w:rsidRDefault="006976D6" w:rsidP="006976D6">
      <w:pPr>
        <w:pStyle w:val="ListParagraph"/>
        <w:numPr>
          <w:ilvl w:val="0"/>
          <w:numId w:val="8"/>
        </w:numPr>
        <w:shd w:val="clear" w:color="auto" w:fill="FFFFFF"/>
        <w:spacing w:after="0" w:line="351" w:lineRule="atLeast"/>
        <w:textAlignment w:val="baseline"/>
        <w:rPr>
          <w:rFonts w:ascii="Verdana" w:eastAsia="Times New Roman" w:hAnsi="Verdana" w:cs="Times New Roman"/>
          <w:b/>
          <w:bCs/>
          <w:i/>
          <w:iCs/>
          <w:color w:val="333333"/>
          <w:sz w:val="20"/>
          <w:szCs w:val="20"/>
          <w:bdr w:val="none" w:sz="0" w:space="0" w:color="auto" w:frame="1"/>
          <w:lang w:eastAsia="en-GB"/>
        </w:rPr>
      </w:pPr>
      <w:r>
        <w:rPr>
          <w:rFonts w:ascii="Verdana" w:eastAsia="Times New Roman" w:hAnsi="Verdana" w:cs="Times New Roman"/>
          <w:bCs/>
          <w:iCs/>
          <w:color w:val="333333"/>
          <w:sz w:val="20"/>
          <w:szCs w:val="20"/>
          <w:bdr w:val="none" w:sz="0" w:space="0" w:color="auto" w:frame="1"/>
          <w:lang w:eastAsia="en-GB"/>
        </w:rPr>
        <w:t>Different institutions</w:t>
      </w:r>
      <w:r w:rsidR="00534F30">
        <w:rPr>
          <w:rFonts w:ascii="Verdana" w:eastAsia="Times New Roman" w:hAnsi="Verdana" w:cs="Times New Roman"/>
          <w:bCs/>
          <w:iCs/>
          <w:color w:val="333333"/>
          <w:sz w:val="20"/>
          <w:szCs w:val="20"/>
          <w:bdr w:val="none" w:sz="0" w:space="0" w:color="auto" w:frame="1"/>
          <w:lang w:eastAsia="en-GB"/>
        </w:rPr>
        <w:t>, knowingly or otherwise,</w:t>
      </w:r>
      <w:r>
        <w:rPr>
          <w:rFonts w:ascii="Verdana" w:eastAsia="Times New Roman" w:hAnsi="Verdana" w:cs="Times New Roman"/>
          <w:bCs/>
          <w:iCs/>
          <w:color w:val="333333"/>
          <w:sz w:val="20"/>
          <w:szCs w:val="20"/>
          <w:bdr w:val="none" w:sz="0" w:space="0" w:color="auto" w:frame="1"/>
          <w:lang w:eastAsia="en-GB"/>
        </w:rPr>
        <w:t xml:space="preserve"> supply different elements of the total economic value (TEV) of farm animal and crop genetic diversity.</w:t>
      </w:r>
      <w:r w:rsidR="00534F30">
        <w:rPr>
          <w:rFonts w:ascii="Verdana" w:eastAsia="Times New Roman" w:hAnsi="Verdana" w:cs="Times New Roman"/>
          <w:bCs/>
          <w:iCs/>
          <w:color w:val="333333"/>
          <w:sz w:val="20"/>
          <w:szCs w:val="20"/>
          <w:bdr w:val="none" w:sz="0" w:space="0" w:color="auto" w:frame="1"/>
          <w:lang w:eastAsia="en-GB"/>
        </w:rPr>
        <w:t xml:space="preserve"> This is important to ensure the full range of values which diversity encodes are adequately supplied through institutional conservation responses.</w:t>
      </w:r>
    </w:p>
    <w:p w:rsidR="006976D6" w:rsidRPr="00076050" w:rsidRDefault="00534F30" w:rsidP="006976D6">
      <w:pPr>
        <w:pStyle w:val="ListParagraph"/>
        <w:numPr>
          <w:ilvl w:val="0"/>
          <w:numId w:val="8"/>
        </w:numPr>
        <w:shd w:val="clear" w:color="auto" w:fill="FFFFFF"/>
        <w:spacing w:after="0" w:line="351" w:lineRule="atLeast"/>
        <w:textAlignment w:val="baseline"/>
        <w:rPr>
          <w:rFonts w:ascii="Verdana" w:eastAsia="Times New Roman" w:hAnsi="Verdana" w:cs="Times New Roman"/>
          <w:b/>
          <w:bCs/>
          <w:i/>
          <w:iCs/>
          <w:color w:val="333333"/>
          <w:sz w:val="20"/>
          <w:szCs w:val="20"/>
          <w:bdr w:val="none" w:sz="0" w:space="0" w:color="auto" w:frame="1"/>
          <w:lang w:eastAsia="en-GB"/>
        </w:rPr>
      </w:pPr>
      <w:r>
        <w:rPr>
          <w:rFonts w:ascii="Verdana" w:eastAsia="Times New Roman" w:hAnsi="Verdana" w:cs="Times New Roman"/>
          <w:bCs/>
          <w:iCs/>
          <w:color w:val="333333"/>
          <w:sz w:val="20"/>
          <w:szCs w:val="20"/>
          <w:bdr w:val="none" w:sz="0" w:space="0" w:color="auto" w:frame="1"/>
          <w:lang w:eastAsia="en-GB"/>
        </w:rPr>
        <w:t xml:space="preserve">Breed and </w:t>
      </w:r>
      <w:r w:rsidR="00076050">
        <w:rPr>
          <w:rFonts w:ascii="Verdana" w:eastAsia="Times New Roman" w:hAnsi="Verdana" w:cs="Times New Roman"/>
          <w:bCs/>
          <w:iCs/>
          <w:color w:val="333333"/>
          <w:sz w:val="20"/>
          <w:szCs w:val="20"/>
          <w:bdr w:val="none" w:sz="0" w:space="0" w:color="auto" w:frame="1"/>
          <w:lang w:eastAsia="en-GB"/>
        </w:rPr>
        <w:t xml:space="preserve">arguably </w:t>
      </w:r>
      <w:r w:rsidR="0016050C">
        <w:rPr>
          <w:rFonts w:ascii="Verdana" w:eastAsia="Times New Roman" w:hAnsi="Verdana" w:cs="Times New Roman"/>
          <w:bCs/>
          <w:iCs/>
          <w:color w:val="333333"/>
          <w:sz w:val="20"/>
          <w:szCs w:val="20"/>
          <w:bdr w:val="none" w:sz="0" w:space="0" w:color="auto" w:frame="1"/>
          <w:lang w:eastAsia="en-GB"/>
        </w:rPr>
        <w:t xml:space="preserve">crop </w:t>
      </w:r>
      <w:r w:rsidR="00076050">
        <w:rPr>
          <w:rFonts w:ascii="Verdana" w:eastAsia="Times New Roman" w:hAnsi="Verdana" w:cs="Times New Roman"/>
          <w:bCs/>
          <w:iCs/>
          <w:color w:val="333333"/>
          <w:sz w:val="20"/>
          <w:szCs w:val="20"/>
          <w:bdr w:val="none" w:sz="0" w:space="0" w:color="auto" w:frame="1"/>
          <w:lang w:eastAsia="en-GB"/>
        </w:rPr>
        <w:t xml:space="preserve">variety </w:t>
      </w:r>
      <w:r>
        <w:rPr>
          <w:rFonts w:ascii="Verdana" w:eastAsia="Times New Roman" w:hAnsi="Verdana" w:cs="Times New Roman"/>
          <w:bCs/>
          <w:iCs/>
          <w:color w:val="333333"/>
          <w:sz w:val="20"/>
          <w:szCs w:val="20"/>
          <w:bdr w:val="none" w:sz="0" w:space="0" w:color="auto" w:frame="1"/>
          <w:lang w:eastAsia="en-GB"/>
        </w:rPr>
        <w:t>diversity doesn’t necessarily equate to genetic diversity</w:t>
      </w:r>
      <w:r w:rsidR="00076050">
        <w:rPr>
          <w:rFonts w:ascii="Verdana" w:eastAsia="Times New Roman" w:hAnsi="Verdana" w:cs="Times New Roman"/>
          <w:bCs/>
          <w:iCs/>
          <w:color w:val="333333"/>
          <w:sz w:val="20"/>
          <w:szCs w:val="20"/>
          <w:bdr w:val="none" w:sz="0" w:space="0" w:color="auto" w:frame="1"/>
          <w:lang w:eastAsia="en-GB"/>
        </w:rPr>
        <w:t xml:space="preserve"> (ref)</w:t>
      </w:r>
      <w:r>
        <w:rPr>
          <w:rFonts w:ascii="Verdana" w:eastAsia="Times New Roman" w:hAnsi="Verdana" w:cs="Times New Roman"/>
          <w:bCs/>
          <w:iCs/>
          <w:color w:val="333333"/>
          <w:sz w:val="20"/>
          <w:szCs w:val="20"/>
          <w:bdr w:val="none" w:sz="0" w:space="0" w:color="auto" w:frame="1"/>
          <w:lang w:eastAsia="en-GB"/>
        </w:rPr>
        <w:t>.</w:t>
      </w:r>
      <w:r w:rsidR="00076050">
        <w:rPr>
          <w:rFonts w:ascii="Verdana" w:eastAsia="Times New Roman" w:hAnsi="Verdana" w:cs="Times New Roman"/>
          <w:bCs/>
          <w:iCs/>
          <w:color w:val="333333"/>
          <w:sz w:val="20"/>
          <w:szCs w:val="20"/>
          <w:bdr w:val="none" w:sz="0" w:space="0" w:color="auto" w:frame="1"/>
          <w:lang w:eastAsia="en-GB"/>
        </w:rPr>
        <w:t xml:space="preserve"> Conservation activities should therefore supply explicit facets of diversity to improve the focus of conservation strategies. </w:t>
      </w:r>
    </w:p>
    <w:p w:rsidR="00475EF3" w:rsidRPr="00A36D88" w:rsidRDefault="00076050" w:rsidP="00475EF3">
      <w:pPr>
        <w:pStyle w:val="ListParagraph"/>
        <w:numPr>
          <w:ilvl w:val="0"/>
          <w:numId w:val="8"/>
        </w:numPr>
        <w:shd w:val="clear" w:color="auto" w:fill="FFFFFF"/>
        <w:spacing w:after="0" w:line="351" w:lineRule="atLeast"/>
        <w:textAlignment w:val="baseline"/>
        <w:rPr>
          <w:rFonts w:ascii="Verdana" w:eastAsia="Times New Roman" w:hAnsi="Verdana" w:cs="Times New Roman"/>
          <w:color w:val="333333"/>
          <w:sz w:val="20"/>
          <w:szCs w:val="20"/>
          <w:lang w:eastAsia="en-GB"/>
        </w:rPr>
      </w:pPr>
      <w:r w:rsidRPr="00A36D88">
        <w:rPr>
          <w:rFonts w:ascii="Verdana" w:eastAsia="Times New Roman" w:hAnsi="Verdana" w:cs="Times New Roman"/>
          <w:bCs/>
          <w:iCs/>
          <w:color w:val="333333"/>
          <w:sz w:val="20"/>
          <w:szCs w:val="20"/>
          <w:bdr w:val="none" w:sz="0" w:space="0" w:color="auto" w:frame="1"/>
          <w:lang w:eastAsia="en-GB"/>
        </w:rPr>
        <w:t xml:space="preserve">It is unclear how new disruptive technologies, such gene editing, will impact </w:t>
      </w:r>
      <w:r w:rsidR="00A36D88">
        <w:rPr>
          <w:rFonts w:ascii="Verdana" w:eastAsia="Times New Roman" w:hAnsi="Verdana" w:cs="Times New Roman"/>
          <w:bCs/>
          <w:iCs/>
          <w:color w:val="333333"/>
          <w:sz w:val="20"/>
          <w:szCs w:val="20"/>
          <w:bdr w:val="none" w:sz="0" w:space="0" w:color="auto" w:frame="1"/>
          <w:lang w:eastAsia="en-GB"/>
        </w:rPr>
        <w:t xml:space="preserve">future demand for diversity and </w:t>
      </w:r>
      <w:r w:rsidR="00A92D33">
        <w:rPr>
          <w:rFonts w:ascii="Verdana" w:eastAsia="Times New Roman" w:hAnsi="Verdana" w:cs="Times New Roman"/>
          <w:bCs/>
          <w:iCs/>
          <w:color w:val="333333"/>
          <w:sz w:val="20"/>
          <w:szCs w:val="20"/>
          <w:bdr w:val="none" w:sz="0" w:space="0" w:color="auto" w:frame="1"/>
          <w:lang w:eastAsia="en-GB"/>
        </w:rPr>
        <w:t xml:space="preserve">therefore </w:t>
      </w:r>
      <w:r w:rsidR="00A36D88">
        <w:rPr>
          <w:rFonts w:ascii="Verdana" w:eastAsia="Times New Roman" w:hAnsi="Verdana" w:cs="Times New Roman"/>
          <w:bCs/>
          <w:iCs/>
          <w:color w:val="333333"/>
          <w:sz w:val="20"/>
          <w:szCs w:val="20"/>
          <w:bdr w:val="none" w:sz="0" w:space="0" w:color="auto" w:frame="1"/>
          <w:lang w:eastAsia="en-GB"/>
        </w:rPr>
        <w:t>supply side responses to</w:t>
      </w:r>
      <w:r w:rsidR="00A92D33">
        <w:rPr>
          <w:rFonts w:ascii="Verdana" w:eastAsia="Times New Roman" w:hAnsi="Verdana" w:cs="Times New Roman"/>
          <w:bCs/>
          <w:iCs/>
          <w:color w:val="333333"/>
          <w:sz w:val="20"/>
          <w:szCs w:val="20"/>
          <w:bdr w:val="none" w:sz="0" w:space="0" w:color="auto" w:frame="1"/>
          <w:lang w:eastAsia="en-GB"/>
        </w:rPr>
        <w:t xml:space="preserve"> architect</w:t>
      </w:r>
      <w:r w:rsidR="00A36D88">
        <w:rPr>
          <w:rFonts w:ascii="Verdana" w:eastAsia="Times New Roman" w:hAnsi="Verdana" w:cs="Times New Roman"/>
          <w:bCs/>
          <w:iCs/>
          <w:color w:val="333333"/>
          <w:sz w:val="20"/>
          <w:szCs w:val="20"/>
          <w:bdr w:val="none" w:sz="0" w:space="0" w:color="auto" w:frame="1"/>
          <w:lang w:eastAsia="en-GB"/>
        </w:rPr>
        <w:t xml:space="preserve"> more or less diversity. </w:t>
      </w:r>
      <w:r w:rsidR="00A92D33">
        <w:rPr>
          <w:rFonts w:ascii="Verdana" w:eastAsia="Times New Roman" w:hAnsi="Verdana" w:cs="Times New Roman"/>
          <w:bCs/>
          <w:iCs/>
          <w:color w:val="333333"/>
          <w:sz w:val="20"/>
          <w:szCs w:val="20"/>
          <w:bdr w:val="none" w:sz="0" w:space="0" w:color="auto" w:frame="1"/>
          <w:lang w:eastAsia="en-GB"/>
        </w:rPr>
        <w:t xml:space="preserve">This is important because technological progress has been detrimental to diversity (e.g. artificial insemination) but may be harnessed to increase diversity though greater utilisation of trait diversity in future breeding strategies.  </w:t>
      </w:r>
    </w:p>
    <w:p w:rsidR="00A36D88" w:rsidRDefault="00940ED6" w:rsidP="00475EF3">
      <w:pPr>
        <w:pStyle w:val="ListParagraph"/>
        <w:numPr>
          <w:ilvl w:val="0"/>
          <w:numId w:val="8"/>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Sustainable intensification is a paradigm that promotes increased resource use efficiencies in agri-production through more efficient application of inputs that maximises outputs and reduces negative environmental externalities. </w:t>
      </w:r>
      <w:r w:rsidR="00DD1E5D">
        <w:rPr>
          <w:rFonts w:ascii="Verdana" w:eastAsia="Times New Roman" w:hAnsi="Verdana" w:cs="Times New Roman"/>
          <w:color w:val="333333"/>
          <w:sz w:val="20"/>
          <w:szCs w:val="20"/>
          <w:lang w:eastAsia="en-GB"/>
        </w:rPr>
        <w:t xml:space="preserve">Despite a strong focus on efficiency, SI offers little guidance for policy cultural and heritage values in agriculture, despite their important role as public goods in agriculture. SI </w:t>
      </w:r>
      <w:r w:rsidR="005A0DBD">
        <w:rPr>
          <w:rFonts w:ascii="Verdana" w:eastAsia="Times New Roman" w:hAnsi="Verdana" w:cs="Times New Roman"/>
          <w:color w:val="333333"/>
          <w:sz w:val="20"/>
          <w:szCs w:val="20"/>
          <w:lang w:eastAsia="en-GB"/>
        </w:rPr>
        <w:t xml:space="preserve">as an evolving paradigm must offer greater guidance on how to </w:t>
      </w:r>
      <w:r w:rsidR="00407213">
        <w:rPr>
          <w:rFonts w:ascii="Verdana" w:eastAsia="Times New Roman" w:hAnsi="Verdana" w:cs="Times New Roman"/>
          <w:color w:val="333333"/>
          <w:sz w:val="20"/>
          <w:szCs w:val="20"/>
          <w:lang w:eastAsia="en-GB"/>
        </w:rPr>
        <w:t>supply</w:t>
      </w:r>
      <w:r w:rsidR="005A0DBD">
        <w:rPr>
          <w:rFonts w:ascii="Verdana" w:eastAsia="Times New Roman" w:hAnsi="Verdana" w:cs="Times New Roman"/>
          <w:color w:val="333333"/>
          <w:sz w:val="20"/>
          <w:szCs w:val="20"/>
          <w:lang w:eastAsia="en-GB"/>
        </w:rPr>
        <w:t xml:space="preserve"> the cultural and heritage values </w:t>
      </w:r>
      <w:r w:rsidR="00407213">
        <w:rPr>
          <w:rFonts w:ascii="Verdana" w:eastAsia="Times New Roman" w:hAnsi="Verdana" w:cs="Times New Roman"/>
          <w:color w:val="333333"/>
          <w:sz w:val="20"/>
          <w:szCs w:val="20"/>
          <w:lang w:eastAsia="en-GB"/>
        </w:rPr>
        <w:t>embedded in food and production</w:t>
      </w:r>
      <w:r w:rsidR="005A0DBD">
        <w:rPr>
          <w:rFonts w:ascii="Verdana" w:eastAsia="Times New Roman" w:hAnsi="Verdana" w:cs="Times New Roman"/>
          <w:color w:val="333333"/>
          <w:sz w:val="20"/>
          <w:szCs w:val="20"/>
          <w:lang w:eastAsia="en-GB"/>
        </w:rPr>
        <w:t xml:space="preserve"> systems amidst a concerted focus to produce more sustainably. </w:t>
      </w:r>
    </w:p>
    <w:p w:rsidR="00697814" w:rsidRDefault="0016050C" w:rsidP="00475EF3">
      <w:pPr>
        <w:pStyle w:val="ListParagraph"/>
        <w:numPr>
          <w:ilvl w:val="0"/>
          <w:numId w:val="8"/>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FAnGR conservation activities in many countries is not rationalised and this has reduced the effectiveness of conservation schemes seeking to supply (more) diversity.  Differentiating </w:t>
      </w:r>
      <w:r w:rsidR="007C221B">
        <w:rPr>
          <w:rFonts w:ascii="Verdana" w:eastAsia="Times New Roman" w:hAnsi="Verdana" w:cs="Times New Roman"/>
          <w:color w:val="333333"/>
          <w:sz w:val="20"/>
          <w:szCs w:val="20"/>
          <w:lang w:eastAsia="en-GB"/>
        </w:rPr>
        <w:t>incentive support</w:t>
      </w:r>
      <w:r>
        <w:rPr>
          <w:rFonts w:ascii="Verdana" w:eastAsia="Times New Roman" w:hAnsi="Verdana" w:cs="Times New Roman"/>
          <w:color w:val="333333"/>
          <w:sz w:val="20"/>
          <w:szCs w:val="20"/>
          <w:lang w:eastAsia="en-GB"/>
        </w:rPr>
        <w:t xml:space="preserve"> </w:t>
      </w:r>
      <w:r w:rsidR="007C221B">
        <w:rPr>
          <w:rFonts w:ascii="Verdana" w:eastAsia="Times New Roman" w:hAnsi="Verdana" w:cs="Times New Roman"/>
          <w:color w:val="333333"/>
          <w:sz w:val="20"/>
          <w:szCs w:val="20"/>
          <w:lang w:eastAsia="en-GB"/>
        </w:rPr>
        <w:t xml:space="preserve">for FAnGR conservation </w:t>
      </w:r>
      <w:r>
        <w:rPr>
          <w:rFonts w:ascii="Verdana" w:eastAsia="Times New Roman" w:hAnsi="Verdana" w:cs="Times New Roman"/>
          <w:color w:val="333333"/>
          <w:sz w:val="20"/>
          <w:szCs w:val="20"/>
          <w:lang w:eastAsia="en-GB"/>
        </w:rPr>
        <w:t xml:space="preserve">through systematically prioritised </w:t>
      </w:r>
      <w:r w:rsidR="007C221B">
        <w:rPr>
          <w:rFonts w:ascii="Verdana" w:eastAsia="Times New Roman" w:hAnsi="Verdana" w:cs="Times New Roman"/>
          <w:color w:val="333333"/>
          <w:sz w:val="20"/>
          <w:szCs w:val="20"/>
          <w:lang w:eastAsia="en-GB"/>
        </w:rPr>
        <w:t>breed investments</w:t>
      </w:r>
      <w:r>
        <w:rPr>
          <w:rFonts w:ascii="Verdana" w:eastAsia="Times New Roman" w:hAnsi="Verdana" w:cs="Times New Roman"/>
          <w:color w:val="333333"/>
          <w:sz w:val="20"/>
          <w:szCs w:val="20"/>
          <w:lang w:eastAsia="en-GB"/>
        </w:rPr>
        <w:t xml:space="preserve"> </w:t>
      </w:r>
      <w:r w:rsidR="007C221B">
        <w:rPr>
          <w:rFonts w:ascii="Verdana" w:eastAsia="Times New Roman" w:hAnsi="Verdana" w:cs="Times New Roman"/>
          <w:color w:val="333333"/>
          <w:sz w:val="20"/>
          <w:szCs w:val="20"/>
          <w:lang w:eastAsia="en-GB"/>
        </w:rPr>
        <w:t>(</w:t>
      </w:r>
      <w:r>
        <w:rPr>
          <w:rFonts w:ascii="Verdana" w:eastAsia="Times New Roman" w:hAnsi="Verdana" w:cs="Times New Roman"/>
          <w:color w:val="333333"/>
          <w:sz w:val="20"/>
          <w:szCs w:val="20"/>
          <w:lang w:eastAsia="en-GB"/>
        </w:rPr>
        <w:t>as employed in PGR conservation using gap analysis</w:t>
      </w:r>
      <w:r w:rsidR="007C221B">
        <w:rPr>
          <w:rFonts w:ascii="Verdana" w:eastAsia="Times New Roman" w:hAnsi="Verdana" w:cs="Times New Roman"/>
          <w:color w:val="333333"/>
          <w:sz w:val="20"/>
          <w:szCs w:val="20"/>
          <w:lang w:eastAsia="en-GB"/>
        </w:rPr>
        <w:t xml:space="preserve"> frameworks) may improve cost effectiveness of conservation programmes.</w:t>
      </w:r>
    </w:p>
    <w:p w:rsidR="0016050C" w:rsidRDefault="00F94E5A" w:rsidP="00F94E5A">
      <w:pPr>
        <w:pStyle w:val="ListParagraph"/>
        <w:numPr>
          <w:ilvl w:val="0"/>
          <w:numId w:val="8"/>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The market</w:t>
      </w:r>
      <w:r w:rsidR="00055FD1">
        <w:rPr>
          <w:rFonts w:ascii="Verdana" w:eastAsia="Times New Roman" w:hAnsi="Verdana" w:cs="Times New Roman"/>
          <w:color w:val="333333"/>
          <w:sz w:val="20"/>
          <w:szCs w:val="20"/>
          <w:lang w:eastAsia="en-GB"/>
        </w:rPr>
        <w:t xml:space="preserve"> </w:t>
      </w:r>
      <w:r w:rsidR="00402D24">
        <w:rPr>
          <w:rFonts w:ascii="Verdana" w:eastAsia="Times New Roman" w:hAnsi="Verdana" w:cs="Times New Roman"/>
          <w:color w:val="333333"/>
          <w:sz w:val="20"/>
          <w:szCs w:val="20"/>
          <w:lang w:eastAsia="en-GB"/>
        </w:rPr>
        <w:t xml:space="preserve">undersupplies </w:t>
      </w:r>
      <w:r w:rsidR="00697814">
        <w:rPr>
          <w:rFonts w:ascii="Verdana" w:eastAsia="Times New Roman" w:hAnsi="Verdana" w:cs="Times New Roman"/>
          <w:color w:val="333333"/>
          <w:sz w:val="20"/>
          <w:szCs w:val="20"/>
          <w:lang w:eastAsia="en-GB"/>
        </w:rPr>
        <w:t xml:space="preserve">PGR </w:t>
      </w:r>
      <w:r>
        <w:rPr>
          <w:rFonts w:ascii="Verdana" w:eastAsia="Times New Roman" w:hAnsi="Verdana" w:cs="Times New Roman"/>
          <w:color w:val="333333"/>
          <w:sz w:val="20"/>
          <w:szCs w:val="20"/>
          <w:lang w:eastAsia="en-GB"/>
        </w:rPr>
        <w:t xml:space="preserve">and FAnGR </w:t>
      </w:r>
      <w:r w:rsidR="00697814">
        <w:rPr>
          <w:rFonts w:ascii="Verdana" w:eastAsia="Times New Roman" w:hAnsi="Verdana" w:cs="Times New Roman"/>
          <w:color w:val="333333"/>
          <w:sz w:val="20"/>
          <w:szCs w:val="20"/>
          <w:lang w:eastAsia="en-GB"/>
        </w:rPr>
        <w:t xml:space="preserve">diversity because market prices generally favour homogenisation of production </w:t>
      </w:r>
      <w:r w:rsidR="00055FD1">
        <w:rPr>
          <w:rFonts w:ascii="Verdana" w:eastAsia="Times New Roman" w:hAnsi="Verdana" w:cs="Times New Roman"/>
          <w:color w:val="333333"/>
          <w:sz w:val="20"/>
          <w:szCs w:val="20"/>
          <w:lang w:eastAsia="en-GB"/>
        </w:rPr>
        <w:t>t</w:t>
      </w:r>
      <w:r w:rsidR="00697814">
        <w:rPr>
          <w:rFonts w:ascii="Verdana" w:eastAsia="Times New Roman" w:hAnsi="Verdana" w:cs="Times New Roman"/>
          <w:color w:val="333333"/>
          <w:sz w:val="20"/>
          <w:szCs w:val="20"/>
          <w:lang w:eastAsia="en-GB"/>
        </w:rPr>
        <w:t xml:space="preserve">hat erodes diversity but increases yield. </w:t>
      </w:r>
      <w:r w:rsidR="00402D24">
        <w:rPr>
          <w:rFonts w:ascii="Verdana" w:eastAsia="Times New Roman" w:hAnsi="Verdana" w:cs="Times New Roman"/>
          <w:color w:val="333333"/>
          <w:sz w:val="20"/>
          <w:szCs w:val="20"/>
          <w:lang w:eastAsia="en-GB"/>
        </w:rPr>
        <w:t>While</w:t>
      </w:r>
      <w:r>
        <w:rPr>
          <w:rFonts w:ascii="Verdana" w:eastAsia="Times New Roman" w:hAnsi="Verdana" w:cs="Times New Roman"/>
          <w:color w:val="333333"/>
          <w:sz w:val="20"/>
          <w:szCs w:val="20"/>
          <w:lang w:eastAsia="en-GB"/>
        </w:rPr>
        <w:t xml:space="preserve"> shorter supply chains and niche market development </w:t>
      </w:r>
      <w:r w:rsidR="00402D24">
        <w:rPr>
          <w:rFonts w:ascii="Verdana" w:eastAsia="Times New Roman" w:hAnsi="Verdana" w:cs="Times New Roman"/>
          <w:color w:val="333333"/>
          <w:sz w:val="20"/>
          <w:szCs w:val="20"/>
          <w:lang w:eastAsia="en-GB"/>
        </w:rPr>
        <w:t>may favour some</w:t>
      </w:r>
      <w:r>
        <w:rPr>
          <w:rFonts w:ascii="Verdana" w:eastAsia="Times New Roman" w:hAnsi="Verdana" w:cs="Times New Roman"/>
          <w:color w:val="333333"/>
          <w:sz w:val="20"/>
          <w:szCs w:val="20"/>
          <w:lang w:eastAsia="en-GB"/>
        </w:rPr>
        <w:t xml:space="preserve"> rare breed and cultivar products</w:t>
      </w:r>
      <w:r w:rsidR="00402D24">
        <w:rPr>
          <w:rFonts w:ascii="Verdana" w:eastAsia="Times New Roman" w:hAnsi="Verdana" w:cs="Times New Roman"/>
          <w:color w:val="333333"/>
          <w:sz w:val="20"/>
          <w:szCs w:val="20"/>
          <w:lang w:eastAsia="en-GB"/>
        </w:rPr>
        <w:t>, those</w:t>
      </w:r>
      <w:r>
        <w:rPr>
          <w:rFonts w:ascii="Verdana" w:eastAsia="Times New Roman" w:hAnsi="Verdana" w:cs="Times New Roman"/>
          <w:color w:val="333333"/>
          <w:sz w:val="20"/>
          <w:szCs w:val="20"/>
          <w:lang w:eastAsia="en-GB"/>
        </w:rPr>
        <w:t xml:space="preserve"> </w:t>
      </w:r>
      <w:r w:rsidR="00402D24">
        <w:rPr>
          <w:rFonts w:ascii="Verdana" w:eastAsia="Times New Roman" w:hAnsi="Verdana" w:cs="Times New Roman"/>
          <w:color w:val="333333"/>
          <w:sz w:val="20"/>
          <w:szCs w:val="20"/>
          <w:lang w:eastAsia="en-GB"/>
        </w:rPr>
        <w:t>that lack</w:t>
      </w:r>
      <w:r>
        <w:rPr>
          <w:rFonts w:ascii="Verdana" w:eastAsia="Times New Roman" w:hAnsi="Verdana" w:cs="Times New Roman"/>
          <w:color w:val="333333"/>
          <w:sz w:val="20"/>
          <w:szCs w:val="20"/>
          <w:lang w:eastAsia="en-GB"/>
        </w:rPr>
        <w:t xml:space="preserve"> a demand side value</w:t>
      </w:r>
      <w:r w:rsidR="00402D24">
        <w:rPr>
          <w:rFonts w:ascii="Verdana" w:eastAsia="Times New Roman" w:hAnsi="Verdana" w:cs="Times New Roman"/>
          <w:color w:val="333333"/>
          <w:sz w:val="20"/>
          <w:szCs w:val="20"/>
          <w:lang w:eastAsia="en-GB"/>
        </w:rPr>
        <w:t xml:space="preserve"> will not benefit</w:t>
      </w:r>
      <w:r>
        <w:rPr>
          <w:rFonts w:ascii="Verdana" w:eastAsia="Times New Roman" w:hAnsi="Verdana" w:cs="Times New Roman"/>
          <w:color w:val="333333"/>
          <w:sz w:val="20"/>
          <w:szCs w:val="20"/>
          <w:lang w:eastAsia="en-GB"/>
        </w:rPr>
        <w:t xml:space="preserve">. </w:t>
      </w:r>
      <w:r w:rsidR="00402D24">
        <w:rPr>
          <w:rFonts w:ascii="Verdana" w:eastAsia="Times New Roman" w:hAnsi="Verdana" w:cs="Times New Roman"/>
          <w:color w:val="333333"/>
          <w:sz w:val="20"/>
          <w:szCs w:val="20"/>
          <w:lang w:eastAsia="en-GB"/>
        </w:rPr>
        <w:t>I</w:t>
      </w:r>
      <w:r w:rsidRPr="00F94E5A">
        <w:rPr>
          <w:rFonts w:ascii="Verdana" w:eastAsia="Times New Roman" w:hAnsi="Verdana" w:cs="Times New Roman"/>
          <w:color w:val="333333"/>
          <w:sz w:val="20"/>
          <w:szCs w:val="20"/>
          <w:lang w:eastAsia="en-GB"/>
        </w:rPr>
        <w:t xml:space="preserve">nterventions are </w:t>
      </w:r>
      <w:r w:rsidR="00402D24">
        <w:rPr>
          <w:rFonts w:ascii="Verdana" w:eastAsia="Times New Roman" w:hAnsi="Verdana" w:cs="Times New Roman"/>
          <w:color w:val="333333"/>
          <w:sz w:val="20"/>
          <w:szCs w:val="20"/>
          <w:lang w:eastAsia="en-GB"/>
        </w:rPr>
        <w:t>needed</w:t>
      </w:r>
      <w:r w:rsidRPr="00F94E5A">
        <w:rPr>
          <w:rFonts w:ascii="Verdana" w:eastAsia="Times New Roman" w:hAnsi="Verdana" w:cs="Times New Roman"/>
          <w:color w:val="333333"/>
          <w:sz w:val="20"/>
          <w:szCs w:val="20"/>
          <w:lang w:eastAsia="en-GB"/>
        </w:rPr>
        <w:t xml:space="preserve"> because</w:t>
      </w:r>
      <w:r w:rsidR="00697814" w:rsidRPr="00F94E5A">
        <w:rPr>
          <w:rFonts w:ascii="Verdana" w:eastAsia="Times New Roman" w:hAnsi="Verdana" w:cs="Times New Roman"/>
          <w:color w:val="333333"/>
          <w:sz w:val="20"/>
          <w:szCs w:val="20"/>
          <w:lang w:eastAsia="en-GB"/>
        </w:rPr>
        <w:t xml:space="preserve"> homogenisation </w:t>
      </w:r>
      <w:r w:rsidR="00055FD1" w:rsidRPr="00F94E5A">
        <w:rPr>
          <w:rFonts w:ascii="Verdana" w:eastAsia="Times New Roman" w:hAnsi="Verdana" w:cs="Times New Roman"/>
          <w:color w:val="333333"/>
          <w:sz w:val="20"/>
          <w:szCs w:val="20"/>
          <w:lang w:eastAsia="en-GB"/>
        </w:rPr>
        <w:t xml:space="preserve">reduces adaptability for </w:t>
      </w:r>
      <w:r>
        <w:rPr>
          <w:rFonts w:ascii="Verdana" w:eastAsia="Times New Roman" w:hAnsi="Verdana" w:cs="Times New Roman"/>
          <w:color w:val="333333"/>
          <w:sz w:val="20"/>
          <w:szCs w:val="20"/>
          <w:lang w:eastAsia="en-GB"/>
        </w:rPr>
        <w:t>farm</w:t>
      </w:r>
      <w:r w:rsidR="00055FD1" w:rsidRPr="00F94E5A">
        <w:rPr>
          <w:rFonts w:ascii="Verdana" w:eastAsia="Times New Roman" w:hAnsi="Verdana" w:cs="Times New Roman"/>
          <w:color w:val="333333"/>
          <w:sz w:val="20"/>
          <w:szCs w:val="20"/>
          <w:lang w:eastAsia="en-GB"/>
        </w:rPr>
        <w:t xml:space="preserve"> systems to cope with climate change impacts and the need to produce more </w:t>
      </w:r>
      <w:r w:rsidR="00F678EC">
        <w:rPr>
          <w:rFonts w:ascii="Verdana" w:eastAsia="Times New Roman" w:hAnsi="Verdana" w:cs="Times New Roman"/>
          <w:color w:val="333333"/>
          <w:sz w:val="20"/>
          <w:szCs w:val="20"/>
          <w:lang w:eastAsia="en-GB"/>
        </w:rPr>
        <w:t xml:space="preserve">food </w:t>
      </w:r>
      <w:r w:rsidR="00055FD1" w:rsidRPr="00F94E5A">
        <w:rPr>
          <w:rFonts w:ascii="Verdana" w:eastAsia="Times New Roman" w:hAnsi="Verdana" w:cs="Times New Roman"/>
          <w:color w:val="333333"/>
          <w:sz w:val="20"/>
          <w:szCs w:val="20"/>
          <w:lang w:eastAsia="en-GB"/>
        </w:rPr>
        <w:t>from marginal lands</w:t>
      </w:r>
      <w:r w:rsidR="00F678EC">
        <w:rPr>
          <w:rFonts w:ascii="Verdana" w:eastAsia="Times New Roman" w:hAnsi="Verdana" w:cs="Times New Roman"/>
          <w:color w:val="333333"/>
          <w:sz w:val="20"/>
          <w:szCs w:val="20"/>
          <w:lang w:eastAsia="en-GB"/>
        </w:rPr>
        <w:t xml:space="preserve"> </w:t>
      </w:r>
      <w:r w:rsidR="0002718D">
        <w:rPr>
          <w:rFonts w:ascii="Verdana" w:eastAsia="Times New Roman" w:hAnsi="Verdana" w:cs="Times New Roman"/>
          <w:color w:val="333333"/>
          <w:sz w:val="20"/>
          <w:szCs w:val="20"/>
          <w:lang w:eastAsia="en-GB"/>
        </w:rPr>
        <w:fldChar w:fldCharType="begin" w:fldLock="1"/>
      </w:r>
      <w:r w:rsidR="0002718D">
        <w:rPr>
          <w:rFonts w:ascii="Verdana" w:eastAsia="Times New Roman" w:hAnsi="Verdana" w:cs="Times New Roman"/>
          <w:color w:val="333333"/>
          <w:sz w:val="20"/>
          <w:szCs w:val="20"/>
          <w:lang w:eastAsia="en-GB"/>
        </w:rPr>
        <w:instrText>ADDIN CSL_CITATION { "citationItems" : [ { "id" : "ITEM-1", "itemData" : { "author" : [ { "dropping-particle" : "", "family" : "Garnett", "given" : "Tara", "non-dropping-particle" : "", "parse-names" : false, "suffix" : "" }, { "dropping-particle" : "", "family" : "Godde", "given" : "C\u00e9cile", "non-dropping-particle" : "", "parse-names" : false, "suffix" : "" }, { "dropping-particle" : "", "family" : "Muller", "given" : "Adrian", "non-dropping-particle" : "", "parse-names" : false, "suffix" : "" }, { "dropping-particle" : "", "family" : "R\u00f6\u00f6s", "given" : "Elin", "non-dropping-particle" : "", "parse-names" : false, "suffix" : "" }, { "dropping-particle" : "", "family" : "Smith", "given" : "Pete", "non-dropping-particle" : "", "parse-names" : false, "suffix" : "" }, { "dropping-particle" : "", "family" : "Boer", "given" : "Imke", "non-dropping-particle" : "de", "parse-names" : false, "suffix" : "" }, { "dropping-particle" : "", "family" : "zu Ermgassen", "given" : "Erasmus", "non-dropping-particle" : "", "parse-names" : false, "suffix" : "" }, { "dropping-particle" : "", "family" : "Herrero", "given" : "Mario", "non-dropping-particle" : "", "parse-names" : false, "suffix" : "" }, { "dropping-particle" : "", "family" : "Middelaar", "given" : "Corina", "non-dropping-particle" : "van", "parse-names" : false, "suffix" : "" }, { "dropping-particle" : "", "family" : "Schader", "given" : "Christian", "non-dropping-particle" : "", "parse-names" : false, "suffix" : "" } ], "id" : "ITEM-1", "issued" : { "date-parts" : [ [ "2017" ] ] }, "publisher" : "Food Climate Research Network", "title" : "Grazed and Confused?: Ruminating on Cattle, Grazing Systems, Methane, Nitrous Oxide, the Soil Carbon Sequestration Question-and what it All Means for Greenhouse Gas Emissions", "type" : "book" }, "uris" : [ "http://www.mendeley.com/documents/?uuid=6375453c-9214-47b1-bac3-bf89a5c07163" ] } ], "mendeley" : { "formattedCitation" : "(Garnett et al., 2017)", "plainTextFormattedCitation" : "(Garnett et al., 2017)", "previouslyFormattedCitation" : "(Garnett et al., 2017)" }, "properties" : { "noteIndex" : 0 }, "schema" : "https://github.com/citation-style-language/schema/raw/master/csl-citation.json" }</w:instrText>
      </w:r>
      <w:r w:rsidR="0002718D">
        <w:rPr>
          <w:rFonts w:ascii="Verdana" w:eastAsia="Times New Roman" w:hAnsi="Verdana" w:cs="Times New Roman"/>
          <w:color w:val="333333"/>
          <w:sz w:val="20"/>
          <w:szCs w:val="20"/>
          <w:lang w:eastAsia="en-GB"/>
        </w:rPr>
        <w:fldChar w:fldCharType="separate"/>
      </w:r>
      <w:r w:rsidR="0002718D" w:rsidRPr="0002718D">
        <w:rPr>
          <w:rFonts w:ascii="Verdana" w:eastAsia="Times New Roman" w:hAnsi="Verdana" w:cs="Times New Roman"/>
          <w:noProof/>
          <w:color w:val="333333"/>
          <w:sz w:val="20"/>
          <w:szCs w:val="20"/>
          <w:lang w:eastAsia="en-GB"/>
        </w:rPr>
        <w:t>(Garnett et al., 2017)</w:t>
      </w:r>
      <w:r w:rsidR="0002718D">
        <w:rPr>
          <w:rFonts w:ascii="Verdana" w:eastAsia="Times New Roman" w:hAnsi="Verdana" w:cs="Times New Roman"/>
          <w:color w:val="333333"/>
          <w:sz w:val="20"/>
          <w:szCs w:val="20"/>
          <w:lang w:eastAsia="en-GB"/>
        </w:rPr>
        <w:fldChar w:fldCharType="end"/>
      </w:r>
      <w:r w:rsidR="00F678EC">
        <w:rPr>
          <w:rFonts w:ascii="Verdana" w:eastAsia="Times New Roman" w:hAnsi="Verdana" w:cs="Times New Roman"/>
          <w:color w:val="333333"/>
          <w:sz w:val="20"/>
          <w:szCs w:val="20"/>
          <w:lang w:eastAsia="en-GB"/>
        </w:rPr>
        <w:t xml:space="preserve">. </w:t>
      </w:r>
    </w:p>
    <w:p w:rsidR="00B86BE8" w:rsidRDefault="00B86BE8" w:rsidP="00B86BE8">
      <w:pPr>
        <w:shd w:val="clear" w:color="auto" w:fill="FFFFFF"/>
        <w:spacing w:after="0" w:line="351" w:lineRule="atLeast"/>
        <w:textAlignment w:val="baseline"/>
        <w:rPr>
          <w:rFonts w:ascii="Verdana" w:eastAsia="Times New Roman" w:hAnsi="Verdana" w:cs="Times New Roman"/>
          <w:b/>
          <w:color w:val="333333"/>
          <w:sz w:val="20"/>
          <w:szCs w:val="20"/>
          <w:lang w:eastAsia="en-GB"/>
        </w:rPr>
      </w:pPr>
      <w:r w:rsidRPr="00B86BE8">
        <w:rPr>
          <w:rFonts w:ascii="Verdana" w:eastAsia="Times New Roman" w:hAnsi="Verdana" w:cs="Times New Roman"/>
          <w:b/>
          <w:color w:val="333333"/>
          <w:sz w:val="20"/>
          <w:szCs w:val="20"/>
          <w:lang w:eastAsia="en-GB"/>
        </w:rPr>
        <w:t>RO Paper</w:t>
      </w:r>
    </w:p>
    <w:p w:rsidR="00B86BE8" w:rsidRPr="006E38EF" w:rsidRDefault="00B86BE8" w:rsidP="00B86BE8">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lastRenderedPageBreak/>
        <w:t xml:space="preserve">There has been little exploration of the cost of conserving FAnGR in smallholder and extensive farm systems, despite the lower cost of capital for these systems to invest in diversity (compared to intensive systems). </w:t>
      </w:r>
    </w:p>
    <w:p w:rsidR="006E38EF" w:rsidRPr="002265F1" w:rsidRDefault="006E38EF" w:rsidP="006E38EF">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Farmer WTA to conserve rare breeds varies depending on the design of contractual schemes. Our choice model suggests these preferences vary between bovine and ovine farmers.</w:t>
      </w:r>
      <w:r>
        <w:rPr>
          <w:rFonts w:ascii="Verdana" w:eastAsia="Times New Roman" w:hAnsi="Verdana" w:cs="Times New Roman"/>
          <w:b/>
          <w:color w:val="333333"/>
          <w:sz w:val="20"/>
          <w:szCs w:val="20"/>
          <w:lang w:eastAsia="en-GB"/>
        </w:rPr>
        <w:t xml:space="preserve"> </w:t>
      </w:r>
      <w:r w:rsidRPr="006E38EF">
        <w:rPr>
          <w:rFonts w:ascii="Verdana" w:eastAsia="Times New Roman" w:hAnsi="Verdana" w:cs="Times New Roman"/>
          <w:color w:val="333333"/>
          <w:sz w:val="20"/>
          <w:szCs w:val="20"/>
          <w:lang w:eastAsia="en-GB"/>
        </w:rPr>
        <w:t>We suggest schemes that meet farmer preferences for contract attributes are likely to result in lower conservation costs</w:t>
      </w:r>
      <w:r w:rsidR="00DA556A">
        <w:rPr>
          <w:rFonts w:ascii="Verdana" w:eastAsia="Times New Roman" w:hAnsi="Verdana" w:cs="Times New Roman"/>
          <w:color w:val="333333"/>
          <w:sz w:val="20"/>
          <w:szCs w:val="20"/>
          <w:lang w:eastAsia="en-GB"/>
        </w:rPr>
        <w:t xml:space="preserve"> and higher scheme compliance. </w:t>
      </w:r>
    </w:p>
    <w:p w:rsidR="002265F1" w:rsidRPr="002265F1" w:rsidRDefault="002265F1" w:rsidP="006E38EF">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We show farmers keeping rare breeds were not WTA less to enrol in a conservation programme, suggesting targeting </w:t>
      </w:r>
      <w:r w:rsidR="000147F9">
        <w:rPr>
          <w:rFonts w:ascii="Verdana" w:eastAsia="Times New Roman" w:hAnsi="Verdana" w:cs="Times New Roman"/>
          <w:color w:val="333333"/>
          <w:sz w:val="20"/>
          <w:szCs w:val="20"/>
          <w:lang w:eastAsia="en-GB"/>
        </w:rPr>
        <w:t xml:space="preserve">such </w:t>
      </w:r>
      <w:r w:rsidR="005C6030">
        <w:rPr>
          <w:rFonts w:ascii="Verdana" w:eastAsia="Times New Roman" w:hAnsi="Verdana" w:cs="Times New Roman"/>
          <w:color w:val="333333"/>
          <w:sz w:val="20"/>
          <w:szCs w:val="20"/>
          <w:lang w:eastAsia="en-GB"/>
        </w:rPr>
        <w:t>farmers per se</w:t>
      </w:r>
      <w:r>
        <w:rPr>
          <w:rFonts w:ascii="Verdana" w:eastAsia="Times New Roman" w:hAnsi="Verdana" w:cs="Times New Roman"/>
          <w:color w:val="333333"/>
          <w:sz w:val="20"/>
          <w:szCs w:val="20"/>
          <w:lang w:eastAsia="en-GB"/>
        </w:rPr>
        <w:t xml:space="preserve"> may not reduce the cost of conservation.  </w:t>
      </w:r>
    </w:p>
    <w:p w:rsidR="002265F1" w:rsidRPr="006E38EF" w:rsidRDefault="002265F1" w:rsidP="006E38EF">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Farmers keeping rare breeds tended to favour adaptability attributes of a breed </w:t>
      </w:r>
      <w:r w:rsidR="00D27E01">
        <w:rPr>
          <w:rFonts w:ascii="Verdana" w:eastAsia="Times New Roman" w:hAnsi="Verdana" w:cs="Times New Roman"/>
          <w:color w:val="333333"/>
          <w:sz w:val="20"/>
          <w:szCs w:val="20"/>
          <w:lang w:eastAsia="en-GB"/>
        </w:rPr>
        <w:t>m</w:t>
      </w:r>
      <w:r>
        <w:rPr>
          <w:rFonts w:ascii="Verdana" w:eastAsia="Times New Roman" w:hAnsi="Verdana" w:cs="Times New Roman"/>
          <w:color w:val="333333"/>
          <w:sz w:val="20"/>
          <w:szCs w:val="20"/>
          <w:lang w:eastAsia="en-GB"/>
        </w:rPr>
        <w:t xml:space="preserve"> than farmers keeping more</w:t>
      </w:r>
      <w:r w:rsidR="005C6030">
        <w:rPr>
          <w:rFonts w:ascii="Verdana" w:eastAsia="Times New Roman" w:hAnsi="Verdana" w:cs="Times New Roman"/>
          <w:color w:val="333333"/>
          <w:sz w:val="20"/>
          <w:szCs w:val="20"/>
          <w:lang w:eastAsia="en-GB"/>
        </w:rPr>
        <w:t xml:space="preserve"> intensive breeds, suggesting adaptability is an important </w:t>
      </w:r>
      <w:r w:rsidR="00D27E01">
        <w:rPr>
          <w:rFonts w:ascii="Verdana" w:eastAsia="Times New Roman" w:hAnsi="Verdana" w:cs="Times New Roman"/>
          <w:color w:val="333333"/>
          <w:sz w:val="20"/>
          <w:szCs w:val="20"/>
          <w:lang w:eastAsia="en-GB"/>
        </w:rPr>
        <w:t xml:space="preserve">factor influencing breed choice (as well as yield). Most farmers thought conserving rare breeds was important for </w:t>
      </w:r>
      <w:r w:rsidR="004A50D7">
        <w:rPr>
          <w:rFonts w:ascii="Verdana" w:eastAsia="Times New Roman" w:hAnsi="Verdana" w:cs="Times New Roman"/>
          <w:color w:val="333333"/>
          <w:sz w:val="20"/>
          <w:szCs w:val="20"/>
          <w:lang w:eastAsia="en-GB"/>
        </w:rPr>
        <w:t>preserving</w:t>
      </w:r>
      <w:r w:rsidR="00D27E01">
        <w:rPr>
          <w:rFonts w:ascii="Verdana" w:eastAsia="Times New Roman" w:hAnsi="Verdana" w:cs="Times New Roman"/>
          <w:color w:val="333333"/>
          <w:sz w:val="20"/>
          <w:szCs w:val="20"/>
          <w:lang w:eastAsia="en-GB"/>
        </w:rPr>
        <w:t xml:space="preserve"> cultural heritage, while retaining genetic diversity was perceived as </w:t>
      </w:r>
      <w:r w:rsidR="004A50D7">
        <w:rPr>
          <w:rFonts w:ascii="Verdana" w:eastAsia="Times New Roman" w:hAnsi="Verdana" w:cs="Times New Roman"/>
          <w:color w:val="333333"/>
          <w:sz w:val="20"/>
          <w:szCs w:val="20"/>
          <w:lang w:eastAsia="en-GB"/>
        </w:rPr>
        <w:t xml:space="preserve">much </w:t>
      </w:r>
      <w:r w:rsidR="00D27E01">
        <w:rPr>
          <w:rFonts w:ascii="Verdana" w:eastAsia="Times New Roman" w:hAnsi="Verdana" w:cs="Times New Roman"/>
          <w:color w:val="333333"/>
          <w:sz w:val="20"/>
          <w:szCs w:val="20"/>
          <w:lang w:eastAsia="en-GB"/>
        </w:rPr>
        <w:t>less important.</w:t>
      </w:r>
      <w:r w:rsidR="004A50D7">
        <w:rPr>
          <w:rFonts w:ascii="Verdana" w:eastAsia="Times New Roman" w:hAnsi="Verdana" w:cs="Times New Roman"/>
          <w:color w:val="333333"/>
          <w:sz w:val="20"/>
          <w:szCs w:val="20"/>
          <w:lang w:eastAsia="en-GB"/>
        </w:rPr>
        <w:t xml:space="preserve"> This reveals a </w:t>
      </w:r>
      <w:r w:rsidR="00CD295C">
        <w:rPr>
          <w:rFonts w:ascii="Verdana" w:eastAsia="Times New Roman" w:hAnsi="Verdana" w:cs="Times New Roman"/>
          <w:color w:val="333333"/>
          <w:sz w:val="20"/>
          <w:szCs w:val="20"/>
          <w:lang w:eastAsia="en-GB"/>
        </w:rPr>
        <w:t>divergence</w:t>
      </w:r>
      <w:r w:rsidR="004A50D7">
        <w:rPr>
          <w:rFonts w:ascii="Verdana" w:eastAsia="Times New Roman" w:hAnsi="Verdana" w:cs="Times New Roman"/>
          <w:color w:val="333333"/>
          <w:sz w:val="20"/>
          <w:szCs w:val="20"/>
          <w:lang w:eastAsia="en-GB"/>
        </w:rPr>
        <w:t xml:space="preserve"> between</w:t>
      </w:r>
      <w:r w:rsidR="00CD295C">
        <w:rPr>
          <w:rFonts w:ascii="Verdana" w:eastAsia="Times New Roman" w:hAnsi="Verdana" w:cs="Times New Roman"/>
          <w:color w:val="333333"/>
          <w:sz w:val="20"/>
          <w:szCs w:val="20"/>
          <w:lang w:eastAsia="en-GB"/>
        </w:rPr>
        <w:t xml:space="preserve"> wider</w:t>
      </w:r>
      <w:r w:rsidR="004A50D7">
        <w:rPr>
          <w:rFonts w:ascii="Verdana" w:eastAsia="Times New Roman" w:hAnsi="Verdana" w:cs="Times New Roman"/>
          <w:color w:val="333333"/>
          <w:sz w:val="20"/>
          <w:szCs w:val="20"/>
          <w:lang w:eastAsia="en-GB"/>
        </w:rPr>
        <w:t xml:space="preserve"> food security goals </w:t>
      </w:r>
      <w:r w:rsidR="00CD295C">
        <w:rPr>
          <w:rFonts w:ascii="Verdana" w:eastAsia="Times New Roman" w:hAnsi="Verdana" w:cs="Times New Roman"/>
          <w:color w:val="333333"/>
          <w:sz w:val="20"/>
          <w:szCs w:val="20"/>
          <w:lang w:eastAsia="en-GB"/>
        </w:rPr>
        <w:t>(that stress the importance of genetic diversity for food and agriculture) and societal preferences for cultural and heritage values of diversity as a public good.</w:t>
      </w:r>
      <w:r w:rsidR="00EB7231">
        <w:rPr>
          <w:rFonts w:ascii="Verdana" w:eastAsia="Times New Roman" w:hAnsi="Verdana" w:cs="Times New Roman"/>
          <w:color w:val="333333"/>
          <w:sz w:val="20"/>
          <w:szCs w:val="20"/>
          <w:lang w:eastAsia="en-GB"/>
        </w:rPr>
        <w:t xml:space="preserve"> The supply side therefore needs to consider both facets of demand in conservation strategies. </w:t>
      </w:r>
      <w:r w:rsidR="004A50D7">
        <w:rPr>
          <w:rFonts w:ascii="Verdana" w:eastAsia="Times New Roman" w:hAnsi="Verdana" w:cs="Times New Roman"/>
          <w:color w:val="333333"/>
          <w:sz w:val="20"/>
          <w:szCs w:val="20"/>
          <w:lang w:eastAsia="en-GB"/>
        </w:rPr>
        <w:t xml:space="preserve"> </w:t>
      </w:r>
      <w:r w:rsidR="00D27E01">
        <w:rPr>
          <w:rFonts w:ascii="Verdana" w:eastAsia="Times New Roman" w:hAnsi="Verdana" w:cs="Times New Roman"/>
          <w:color w:val="333333"/>
          <w:sz w:val="20"/>
          <w:szCs w:val="20"/>
          <w:lang w:eastAsia="en-GB"/>
        </w:rPr>
        <w:t xml:space="preserve"> </w:t>
      </w:r>
      <w:r>
        <w:rPr>
          <w:rFonts w:ascii="Verdana" w:eastAsia="Times New Roman" w:hAnsi="Verdana" w:cs="Times New Roman"/>
          <w:color w:val="333333"/>
          <w:sz w:val="20"/>
          <w:szCs w:val="20"/>
          <w:lang w:eastAsia="en-GB"/>
        </w:rPr>
        <w:t xml:space="preserve">  </w:t>
      </w:r>
    </w:p>
    <w:p w:rsidR="00B86BE8" w:rsidRPr="004A50D7" w:rsidRDefault="002265F1" w:rsidP="00B86BE8">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Multiple barriers to entry persist for</w:t>
      </w:r>
      <w:r w:rsidR="004A50D7">
        <w:rPr>
          <w:rFonts w:ascii="Verdana" w:eastAsia="Times New Roman" w:hAnsi="Verdana" w:cs="Times New Roman"/>
          <w:color w:val="333333"/>
          <w:sz w:val="20"/>
          <w:szCs w:val="20"/>
          <w:lang w:eastAsia="en-GB"/>
        </w:rPr>
        <w:t xml:space="preserve"> many farmers (in our Romanian sample) seeking to enrol in conservation schemes</w:t>
      </w:r>
      <w:r w:rsidR="004C26AB">
        <w:rPr>
          <w:rFonts w:ascii="Verdana" w:eastAsia="Times New Roman" w:hAnsi="Verdana" w:cs="Times New Roman"/>
          <w:color w:val="333333"/>
          <w:sz w:val="20"/>
          <w:szCs w:val="20"/>
          <w:lang w:eastAsia="en-GB"/>
        </w:rPr>
        <w:t xml:space="preserve">; which ultimately reduces scheme participation.  </w:t>
      </w:r>
      <w:r w:rsidR="004A50D7">
        <w:rPr>
          <w:rFonts w:ascii="Verdana" w:eastAsia="Times New Roman" w:hAnsi="Verdana" w:cs="Times New Roman"/>
          <w:color w:val="333333"/>
          <w:sz w:val="20"/>
          <w:szCs w:val="20"/>
          <w:lang w:eastAsia="en-GB"/>
        </w:rPr>
        <w:t xml:space="preserve"> </w:t>
      </w:r>
    </w:p>
    <w:p w:rsidR="009C17A8" w:rsidRDefault="008C777C" w:rsidP="009C17A8">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Our work suggests a conservation scheme</w:t>
      </w:r>
      <w:r w:rsidR="00581511">
        <w:rPr>
          <w:rFonts w:ascii="Verdana" w:eastAsia="Times New Roman" w:hAnsi="Verdana" w:cs="Times New Roman"/>
          <w:color w:val="333333"/>
          <w:sz w:val="20"/>
          <w:szCs w:val="20"/>
          <w:lang w:eastAsia="en-GB"/>
        </w:rPr>
        <w:t xml:space="preserve"> for rare breeds</w:t>
      </w:r>
      <w:r>
        <w:rPr>
          <w:rFonts w:ascii="Verdana" w:eastAsia="Times New Roman" w:hAnsi="Verdana" w:cs="Times New Roman"/>
          <w:color w:val="333333"/>
          <w:sz w:val="20"/>
          <w:szCs w:val="20"/>
          <w:lang w:eastAsia="en-GB"/>
        </w:rPr>
        <w:t xml:space="preserve"> is indeed desirable to Romanian farmers as revealed </w:t>
      </w:r>
      <w:r w:rsidR="00581511">
        <w:rPr>
          <w:rFonts w:ascii="Verdana" w:eastAsia="Times New Roman" w:hAnsi="Verdana" w:cs="Times New Roman"/>
          <w:color w:val="333333"/>
          <w:sz w:val="20"/>
          <w:szCs w:val="20"/>
          <w:lang w:eastAsia="en-GB"/>
        </w:rPr>
        <w:t xml:space="preserve">by </w:t>
      </w:r>
      <w:r>
        <w:rPr>
          <w:rFonts w:ascii="Verdana" w:eastAsia="Times New Roman" w:hAnsi="Verdana" w:cs="Times New Roman"/>
          <w:color w:val="333333"/>
          <w:sz w:val="20"/>
          <w:szCs w:val="20"/>
          <w:lang w:eastAsia="en-GB"/>
        </w:rPr>
        <w:t xml:space="preserve">high </w:t>
      </w:r>
      <w:r w:rsidR="00581511">
        <w:rPr>
          <w:rFonts w:ascii="Verdana" w:eastAsia="Times New Roman" w:hAnsi="Verdana" w:cs="Times New Roman"/>
          <w:color w:val="333333"/>
          <w:sz w:val="20"/>
          <w:szCs w:val="20"/>
          <w:lang w:eastAsia="en-GB"/>
        </w:rPr>
        <w:t>(forecast)</w:t>
      </w:r>
      <w:r>
        <w:rPr>
          <w:rFonts w:ascii="Verdana" w:eastAsia="Times New Roman" w:hAnsi="Verdana" w:cs="Times New Roman"/>
          <w:color w:val="333333"/>
          <w:sz w:val="20"/>
          <w:szCs w:val="20"/>
          <w:lang w:eastAsia="en-GB"/>
        </w:rPr>
        <w:t xml:space="preserve"> participation rates. </w:t>
      </w:r>
      <w:r w:rsidR="00581511">
        <w:rPr>
          <w:rFonts w:ascii="Verdana" w:eastAsia="Times New Roman" w:hAnsi="Verdana" w:cs="Times New Roman"/>
          <w:color w:val="333333"/>
          <w:sz w:val="20"/>
          <w:szCs w:val="20"/>
          <w:lang w:eastAsia="en-GB"/>
        </w:rPr>
        <w:t xml:space="preserve">Moreover, we suggest rates offered in the RDP do meet farmer WTA preferences for undertaking conservation activities. </w:t>
      </w:r>
    </w:p>
    <w:p w:rsidR="00581511" w:rsidRPr="009C17A8" w:rsidRDefault="00581511" w:rsidP="009C17A8">
      <w:pPr>
        <w:pStyle w:val="ListParagraph"/>
        <w:numPr>
          <w:ilvl w:val="0"/>
          <w:numId w:val="9"/>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sidRPr="009C17A8">
        <w:rPr>
          <w:rFonts w:ascii="Verdana" w:eastAsia="Times New Roman" w:hAnsi="Verdana" w:cs="Times New Roman"/>
          <w:color w:val="333333"/>
          <w:sz w:val="20"/>
          <w:szCs w:val="20"/>
          <w:lang w:eastAsia="en-GB"/>
        </w:rPr>
        <w:t xml:space="preserve">Further work to establish whether breed diversity ‘hotspots’ persist in Europe remains an important yet under-explored area. </w:t>
      </w:r>
      <w:r w:rsidR="001E1160" w:rsidRPr="009C17A8">
        <w:rPr>
          <w:rFonts w:ascii="Verdana" w:eastAsia="Times New Roman" w:hAnsi="Verdana" w:cs="Times New Roman"/>
          <w:color w:val="333333"/>
          <w:sz w:val="20"/>
          <w:szCs w:val="20"/>
          <w:lang w:eastAsia="en-GB"/>
        </w:rPr>
        <w:t xml:space="preserve">Analysis in this area could help guide the establishment of spatially targeted conservation policies in areas where the opportunity cost of conserving is least </w:t>
      </w:r>
      <w:r w:rsidR="001E1160" w:rsidRPr="009C17A8">
        <w:rPr>
          <w:rFonts w:ascii="Verdana" w:eastAsia="Times New Roman" w:hAnsi="Verdana" w:cs="Times New Roman"/>
          <w:color w:val="333333"/>
          <w:sz w:val="20"/>
          <w:szCs w:val="20"/>
          <w:lang w:eastAsia="en-GB"/>
        </w:rPr>
        <w:fldChar w:fldCharType="begin" w:fldLock="1"/>
      </w:r>
      <w:r w:rsidR="0045251C">
        <w:rPr>
          <w:rFonts w:ascii="Verdana" w:eastAsia="Times New Roman" w:hAnsi="Verdana" w:cs="Times New Roman"/>
          <w:color w:val="333333"/>
          <w:sz w:val="20"/>
          <w:szCs w:val="20"/>
          <w:lang w:eastAsia="en-GB"/>
        </w:rPr>
        <w:instrText>ADDIN CSL_CITATION { "citationItems" : [ { "id" : "ITEM-1", "itemData" : { "ISSN" : "0169-5347", "author" : [ { "dropping-particle" : "", "family" : "Naidoo", "given" : "Robin",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&amp; evolution", "id" : "ITEM-1", "issue" : "12", "issued" : { "date-parts" : [ [ "2006" ] ] }, "page" : "681-687", "publisher" : "Elsevier", "title" : "Integrating economic costs into conservation planning", "type" : "article-journal", "volume" : "21" }, "uris" : [ "http://www.mendeley.com/documents/?uuid=cd8955ac-78a1-4a57-af45-bba577091676" ] } ], "mendeley" : { "formattedCitation" : "(Naidoo et al., 2006)", "plainTextFormattedCitation" : "(Naidoo et al., 2006)", "previouslyFormattedCitation" : "(Naidoo et al., 2006)" }, "properties" : { "noteIndex" : 0 }, "schema" : "https://github.com/citation-style-language/schema/raw/master/csl-citation.json" }</w:instrText>
      </w:r>
      <w:r w:rsidR="001E1160" w:rsidRPr="009C17A8">
        <w:rPr>
          <w:rFonts w:ascii="Verdana" w:eastAsia="Times New Roman" w:hAnsi="Verdana" w:cs="Times New Roman"/>
          <w:color w:val="333333"/>
          <w:sz w:val="20"/>
          <w:szCs w:val="20"/>
          <w:lang w:eastAsia="en-GB"/>
        </w:rPr>
        <w:fldChar w:fldCharType="separate"/>
      </w:r>
      <w:r w:rsidR="001E1160" w:rsidRPr="009C17A8">
        <w:rPr>
          <w:rFonts w:ascii="Verdana" w:eastAsia="Times New Roman" w:hAnsi="Verdana" w:cs="Times New Roman"/>
          <w:noProof/>
          <w:color w:val="333333"/>
          <w:sz w:val="20"/>
          <w:szCs w:val="20"/>
          <w:lang w:eastAsia="en-GB"/>
        </w:rPr>
        <w:t>(Naidoo et al., 2006)</w:t>
      </w:r>
      <w:r w:rsidR="001E1160" w:rsidRPr="009C17A8">
        <w:rPr>
          <w:rFonts w:ascii="Verdana" w:eastAsia="Times New Roman" w:hAnsi="Verdana" w:cs="Times New Roman"/>
          <w:color w:val="333333"/>
          <w:sz w:val="20"/>
          <w:szCs w:val="20"/>
          <w:lang w:eastAsia="en-GB"/>
        </w:rPr>
        <w:fldChar w:fldCharType="end"/>
      </w:r>
      <w:r w:rsidR="001E1160" w:rsidRPr="009C17A8">
        <w:rPr>
          <w:rFonts w:ascii="Verdana" w:eastAsia="Times New Roman" w:hAnsi="Verdana" w:cs="Times New Roman"/>
          <w:color w:val="333333"/>
          <w:sz w:val="20"/>
          <w:szCs w:val="20"/>
          <w:lang w:eastAsia="en-GB"/>
        </w:rPr>
        <w:t xml:space="preserve">.  </w:t>
      </w:r>
    </w:p>
    <w:p w:rsidR="009C17A8" w:rsidRDefault="009C17A8" w:rsidP="009C17A8">
      <w:pPr>
        <w:shd w:val="clear" w:color="auto" w:fill="FFFFFF"/>
        <w:spacing w:after="0" w:line="351" w:lineRule="atLeast"/>
        <w:textAlignment w:val="baseline"/>
        <w:rPr>
          <w:rFonts w:ascii="Verdana" w:eastAsia="Times New Roman" w:hAnsi="Verdana" w:cs="Times New Roman"/>
          <w:b/>
          <w:color w:val="333333"/>
          <w:sz w:val="20"/>
          <w:szCs w:val="20"/>
          <w:lang w:eastAsia="en-GB"/>
        </w:rPr>
      </w:pPr>
    </w:p>
    <w:p w:rsidR="009C17A8" w:rsidRDefault="009C17A8" w:rsidP="009C17A8">
      <w:p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b/>
          <w:color w:val="333333"/>
          <w:sz w:val="20"/>
          <w:szCs w:val="20"/>
          <w:lang w:eastAsia="en-GB"/>
        </w:rPr>
        <w:t>BLP Paper</w:t>
      </w:r>
    </w:p>
    <w:p w:rsidR="009C17A8" w:rsidRPr="009C17A8" w:rsidRDefault="009C17A8"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We showed the cost of conserving crop wild relatives varies depending on the conservation goal employed. For instance, conservation goals attempting to maximise diversity cost more than those targeting social equity, suggesting a trade-off between different desirable objectives of a scheme. </w:t>
      </w:r>
      <w:r w:rsidR="007B78A4">
        <w:rPr>
          <w:rFonts w:ascii="Verdana" w:eastAsia="Times New Roman" w:hAnsi="Verdana" w:cs="Times New Roman"/>
          <w:color w:val="333333"/>
          <w:sz w:val="20"/>
          <w:szCs w:val="20"/>
          <w:lang w:eastAsia="en-GB"/>
        </w:rPr>
        <w:t>Clear guidance is required on how PES type schemes should consider fairness and social equity considerations in scheme design.</w:t>
      </w:r>
    </w:p>
    <w:p w:rsidR="009C17A8" w:rsidRPr="00450CD4" w:rsidRDefault="004F72BE"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lastRenderedPageBreak/>
        <w:t>The cost of conservation, as revealed in the CT survey, was heterogeneous across individual farmers and communities.</w:t>
      </w:r>
      <w:r w:rsidR="00450CD4">
        <w:rPr>
          <w:rFonts w:ascii="Verdana" w:eastAsia="Times New Roman" w:hAnsi="Verdana" w:cs="Times New Roman"/>
          <w:color w:val="333333"/>
          <w:sz w:val="20"/>
          <w:szCs w:val="20"/>
          <w:lang w:eastAsia="en-GB"/>
        </w:rPr>
        <w:t xml:space="preserve"> Additionally, this cost varied between sites located in GMA and non-GMA areas, as well as between ecoregions.</w:t>
      </w:r>
      <w:r w:rsidR="009C17A8">
        <w:rPr>
          <w:rFonts w:ascii="Verdana" w:eastAsia="Times New Roman" w:hAnsi="Verdana" w:cs="Times New Roman"/>
          <w:color w:val="333333"/>
          <w:sz w:val="20"/>
          <w:szCs w:val="20"/>
          <w:lang w:eastAsia="en-GB"/>
        </w:rPr>
        <w:t xml:space="preserve"> </w:t>
      </w:r>
      <w:r w:rsidR="00450CD4">
        <w:rPr>
          <w:rFonts w:ascii="Verdana" w:eastAsia="Times New Roman" w:hAnsi="Verdana" w:cs="Times New Roman"/>
          <w:color w:val="333333"/>
          <w:sz w:val="20"/>
          <w:szCs w:val="20"/>
          <w:lang w:eastAsia="en-GB"/>
        </w:rPr>
        <w:t xml:space="preserve">This is important because it provides the basis to select least cost providers of conservation services. </w:t>
      </w:r>
    </w:p>
    <w:p w:rsidR="00450CD4" w:rsidRPr="007B78A4" w:rsidRDefault="009E3698"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We suggest conservation of CWR across five ecoregions would likely cost between X and X. </w:t>
      </w:r>
      <w:r w:rsidR="007B78A4">
        <w:rPr>
          <w:rFonts w:ascii="Verdana" w:eastAsia="Times New Roman" w:hAnsi="Verdana" w:cs="Times New Roman"/>
          <w:color w:val="333333"/>
          <w:sz w:val="20"/>
          <w:szCs w:val="20"/>
          <w:lang w:eastAsia="en-GB"/>
        </w:rPr>
        <w:t xml:space="preserve">There are limitations in these cost estimates and increasing the sample size of economic surveys remains an important aspect of future work. </w:t>
      </w:r>
    </w:p>
    <w:p w:rsidR="007B78A4" w:rsidRPr="00D20504" w:rsidRDefault="007B78A4"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Empirical rules concerning the geographical coverage of conservation schemes </w:t>
      </w:r>
      <w:r w:rsidR="00E24598">
        <w:rPr>
          <w:rFonts w:ascii="Verdana" w:eastAsia="Times New Roman" w:hAnsi="Verdana" w:cs="Times New Roman"/>
          <w:color w:val="333333"/>
          <w:sz w:val="20"/>
          <w:szCs w:val="20"/>
          <w:lang w:eastAsia="en-GB"/>
        </w:rPr>
        <w:t>is</w:t>
      </w:r>
      <w:r>
        <w:rPr>
          <w:rFonts w:ascii="Verdana" w:eastAsia="Times New Roman" w:hAnsi="Verdana" w:cs="Times New Roman"/>
          <w:color w:val="333333"/>
          <w:sz w:val="20"/>
          <w:szCs w:val="20"/>
          <w:lang w:eastAsia="en-GB"/>
        </w:rPr>
        <w:t xml:space="preserve"> poorly documented and </w:t>
      </w:r>
      <w:r w:rsidR="00E24598">
        <w:rPr>
          <w:rFonts w:ascii="Verdana" w:eastAsia="Times New Roman" w:hAnsi="Verdana" w:cs="Times New Roman"/>
          <w:color w:val="333333"/>
          <w:sz w:val="20"/>
          <w:szCs w:val="20"/>
          <w:lang w:eastAsia="en-GB"/>
        </w:rPr>
        <w:t>limited information persists</w:t>
      </w:r>
      <w:r>
        <w:rPr>
          <w:rFonts w:ascii="Verdana" w:eastAsia="Times New Roman" w:hAnsi="Verdana" w:cs="Times New Roman"/>
          <w:color w:val="333333"/>
          <w:sz w:val="20"/>
          <w:szCs w:val="20"/>
          <w:lang w:eastAsia="en-GB"/>
        </w:rPr>
        <w:t xml:space="preserve"> to </w:t>
      </w:r>
      <w:r w:rsidR="00E24598">
        <w:rPr>
          <w:rFonts w:ascii="Verdana" w:eastAsia="Times New Roman" w:hAnsi="Verdana" w:cs="Times New Roman"/>
          <w:color w:val="333333"/>
          <w:sz w:val="20"/>
          <w:szCs w:val="20"/>
          <w:lang w:eastAsia="en-GB"/>
        </w:rPr>
        <w:t>guide (in situ) investments in CWR diversity.</w:t>
      </w:r>
      <w:r>
        <w:rPr>
          <w:rFonts w:ascii="Verdana" w:eastAsia="Times New Roman" w:hAnsi="Verdana" w:cs="Times New Roman"/>
          <w:color w:val="333333"/>
          <w:sz w:val="20"/>
          <w:szCs w:val="20"/>
          <w:lang w:eastAsia="en-GB"/>
        </w:rPr>
        <w:t xml:space="preserve"> </w:t>
      </w:r>
      <w:r w:rsidR="00E24598">
        <w:rPr>
          <w:rFonts w:ascii="Verdana" w:eastAsia="Times New Roman" w:hAnsi="Verdana" w:cs="Times New Roman"/>
          <w:color w:val="333333"/>
          <w:sz w:val="20"/>
          <w:szCs w:val="20"/>
          <w:lang w:eastAsia="en-GB"/>
        </w:rPr>
        <w:t xml:space="preserve">Greater appreciation of proximate indicators of diversity may support optimised investment strategies that minimise overlap in collections. </w:t>
      </w:r>
    </w:p>
    <w:p w:rsidR="00D20504" w:rsidRPr="007D02ED" w:rsidRDefault="00D20504"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We show </w:t>
      </w:r>
      <w:r w:rsidR="00AB2B03">
        <w:rPr>
          <w:rFonts w:ascii="Verdana" w:eastAsia="Times New Roman" w:hAnsi="Verdana" w:cs="Times New Roman"/>
          <w:color w:val="333333"/>
          <w:sz w:val="20"/>
          <w:szCs w:val="20"/>
          <w:lang w:eastAsia="en-GB"/>
        </w:rPr>
        <w:t xml:space="preserve">differentiated </w:t>
      </w:r>
      <w:r>
        <w:rPr>
          <w:rFonts w:ascii="Verdana" w:eastAsia="Times New Roman" w:hAnsi="Verdana" w:cs="Times New Roman"/>
          <w:color w:val="333333"/>
          <w:sz w:val="20"/>
          <w:szCs w:val="20"/>
          <w:lang w:eastAsia="en-GB"/>
        </w:rPr>
        <w:t xml:space="preserve">conservation strategies </w:t>
      </w:r>
      <w:r w:rsidR="00AB2B03">
        <w:rPr>
          <w:rFonts w:ascii="Verdana" w:eastAsia="Times New Roman" w:hAnsi="Verdana" w:cs="Times New Roman"/>
          <w:color w:val="333333"/>
          <w:sz w:val="20"/>
          <w:szCs w:val="20"/>
          <w:lang w:eastAsia="en-GB"/>
        </w:rPr>
        <w:t>should be implemented</w:t>
      </w:r>
      <w:r>
        <w:rPr>
          <w:rFonts w:ascii="Verdana" w:eastAsia="Times New Roman" w:hAnsi="Verdana" w:cs="Times New Roman"/>
          <w:color w:val="333333"/>
          <w:sz w:val="20"/>
          <w:szCs w:val="20"/>
          <w:lang w:eastAsia="en-GB"/>
        </w:rPr>
        <w:t xml:space="preserve"> for some species. Capturing very rare CWR through in situ approaches may add considerable cost to schemes, suggesting ex situ approaches</w:t>
      </w:r>
      <w:r w:rsidR="00AB2B03">
        <w:rPr>
          <w:rFonts w:ascii="Verdana" w:eastAsia="Times New Roman" w:hAnsi="Verdana" w:cs="Times New Roman"/>
          <w:color w:val="333333"/>
          <w:sz w:val="20"/>
          <w:szCs w:val="20"/>
          <w:lang w:eastAsia="en-GB"/>
        </w:rPr>
        <w:t xml:space="preserve"> or the use of genetic reserves</w:t>
      </w:r>
      <w:r>
        <w:rPr>
          <w:rFonts w:ascii="Verdana" w:eastAsia="Times New Roman" w:hAnsi="Verdana" w:cs="Times New Roman"/>
          <w:color w:val="333333"/>
          <w:sz w:val="20"/>
          <w:szCs w:val="20"/>
          <w:lang w:eastAsia="en-GB"/>
        </w:rPr>
        <w:t xml:space="preserve"> may be more appropriate. Simply put, there is an underexplored trade-off between maximising </w:t>
      </w:r>
      <w:r w:rsidR="00AB2B03">
        <w:rPr>
          <w:rFonts w:ascii="Verdana" w:eastAsia="Times New Roman" w:hAnsi="Verdana" w:cs="Times New Roman"/>
          <w:color w:val="333333"/>
          <w:sz w:val="20"/>
          <w:szCs w:val="20"/>
          <w:lang w:eastAsia="en-GB"/>
        </w:rPr>
        <w:t xml:space="preserve">the rate of return from conservation investments and </w:t>
      </w:r>
      <w:r w:rsidR="007B78A4">
        <w:rPr>
          <w:rFonts w:ascii="Verdana" w:eastAsia="Times New Roman" w:hAnsi="Verdana" w:cs="Times New Roman"/>
          <w:color w:val="333333"/>
          <w:sz w:val="20"/>
          <w:szCs w:val="20"/>
          <w:lang w:eastAsia="en-GB"/>
        </w:rPr>
        <w:t xml:space="preserve">the </w:t>
      </w:r>
      <w:r w:rsidR="00AB2B03">
        <w:rPr>
          <w:rFonts w:ascii="Verdana" w:eastAsia="Times New Roman" w:hAnsi="Verdana" w:cs="Times New Roman"/>
          <w:color w:val="333333"/>
          <w:sz w:val="20"/>
          <w:szCs w:val="20"/>
          <w:lang w:eastAsia="en-GB"/>
        </w:rPr>
        <w:t xml:space="preserve">conservation approach employed.  </w:t>
      </w:r>
    </w:p>
    <w:p w:rsidR="007D02ED" w:rsidRPr="008A3718" w:rsidRDefault="00DE639F"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Competitive tenders have been relatively under-explor</w:t>
      </w:r>
      <w:r w:rsidR="0045251C">
        <w:rPr>
          <w:rFonts w:ascii="Verdana" w:eastAsia="Times New Roman" w:hAnsi="Verdana" w:cs="Times New Roman"/>
          <w:color w:val="333333"/>
          <w:sz w:val="20"/>
          <w:szCs w:val="20"/>
          <w:lang w:eastAsia="en-GB"/>
        </w:rPr>
        <w:t xml:space="preserve">ed in developing countries </w:t>
      </w:r>
      <w:r w:rsidR="0045251C">
        <w:rPr>
          <w:rFonts w:ascii="Verdana" w:eastAsia="Times New Roman" w:hAnsi="Verdana" w:cs="Times New Roman"/>
          <w:color w:val="333333"/>
          <w:sz w:val="20"/>
          <w:szCs w:val="20"/>
          <w:lang w:eastAsia="en-GB"/>
        </w:rPr>
        <w:fldChar w:fldCharType="begin" w:fldLock="1"/>
      </w:r>
      <w:r w:rsidR="0045251C">
        <w:rPr>
          <w:rFonts w:ascii="Verdana" w:eastAsia="Times New Roman" w:hAnsi="Verdana" w:cs="Times New Roman"/>
          <w:color w:val="333333"/>
          <w:sz w:val="20"/>
          <w:szCs w:val="20"/>
          <w:lang w:eastAsia="en-GB"/>
        </w:rPr>
        <w:instrText>ADDIN CSL_CITATION { "citationItems" : [ { "id" : "ITEM-1", "itemData" : { "ISSN" : "0264-8377", "author" : [ { "dropping-particle" : "", "family" : "Whitten", "given" : "Stuart M", "non-dropping-particle" : "", "parse-names" : false, "suffix" : "" }, { "dropping-particle" : "", "family" : "W\u00fcnscher", "given" : "Tobias", "non-dropping-particle" : "", "parse-names" : false, "suffix" : "" }, { "dropping-particle" : "", "family" : "Shogren", "given" : "Jason F", "non-dropping-particle" : "", "parse-names" : false, "suffix" : "" } ], "container-title" : "Land Use Policy", "id" : "ITEM-1", "issued" : { "date-parts" : [ [ "2017" ] ] }, "page" : "552-560", "publisher" : "Elsevier", "title" : "Conservation tenders in developed and developing countries\u2212 status quo, challenges and prospects", "type" : "article-journal", "volume" : "63" }, "uris" : [ "http://www.mendeley.com/documents/?uuid=3893ff97-c2b9-4074-9850-92633ad55858" ] } ], "mendeley" : { "formattedCitation" : "(Whitten et al., 2017)", "plainTextFormattedCitation" : "(Whitten et al., 2017)" }, "properties" : { "noteIndex" : 0 }, "schema" : "https://github.com/citation-style-language/schema/raw/master/csl-citation.json" }</w:instrText>
      </w:r>
      <w:r w:rsidR="0045251C">
        <w:rPr>
          <w:rFonts w:ascii="Verdana" w:eastAsia="Times New Roman" w:hAnsi="Verdana" w:cs="Times New Roman"/>
          <w:color w:val="333333"/>
          <w:sz w:val="20"/>
          <w:szCs w:val="20"/>
          <w:lang w:eastAsia="en-GB"/>
        </w:rPr>
        <w:fldChar w:fldCharType="separate"/>
      </w:r>
      <w:r w:rsidR="0045251C" w:rsidRPr="0045251C">
        <w:rPr>
          <w:rFonts w:ascii="Verdana" w:eastAsia="Times New Roman" w:hAnsi="Verdana" w:cs="Times New Roman"/>
          <w:noProof/>
          <w:color w:val="333333"/>
          <w:sz w:val="20"/>
          <w:szCs w:val="20"/>
          <w:lang w:eastAsia="en-GB"/>
        </w:rPr>
        <w:t>(Whitten et al., 2017)</w:t>
      </w:r>
      <w:r w:rsidR="0045251C">
        <w:rPr>
          <w:rFonts w:ascii="Verdana" w:eastAsia="Times New Roman" w:hAnsi="Verdana" w:cs="Times New Roman"/>
          <w:color w:val="333333"/>
          <w:sz w:val="20"/>
          <w:szCs w:val="20"/>
          <w:lang w:eastAsia="en-GB"/>
        </w:rPr>
        <w:fldChar w:fldCharType="end"/>
      </w:r>
      <w:r>
        <w:rPr>
          <w:rFonts w:ascii="Verdana" w:eastAsia="Times New Roman" w:hAnsi="Verdana" w:cs="Times New Roman"/>
          <w:color w:val="333333"/>
          <w:sz w:val="20"/>
          <w:szCs w:val="20"/>
          <w:lang w:eastAsia="en-GB"/>
        </w:rPr>
        <w:t xml:space="preserve"> yet we show capable application for such approaches to determine cost data for conservation activities. The application of a BLP model demonstrates discriminatory payment rules can result in cost effectiveness improvements over uniform payment rules and we suggest the use of auction mechanisms for supplying PACS (but also PES) has merit over traditional, fixed price approaches. </w:t>
      </w:r>
    </w:p>
    <w:p w:rsidR="008A3718" w:rsidRDefault="008A3718" w:rsidP="008A3718">
      <w:pPr>
        <w:shd w:val="clear" w:color="auto" w:fill="FFFFFF"/>
        <w:spacing w:after="0" w:line="351" w:lineRule="atLeast"/>
        <w:textAlignment w:val="baseline"/>
        <w:rPr>
          <w:rFonts w:ascii="Verdana" w:eastAsia="Times New Roman" w:hAnsi="Verdana" w:cs="Times New Roman"/>
          <w:b/>
          <w:color w:val="333333"/>
          <w:sz w:val="20"/>
          <w:szCs w:val="20"/>
          <w:lang w:eastAsia="en-GB"/>
        </w:rPr>
      </w:pPr>
    </w:p>
    <w:p w:rsidR="008A3718" w:rsidRPr="008A3718" w:rsidRDefault="008A3718" w:rsidP="008A3718">
      <w:p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b/>
          <w:color w:val="333333"/>
          <w:sz w:val="20"/>
          <w:szCs w:val="20"/>
          <w:lang w:eastAsia="en-GB"/>
        </w:rPr>
        <w:t>UK MCDA</w:t>
      </w:r>
    </w:p>
    <w:p w:rsidR="00D20C0E" w:rsidRPr="00D20C0E" w:rsidRDefault="00D20C0E" w:rsidP="00D20C0E">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This application is the first to rationalise breed incentive support based on the MCDA framework and we suggest capable application to guide investments in the use and non-use value attributes of breeds. </w:t>
      </w:r>
    </w:p>
    <w:p w:rsidR="00D20C0E" w:rsidRPr="00DA6F28" w:rsidRDefault="00EA4133"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Severe</w:t>
      </w:r>
      <w:r w:rsidR="00C4609F">
        <w:rPr>
          <w:rFonts w:ascii="Verdana" w:eastAsia="Times New Roman" w:hAnsi="Verdana" w:cs="Times New Roman"/>
          <w:color w:val="333333"/>
          <w:sz w:val="20"/>
          <w:szCs w:val="20"/>
          <w:lang w:eastAsia="en-GB"/>
        </w:rPr>
        <w:t>l</w:t>
      </w:r>
      <w:bookmarkStart w:id="0" w:name="_GoBack"/>
      <w:bookmarkEnd w:id="0"/>
      <w:r>
        <w:rPr>
          <w:rFonts w:ascii="Verdana" w:eastAsia="Times New Roman" w:hAnsi="Verdana" w:cs="Times New Roman"/>
          <w:color w:val="333333"/>
          <w:sz w:val="20"/>
          <w:szCs w:val="20"/>
          <w:lang w:eastAsia="en-GB"/>
        </w:rPr>
        <w:t xml:space="preserve"> data gaps persist for rare breeds that constrain conservation decision making. There is a need to apply established and novel genetic technologies to explore traditional and rare breed traits that may </w:t>
      </w:r>
      <w:r w:rsidR="00BD4F41">
        <w:rPr>
          <w:rFonts w:ascii="Verdana" w:eastAsia="Times New Roman" w:hAnsi="Verdana" w:cs="Times New Roman"/>
          <w:color w:val="333333"/>
          <w:sz w:val="20"/>
          <w:szCs w:val="20"/>
          <w:lang w:eastAsia="en-GB"/>
        </w:rPr>
        <w:t>inform conservation spending</w:t>
      </w:r>
      <w:r w:rsidR="00300EEA">
        <w:rPr>
          <w:rFonts w:ascii="Verdana" w:eastAsia="Times New Roman" w:hAnsi="Verdana" w:cs="Times New Roman"/>
          <w:color w:val="333333"/>
          <w:sz w:val="20"/>
          <w:szCs w:val="20"/>
          <w:lang w:eastAsia="en-GB"/>
        </w:rPr>
        <w:t xml:space="preserve">. The former undermines arguments to conserve for ‘option value’ sake alone. </w:t>
      </w:r>
    </w:p>
    <w:p w:rsidR="00DA6F28" w:rsidRPr="00196C82" w:rsidRDefault="00A44EF2"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Our work suggests endangerment, diversity and lastly marketability should be </w:t>
      </w:r>
      <w:r w:rsidR="00196C82">
        <w:rPr>
          <w:rFonts w:ascii="Verdana" w:eastAsia="Times New Roman" w:hAnsi="Verdana" w:cs="Times New Roman"/>
          <w:color w:val="333333"/>
          <w:sz w:val="20"/>
          <w:szCs w:val="20"/>
          <w:lang w:eastAsia="en-GB"/>
        </w:rPr>
        <w:t xml:space="preserve">systematically </w:t>
      </w:r>
      <w:r>
        <w:rPr>
          <w:rFonts w:ascii="Verdana" w:eastAsia="Times New Roman" w:hAnsi="Verdana" w:cs="Times New Roman"/>
          <w:color w:val="333333"/>
          <w:sz w:val="20"/>
          <w:szCs w:val="20"/>
          <w:lang w:eastAsia="en-GB"/>
        </w:rPr>
        <w:t>promoted as reasons for conservation.</w:t>
      </w:r>
      <w:r w:rsidR="00196C82">
        <w:rPr>
          <w:rFonts w:ascii="Verdana" w:eastAsia="Times New Roman" w:hAnsi="Verdana" w:cs="Times New Roman"/>
          <w:color w:val="333333"/>
          <w:sz w:val="20"/>
          <w:szCs w:val="20"/>
          <w:lang w:eastAsia="en-GB"/>
        </w:rPr>
        <w:t xml:space="preserve"> The most important criteria to inform conservation decisions as deemed by experts was X and X.</w:t>
      </w:r>
      <w:r>
        <w:rPr>
          <w:rFonts w:ascii="Verdana" w:eastAsia="Times New Roman" w:hAnsi="Verdana" w:cs="Times New Roman"/>
          <w:color w:val="333333"/>
          <w:sz w:val="20"/>
          <w:szCs w:val="20"/>
          <w:lang w:eastAsia="en-GB"/>
        </w:rPr>
        <w:t xml:space="preserve">  </w:t>
      </w:r>
    </w:p>
    <w:p w:rsidR="00196C82" w:rsidRPr="00782C2C" w:rsidRDefault="002F19CC"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b/>
          <w:color w:val="333333"/>
          <w:sz w:val="20"/>
          <w:szCs w:val="20"/>
          <w:lang w:eastAsia="en-GB"/>
        </w:rPr>
      </w:pPr>
      <w:r>
        <w:rPr>
          <w:rFonts w:ascii="Verdana" w:eastAsia="Times New Roman" w:hAnsi="Verdana" w:cs="Times New Roman"/>
          <w:color w:val="333333"/>
          <w:sz w:val="20"/>
          <w:szCs w:val="20"/>
          <w:lang w:eastAsia="en-GB"/>
        </w:rPr>
        <w:t xml:space="preserve">We show how the allocation of a Breed Improvement Fund (BIF) varies depending on the scheme objectives that target different value attributes of diversity. </w:t>
      </w:r>
      <w:r w:rsidR="00E51264">
        <w:rPr>
          <w:rFonts w:ascii="Verdana" w:eastAsia="Times New Roman" w:hAnsi="Verdana" w:cs="Times New Roman"/>
          <w:color w:val="333333"/>
          <w:sz w:val="20"/>
          <w:szCs w:val="20"/>
          <w:lang w:eastAsia="en-GB"/>
        </w:rPr>
        <w:t xml:space="preserve">This </w:t>
      </w:r>
      <w:r w:rsidR="00E51264">
        <w:rPr>
          <w:rFonts w:ascii="Verdana" w:eastAsia="Times New Roman" w:hAnsi="Verdana" w:cs="Times New Roman"/>
          <w:color w:val="333333"/>
          <w:sz w:val="20"/>
          <w:szCs w:val="20"/>
          <w:lang w:eastAsia="en-GB"/>
        </w:rPr>
        <w:lastRenderedPageBreak/>
        <w:t xml:space="preserve">provides important basis for clearly defining the objective of an (agrobiodiversity) scheme and the associated variation in scheme cost. </w:t>
      </w:r>
    </w:p>
    <w:p w:rsidR="001341C9" w:rsidRDefault="00782C2C" w:rsidP="009C17A8">
      <w:pPr>
        <w:pStyle w:val="ListParagraph"/>
        <w:numPr>
          <w:ilvl w:val="0"/>
          <w:numId w:val="10"/>
        </w:numPr>
        <w:shd w:val="clear" w:color="auto" w:fill="FFFFFF"/>
        <w:spacing w:after="0" w:line="351" w:lineRule="atLeast"/>
        <w:textAlignment w:val="baseline"/>
        <w:rPr>
          <w:rFonts w:ascii="Verdana" w:eastAsia="Times New Roman" w:hAnsi="Verdana" w:cs="Times New Roman"/>
          <w:color w:val="333333"/>
          <w:sz w:val="20"/>
          <w:szCs w:val="20"/>
          <w:lang w:eastAsia="en-GB"/>
        </w:rPr>
      </w:pPr>
      <w:r w:rsidRPr="00782C2C">
        <w:rPr>
          <w:rFonts w:ascii="Verdana" w:eastAsia="Times New Roman" w:hAnsi="Verdana" w:cs="Times New Roman"/>
          <w:color w:val="333333"/>
          <w:sz w:val="20"/>
          <w:szCs w:val="20"/>
          <w:lang w:eastAsia="en-GB"/>
        </w:rPr>
        <w:t>A PCA on the criteria employed</w:t>
      </w:r>
      <w:r>
        <w:rPr>
          <w:rFonts w:ascii="Verdana" w:eastAsia="Times New Roman" w:hAnsi="Verdana" w:cs="Times New Roman"/>
          <w:color w:val="333333"/>
          <w:sz w:val="20"/>
          <w:szCs w:val="20"/>
          <w:lang w:eastAsia="en-GB"/>
        </w:rPr>
        <w:t xml:space="preserve"> for rationalisation suggests some correlation, implying these could be reduced. </w:t>
      </w:r>
      <w:r w:rsidR="001341C9">
        <w:rPr>
          <w:rFonts w:ascii="Verdana" w:eastAsia="Times New Roman" w:hAnsi="Verdana" w:cs="Times New Roman"/>
          <w:color w:val="333333"/>
          <w:sz w:val="20"/>
          <w:szCs w:val="20"/>
          <w:lang w:eastAsia="en-GB"/>
        </w:rPr>
        <w:t>However,</w:t>
      </w:r>
      <w:r>
        <w:rPr>
          <w:rFonts w:ascii="Verdana" w:eastAsia="Times New Roman" w:hAnsi="Verdana" w:cs="Times New Roman"/>
          <w:color w:val="333333"/>
          <w:sz w:val="20"/>
          <w:szCs w:val="20"/>
          <w:lang w:eastAsia="en-GB"/>
        </w:rPr>
        <w:t xml:space="preserve"> we </w:t>
      </w:r>
      <w:r w:rsidR="001341C9">
        <w:rPr>
          <w:rFonts w:ascii="Verdana" w:eastAsia="Times New Roman" w:hAnsi="Verdana" w:cs="Times New Roman"/>
          <w:color w:val="333333"/>
          <w:sz w:val="20"/>
          <w:szCs w:val="20"/>
          <w:lang w:eastAsia="en-GB"/>
        </w:rPr>
        <w:t xml:space="preserve">also </w:t>
      </w:r>
      <w:r>
        <w:rPr>
          <w:rFonts w:ascii="Verdana" w:eastAsia="Times New Roman" w:hAnsi="Verdana" w:cs="Times New Roman"/>
          <w:color w:val="333333"/>
          <w:sz w:val="20"/>
          <w:szCs w:val="20"/>
          <w:lang w:eastAsia="en-GB"/>
        </w:rPr>
        <w:t xml:space="preserve">suggest further work to increase the scope of criteria included may capture other </w:t>
      </w:r>
      <w:r w:rsidR="001341C9">
        <w:rPr>
          <w:rFonts w:ascii="Verdana" w:eastAsia="Times New Roman" w:hAnsi="Verdana" w:cs="Times New Roman"/>
          <w:color w:val="333333"/>
          <w:sz w:val="20"/>
          <w:szCs w:val="20"/>
          <w:lang w:eastAsia="en-GB"/>
        </w:rPr>
        <w:t>proximate use and non-</w:t>
      </w:r>
      <w:r>
        <w:rPr>
          <w:rFonts w:ascii="Verdana" w:eastAsia="Times New Roman" w:hAnsi="Verdana" w:cs="Times New Roman"/>
          <w:color w:val="333333"/>
          <w:sz w:val="20"/>
          <w:szCs w:val="20"/>
          <w:lang w:eastAsia="en-GB"/>
        </w:rPr>
        <w:t>values</w:t>
      </w:r>
      <w:r w:rsidR="001341C9">
        <w:rPr>
          <w:rFonts w:ascii="Verdana" w:eastAsia="Times New Roman" w:hAnsi="Verdana" w:cs="Times New Roman"/>
          <w:color w:val="333333"/>
          <w:sz w:val="20"/>
          <w:szCs w:val="20"/>
          <w:lang w:eastAsia="en-GB"/>
        </w:rPr>
        <w:t xml:space="preserve"> of preservation.  </w:t>
      </w:r>
    </w:p>
    <w:p w:rsidR="00581511" w:rsidRDefault="00062933" w:rsidP="003C74CC">
      <w:pPr>
        <w:pStyle w:val="ListParagraph"/>
        <w:numPr>
          <w:ilvl w:val="0"/>
          <w:numId w:val="10"/>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Addressing opponents for conservation triage, we </w:t>
      </w:r>
      <w:r w:rsidR="003C74CC">
        <w:rPr>
          <w:rFonts w:ascii="Verdana" w:eastAsia="Times New Roman" w:hAnsi="Verdana" w:cs="Times New Roman"/>
          <w:color w:val="333333"/>
          <w:sz w:val="20"/>
          <w:szCs w:val="20"/>
          <w:lang w:eastAsia="en-GB"/>
        </w:rPr>
        <w:t>suggest</w:t>
      </w:r>
      <w:r>
        <w:rPr>
          <w:rFonts w:ascii="Verdana" w:eastAsia="Times New Roman" w:hAnsi="Verdana" w:cs="Times New Roman"/>
          <w:color w:val="333333"/>
          <w:sz w:val="20"/>
          <w:szCs w:val="20"/>
          <w:lang w:eastAsia="en-GB"/>
        </w:rPr>
        <w:t xml:space="preserve"> </w:t>
      </w:r>
      <w:r w:rsidR="003C74CC">
        <w:rPr>
          <w:rFonts w:ascii="Verdana" w:eastAsia="Times New Roman" w:hAnsi="Verdana" w:cs="Times New Roman"/>
          <w:color w:val="333333"/>
          <w:sz w:val="20"/>
          <w:szCs w:val="20"/>
          <w:lang w:eastAsia="en-GB"/>
        </w:rPr>
        <w:t>conservation of</w:t>
      </w:r>
      <w:r>
        <w:rPr>
          <w:rFonts w:ascii="Verdana" w:eastAsia="Times New Roman" w:hAnsi="Verdana" w:cs="Times New Roman"/>
          <w:color w:val="333333"/>
          <w:sz w:val="20"/>
          <w:szCs w:val="20"/>
          <w:lang w:eastAsia="en-GB"/>
        </w:rPr>
        <w:t xml:space="preserve"> farm animal and crop diversity </w:t>
      </w:r>
      <w:r w:rsidR="003C74CC">
        <w:rPr>
          <w:rFonts w:ascii="Verdana" w:eastAsia="Times New Roman" w:hAnsi="Verdana" w:cs="Times New Roman"/>
          <w:color w:val="333333"/>
          <w:sz w:val="20"/>
          <w:szCs w:val="20"/>
          <w:lang w:eastAsia="en-GB"/>
        </w:rPr>
        <w:t>may</w:t>
      </w:r>
      <w:r>
        <w:rPr>
          <w:rFonts w:ascii="Verdana" w:eastAsia="Times New Roman" w:hAnsi="Verdana" w:cs="Times New Roman"/>
          <w:color w:val="333333"/>
          <w:sz w:val="20"/>
          <w:szCs w:val="20"/>
          <w:lang w:eastAsia="en-GB"/>
        </w:rPr>
        <w:t xml:space="preserve"> circumnavigate many issues </w:t>
      </w:r>
      <w:r w:rsidR="003C74CC">
        <w:rPr>
          <w:rFonts w:ascii="Verdana" w:eastAsia="Times New Roman" w:hAnsi="Verdana" w:cs="Times New Roman"/>
          <w:color w:val="333333"/>
          <w:sz w:val="20"/>
          <w:szCs w:val="20"/>
          <w:lang w:eastAsia="en-GB"/>
        </w:rPr>
        <w:t>triage, namely because this diversity is “human-induced” and not the product of natural selection.</w:t>
      </w:r>
    </w:p>
    <w:p w:rsidR="003A3F29" w:rsidRDefault="009F71D6" w:rsidP="003C74CC">
      <w:pPr>
        <w:pStyle w:val="ListParagraph"/>
        <w:numPr>
          <w:ilvl w:val="0"/>
          <w:numId w:val="10"/>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In the UK, Brexit </w:t>
      </w:r>
      <w:r w:rsidR="001667F5">
        <w:rPr>
          <w:rFonts w:ascii="Verdana" w:eastAsia="Times New Roman" w:hAnsi="Verdana" w:cs="Times New Roman"/>
          <w:color w:val="333333"/>
          <w:sz w:val="20"/>
          <w:szCs w:val="20"/>
          <w:lang w:eastAsia="en-GB"/>
        </w:rPr>
        <w:t xml:space="preserve">is impacting future rural policy. There is a need to demonstrate public monies are being used for public goods through the construction of new policy approaches that </w:t>
      </w:r>
      <w:r w:rsidR="00257441">
        <w:rPr>
          <w:rFonts w:ascii="Verdana" w:eastAsia="Times New Roman" w:hAnsi="Verdana" w:cs="Times New Roman"/>
          <w:color w:val="333333"/>
          <w:sz w:val="20"/>
          <w:szCs w:val="20"/>
          <w:lang w:eastAsia="en-GB"/>
        </w:rPr>
        <w:t>rationalise breed support to transact for demand and supply the broader range of use and non-use values of diversity.</w:t>
      </w:r>
    </w:p>
    <w:p w:rsidR="001667F5" w:rsidRDefault="003A3F29" w:rsidP="003C74CC">
      <w:pPr>
        <w:pStyle w:val="ListParagraph"/>
        <w:numPr>
          <w:ilvl w:val="0"/>
          <w:numId w:val="10"/>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Exploring the use of conservation tenders to identify least cost suppliers of agrobiodiveristy conservation services in the UK appears warranted.  </w:t>
      </w:r>
      <w:r w:rsidR="00257441">
        <w:rPr>
          <w:rFonts w:ascii="Verdana" w:eastAsia="Times New Roman" w:hAnsi="Verdana" w:cs="Times New Roman"/>
          <w:color w:val="333333"/>
          <w:sz w:val="20"/>
          <w:szCs w:val="20"/>
          <w:lang w:eastAsia="en-GB"/>
        </w:rPr>
        <w:t xml:space="preserve"> </w:t>
      </w:r>
      <w:r w:rsidR="001667F5">
        <w:rPr>
          <w:rFonts w:ascii="Verdana" w:eastAsia="Times New Roman" w:hAnsi="Verdana" w:cs="Times New Roman"/>
          <w:color w:val="333333"/>
          <w:sz w:val="20"/>
          <w:szCs w:val="20"/>
          <w:lang w:eastAsia="en-GB"/>
        </w:rPr>
        <w:t xml:space="preserve"> </w:t>
      </w:r>
    </w:p>
    <w:p w:rsidR="003C74CC" w:rsidRPr="003C74CC" w:rsidRDefault="003C74CC" w:rsidP="003C74CC">
      <w:pPr>
        <w:shd w:val="clear" w:color="auto" w:fill="FFFFFF"/>
        <w:spacing w:after="0" w:line="351" w:lineRule="atLeast"/>
        <w:textAlignment w:val="baseline"/>
        <w:rPr>
          <w:rFonts w:ascii="Verdana" w:eastAsia="Times New Roman" w:hAnsi="Verdana" w:cs="Times New Roman"/>
          <w:color w:val="333333"/>
          <w:sz w:val="20"/>
          <w:szCs w:val="20"/>
          <w:lang w:eastAsia="en-GB"/>
        </w:rPr>
      </w:pPr>
    </w:p>
    <w:p w:rsidR="00074B53" w:rsidRPr="00581511" w:rsidRDefault="00074B53" w:rsidP="00581511">
      <w:pPr>
        <w:pStyle w:val="ListParagraph"/>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581511">
        <w:rPr>
          <w:rFonts w:ascii="Verdana" w:eastAsia="Times New Roman" w:hAnsi="Verdana" w:cs="Times New Roman"/>
          <w:b/>
          <w:bCs/>
          <w:i/>
          <w:iCs/>
          <w:color w:val="333333"/>
          <w:sz w:val="20"/>
          <w:szCs w:val="20"/>
          <w:bdr w:val="none" w:sz="0" w:space="0" w:color="auto" w:frame="1"/>
          <w:lang w:eastAsia="en-GB"/>
        </w:rPr>
        <w:t>What do I know now, that I didn’t know before?</w:t>
      </w:r>
      <w:r w:rsidRPr="00581511">
        <w:rPr>
          <w:rFonts w:ascii="Verdana" w:eastAsia="Times New Roman" w:hAnsi="Verdana" w:cs="Times New Roman"/>
          <w:color w:val="333333"/>
          <w:sz w:val="20"/>
          <w:szCs w:val="20"/>
          <w:lang w:eastAsia="en-GB"/>
        </w:rPr>
        <w:t> (e.g., before I read the literature or before I collected and analysed the data)</w:t>
      </w:r>
    </w:p>
    <w:p w:rsidR="00475EF3" w:rsidRDefault="00475EF3" w:rsidP="00475EF3">
      <w:pPr>
        <w:shd w:val="clear" w:color="auto" w:fill="FFFFFF"/>
        <w:spacing w:after="0" w:line="351" w:lineRule="atLeast"/>
        <w:textAlignment w:val="baseline"/>
        <w:rPr>
          <w:rFonts w:ascii="Verdana" w:eastAsia="Times New Roman" w:hAnsi="Verdana" w:cs="Times New Roman"/>
          <w:color w:val="333333"/>
          <w:sz w:val="20"/>
          <w:szCs w:val="20"/>
          <w:lang w:eastAsia="en-GB"/>
        </w:rPr>
      </w:pPr>
    </w:p>
    <w:p w:rsidR="003E0ADF" w:rsidRDefault="003E0ADF" w:rsidP="00960B6C">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FAnGR supply different facets of economic value located on the TEV spectrum. </w:t>
      </w:r>
    </w:p>
    <w:p w:rsidR="003E0ADF" w:rsidRDefault="003E0ADF" w:rsidP="00960B6C">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Agrobiodiversity c</w:t>
      </w:r>
      <w:r w:rsidR="00960B6C">
        <w:rPr>
          <w:rFonts w:ascii="Verdana" w:eastAsia="Times New Roman" w:hAnsi="Verdana" w:cs="Times New Roman"/>
          <w:color w:val="333333"/>
          <w:sz w:val="20"/>
          <w:szCs w:val="20"/>
          <w:lang w:eastAsia="en-GB"/>
        </w:rPr>
        <w:t xml:space="preserve">onservation schemes are poorly targeted and investments in diversity are blanket funded, which ultimately leads to </w:t>
      </w:r>
      <w:r>
        <w:rPr>
          <w:rFonts w:ascii="Verdana" w:eastAsia="Times New Roman" w:hAnsi="Verdana" w:cs="Times New Roman"/>
          <w:color w:val="333333"/>
          <w:sz w:val="20"/>
          <w:szCs w:val="20"/>
          <w:lang w:eastAsia="en-GB"/>
        </w:rPr>
        <w:t xml:space="preserve">cost inefficiencies and non-optimal supply of diversity as a public good. </w:t>
      </w:r>
    </w:p>
    <w:p w:rsidR="003E0ADF" w:rsidRDefault="007904F8" w:rsidP="00960B6C">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Subsides offered in the RDP did</w:t>
      </w:r>
      <w:r w:rsidR="003E0ADF">
        <w:rPr>
          <w:rFonts w:ascii="Verdana" w:eastAsia="Times New Roman" w:hAnsi="Verdana" w:cs="Times New Roman"/>
          <w:color w:val="333333"/>
          <w:sz w:val="20"/>
          <w:szCs w:val="20"/>
          <w:lang w:eastAsia="en-GB"/>
        </w:rPr>
        <w:t xml:space="preserve"> match the expectations of farmers in Romania for supplying FAnGR conservation services. </w:t>
      </w:r>
    </w:p>
    <w:p w:rsidR="007904F8" w:rsidRDefault="007904F8" w:rsidP="00960B6C">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Farmers currently keeping rare breeds may not necessarily be cheapest suppliers of conservation services. </w:t>
      </w:r>
    </w:p>
    <w:p w:rsidR="007904F8" w:rsidRDefault="007904F8" w:rsidP="00960B6C">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Farmers generally support conservation activities for conserving cultural heritage.</w:t>
      </w:r>
    </w:p>
    <w:p w:rsidR="007904F8" w:rsidRDefault="007904F8" w:rsidP="00960B6C">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 xml:space="preserve">Farmers WTA for conserving CWR in Zambia is heterogeneous. Large variations persist in farmers bid offers, and these vary </w:t>
      </w:r>
      <w:r w:rsidR="003C6779">
        <w:rPr>
          <w:rFonts w:ascii="Verdana" w:eastAsia="Times New Roman" w:hAnsi="Verdana" w:cs="Times New Roman"/>
          <w:color w:val="333333"/>
          <w:sz w:val="20"/>
          <w:szCs w:val="20"/>
          <w:lang w:eastAsia="en-GB"/>
        </w:rPr>
        <w:t>by</w:t>
      </w:r>
      <w:r>
        <w:rPr>
          <w:rFonts w:ascii="Verdana" w:eastAsia="Times New Roman" w:hAnsi="Verdana" w:cs="Times New Roman"/>
          <w:color w:val="333333"/>
          <w:sz w:val="20"/>
          <w:szCs w:val="20"/>
          <w:lang w:eastAsia="en-GB"/>
        </w:rPr>
        <w:t xml:space="preserve"> community, land designation and ecoregion.</w:t>
      </w:r>
    </w:p>
    <w:p w:rsidR="0057093C" w:rsidRDefault="0057093C" w:rsidP="00475EF3">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sidRPr="0057093C">
        <w:rPr>
          <w:rFonts w:ascii="Verdana" w:eastAsia="Times New Roman" w:hAnsi="Verdana" w:cs="Times New Roman"/>
          <w:color w:val="333333"/>
          <w:sz w:val="20"/>
          <w:szCs w:val="20"/>
          <w:lang w:eastAsia="en-GB"/>
        </w:rPr>
        <w:t xml:space="preserve">Our results suggest a trade-off between diversity and social equity in agrobiodiveristy schemes. </w:t>
      </w:r>
      <w:r>
        <w:rPr>
          <w:rFonts w:ascii="Verdana" w:eastAsia="Times New Roman" w:hAnsi="Verdana" w:cs="Times New Roman"/>
          <w:color w:val="333333"/>
          <w:sz w:val="20"/>
          <w:szCs w:val="20"/>
          <w:lang w:eastAsia="en-GB"/>
        </w:rPr>
        <w:t>Clear guidance is needed to manage these factors in future scheme design.</w:t>
      </w:r>
    </w:p>
    <w:p w:rsidR="00892D64" w:rsidRDefault="0038549A" w:rsidP="00892D64">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Considering cost in scheme design can help inform the selection of appropriate conservation approaches (i.e. in situ or ex situ).</w:t>
      </w:r>
      <w:r w:rsidR="006134A9">
        <w:rPr>
          <w:rFonts w:ascii="Verdana" w:eastAsia="Times New Roman" w:hAnsi="Verdana" w:cs="Times New Roman"/>
          <w:color w:val="333333"/>
          <w:sz w:val="20"/>
          <w:szCs w:val="20"/>
          <w:lang w:eastAsia="en-GB"/>
        </w:rPr>
        <w:t xml:space="preserve"> </w:t>
      </w:r>
      <w:r w:rsidR="006134A9" w:rsidRPr="006134A9">
        <w:rPr>
          <w:rFonts w:ascii="Verdana" w:eastAsia="Times New Roman" w:hAnsi="Verdana" w:cs="Times New Roman"/>
          <w:color w:val="333333"/>
          <w:sz w:val="20"/>
          <w:szCs w:val="20"/>
          <w:lang w:eastAsia="en-GB"/>
        </w:rPr>
        <w:t xml:space="preserve">For instance, capturing rare populations </w:t>
      </w:r>
      <w:r w:rsidR="006134A9">
        <w:rPr>
          <w:rFonts w:ascii="Verdana" w:eastAsia="Times New Roman" w:hAnsi="Verdana" w:cs="Times New Roman"/>
          <w:color w:val="333333"/>
          <w:sz w:val="20"/>
          <w:szCs w:val="20"/>
          <w:lang w:eastAsia="en-GB"/>
        </w:rPr>
        <w:t xml:space="preserve">in situ </w:t>
      </w:r>
      <w:r w:rsidR="006134A9" w:rsidRPr="006134A9">
        <w:rPr>
          <w:rFonts w:ascii="Verdana" w:eastAsia="Times New Roman" w:hAnsi="Verdana" w:cs="Times New Roman"/>
          <w:color w:val="333333"/>
          <w:sz w:val="20"/>
          <w:szCs w:val="20"/>
          <w:lang w:eastAsia="en-GB"/>
        </w:rPr>
        <w:t>may entail excessive cost, suggesting alternative measures, such as ex situ</w:t>
      </w:r>
      <w:r w:rsidR="006134A9">
        <w:rPr>
          <w:rFonts w:ascii="Verdana" w:eastAsia="Times New Roman" w:hAnsi="Verdana" w:cs="Times New Roman"/>
          <w:color w:val="333333"/>
          <w:sz w:val="20"/>
          <w:szCs w:val="20"/>
          <w:lang w:eastAsia="en-GB"/>
        </w:rPr>
        <w:t xml:space="preserve"> storage</w:t>
      </w:r>
      <w:r w:rsidR="006134A9" w:rsidRPr="006134A9">
        <w:rPr>
          <w:rFonts w:ascii="Verdana" w:eastAsia="Times New Roman" w:hAnsi="Verdana" w:cs="Times New Roman"/>
          <w:color w:val="333333"/>
          <w:sz w:val="20"/>
          <w:szCs w:val="20"/>
          <w:lang w:eastAsia="en-GB"/>
        </w:rPr>
        <w:t xml:space="preserve">, may be more </w:t>
      </w:r>
      <w:r w:rsidR="006134A9">
        <w:rPr>
          <w:rFonts w:ascii="Verdana" w:eastAsia="Times New Roman" w:hAnsi="Verdana" w:cs="Times New Roman"/>
          <w:color w:val="333333"/>
          <w:sz w:val="20"/>
          <w:szCs w:val="20"/>
          <w:lang w:eastAsia="en-GB"/>
        </w:rPr>
        <w:t xml:space="preserve">appropriate. </w:t>
      </w:r>
    </w:p>
    <w:p w:rsidR="00943045" w:rsidRDefault="00892D64" w:rsidP="00892D64">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sidRPr="00892D64">
        <w:rPr>
          <w:rFonts w:ascii="Verdana" w:eastAsia="Times New Roman" w:hAnsi="Verdana" w:cs="Times New Roman"/>
          <w:color w:val="333333"/>
          <w:sz w:val="20"/>
          <w:szCs w:val="20"/>
          <w:lang w:eastAsia="en-GB"/>
        </w:rPr>
        <w:lastRenderedPageBreak/>
        <w:t xml:space="preserve">Rationalising investments in diversity may improve conservation outcomes. We show MCDA considers both extinction risk and the public benefits that may arise from </w:t>
      </w:r>
      <w:r>
        <w:rPr>
          <w:rFonts w:ascii="Verdana" w:eastAsia="Times New Roman" w:hAnsi="Verdana" w:cs="Times New Roman"/>
          <w:color w:val="333333"/>
          <w:sz w:val="20"/>
          <w:szCs w:val="20"/>
          <w:lang w:eastAsia="en-GB"/>
        </w:rPr>
        <w:t>conserving FAnGR</w:t>
      </w:r>
      <w:r w:rsidRPr="00892D64">
        <w:rPr>
          <w:rFonts w:ascii="Verdana" w:eastAsia="Times New Roman" w:hAnsi="Verdana" w:cs="Times New Roman"/>
          <w:color w:val="333333"/>
          <w:sz w:val="20"/>
          <w:szCs w:val="20"/>
          <w:lang w:eastAsia="en-GB"/>
        </w:rPr>
        <w:t>. This wider scope better considers the use and non-use values of diversity.</w:t>
      </w:r>
    </w:p>
    <w:p w:rsidR="00B53687" w:rsidRDefault="009A201C" w:rsidP="00892D64">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sidRPr="009A201C">
        <w:rPr>
          <w:rFonts w:ascii="Verdana" w:eastAsia="Times New Roman" w:hAnsi="Verdana" w:cs="Times New Roman"/>
          <w:color w:val="333333"/>
          <w:sz w:val="20"/>
          <w:szCs w:val="20"/>
          <w:lang w:eastAsia="en-GB"/>
        </w:rPr>
        <w:t>The hypothetical allocation of a BIF was sensitive to the conservation goal employed.</w:t>
      </w:r>
    </w:p>
    <w:p w:rsidR="00475EF3" w:rsidRDefault="00B42055" w:rsidP="002A0538">
      <w:pPr>
        <w:pStyle w:val="ListParagraph"/>
        <w:numPr>
          <w:ilvl w:val="0"/>
          <w:numId w:val="11"/>
        </w:numPr>
        <w:shd w:val="clear" w:color="auto" w:fill="FFFFFF"/>
        <w:spacing w:after="0" w:line="351" w:lineRule="atLeast"/>
        <w:textAlignment w:val="baseline"/>
        <w:rPr>
          <w:rFonts w:ascii="Verdana" w:eastAsia="Times New Roman" w:hAnsi="Verdana" w:cs="Times New Roman"/>
          <w:color w:val="333333"/>
          <w:sz w:val="20"/>
          <w:szCs w:val="20"/>
          <w:lang w:eastAsia="en-GB"/>
        </w:rPr>
      </w:pPr>
      <w:r>
        <w:rPr>
          <w:rFonts w:ascii="Verdana" w:eastAsia="Times New Roman" w:hAnsi="Verdana" w:cs="Times New Roman"/>
          <w:color w:val="333333"/>
          <w:sz w:val="20"/>
          <w:szCs w:val="20"/>
          <w:lang w:eastAsia="en-GB"/>
        </w:rPr>
        <w:t>A PCA revealed important relationships between some criteria. First, breeds with greater adaptability and hardiness were more likely to be used in conservation grazing schemes. Second, collection of breed germplasm (for genebanking) is rationalised by breed endangerment.</w:t>
      </w:r>
      <w:r w:rsidR="009B0F90">
        <w:rPr>
          <w:rFonts w:ascii="Verdana" w:eastAsia="Times New Roman" w:hAnsi="Verdana" w:cs="Times New Roman"/>
          <w:color w:val="333333"/>
          <w:sz w:val="20"/>
          <w:szCs w:val="20"/>
          <w:lang w:eastAsia="en-GB"/>
        </w:rPr>
        <w:t xml:space="preserve"> Third, diversity is </w:t>
      </w:r>
      <w:r w:rsidR="007359FC">
        <w:rPr>
          <w:rFonts w:ascii="Verdana" w:eastAsia="Times New Roman" w:hAnsi="Verdana" w:cs="Times New Roman"/>
          <w:color w:val="333333"/>
          <w:sz w:val="20"/>
          <w:szCs w:val="20"/>
          <w:lang w:eastAsia="en-GB"/>
        </w:rPr>
        <w:t xml:space="preserve">positively </w:t>
      </w:r>
      <w:r w:rsidR="009B0F90">
        <w:rPr>
          <w:rFonts w:ascii="Verdana" w:eastAsia="Times New Roman" w:hAnsi="Verdana" w:cs="Times New Roman"/>
          <w:color w:val="333333"/>
          <w:sz w:val="20"/>
          <w:szCs w:val="20"/>
          <w:lang w:eastAsia="en-GB"/>
        </w:rPr>
        <w:t>correlated with endangerment status</w:t>
      </w:r>
      <w:r w:rsidR="001A5328">
        <w:rPr>
          <w:rFonts w:ascii="Verdana" w:eastAsia="Times New Roman" w:hAnsi="Verdana" w:cs="Times New Roman"/>
          <w:color w:val="333333"/>
          <w:sz w:val="20"/>
          <w:szCs w:val="20"/>
          <w:lang w:eastAsia="en-GB"/>
        </w:rPr>
        <w:t xml:space="preserve"> (i.e. more diverse breeds are generally less endangered)</w:t>
      </w:r>
      <w:r w:rsidR="009B0F90">
        <w:rPr>
          <w:rFonts w:ascii="Verdana" w:eastAsia="Times New Roman" w:hAnsi="Verdana" w:cs="Times New Roman"/>
          <w:color w:val="333333"/>
          <w:sz w:val="20"/>
          <w:szCs w:val="20"/>
          <w:lang w:eastAsia="en-GB"/>
        </w:rPr>
        <w:t>.</w:t>
      </w:r>
      <w:r>
        <w:rPr>
          <w:rFonts w:ascii="Verdana" w:eastAsia="Times New Roman" w:hAnsi="Verdana" w:cs="Times New Roman"/>
          <w:color w:val="333333"/>
          <w:sz w:val="20"/>
          <w:szCs w:val="20"/>
          <w:lang w:eastAsia="en-GB"/>
        </w:rPr>
        <w:t xml:space="preserve">   </w:t>
      </w:r>
    </w:p>
    <w:p w:rsidR="002A0538" w:rsidRPr="002A0538" w:rsidRDefault="002A0538" w:rsidP="002A0538">
      <w:pPr>
        <w:pStyle w:val="ListParagraph"/>
        <w:shd w:val="clear" w:color="auto" w:fill="FFFFFF"/>
        <w:spacing w:after="0" w:line="351" w:lineRule="atLeast"/>
        <w:textAlignment w:val="baseline"/>
        <w:rPr>
          <w:rFonts w:ascii="Verdana" w:eastAsia="Times New Roman" w:hAnsi="Verdana" w:cs="Times New Roman"/>
          <w:color w:val="333333"/>
          <w:sz w:val="20"/>
          <w:szCs w:val="20"/>
          <w:lang w:eastAsia="en-GB"/>
        </w:rPr>
      </w:pPr>
    </w:p>
    <w:p w:rsidR="00706319" w:rsidRPr="002A0538" w:rsidRDefault="00706319" w:rsidP="00706319">
      <w:pPr>
        <w:shd w:val="clear" w:color="auto" w:fill="FFFFFF"/>
        <w:spacing w:after="345" w:line="351" w:lineRule="atLeast"/>
        <w:textAlignment w:val="baseline"/>
        <w:rPr>
          <w:rFonts w:ascii="Verdana" w:eastAsia="Times New Roman" w:hAnsi="Verdana" w:cs="Times New Roman"/>
          <w:b/>
          <w:color w:val="333333"/>
          <w:sz w:val="20"/>
          <w:szCs w:val="20"/>
          <w:lang w:eastAsia="en-GB"/>
        </w:rPr>
      </w:pPr>
      <w:r w:rsidRPr="002A0538">
        <w:rPr>
          <w:rFonts w:ascii="Verdana" w:eastAsia="Times New Roman" w:hAnsi="Verdana" w:cs="Times New Roman"/>
          <w:b/>
          <w:color w:val="333333"/>
          <w:sz w:val="20"/>
          <w:szCs w:val="20"/>
          <w:lang w:eastAsia="en-GB"/>
        </w:rPr>
        <w:t>Conclusions should do some or all of the following:</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remind the reader of the research problem and purpose and how they were addressed</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briefly summarise what has been covered in the paper</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make some kind of holistic assessment/judgement/ claim that pertains to the whole project (i.e., more than a descriptive summary)</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assess the value/relevance/ implications of the key findings in light of existing studies and literature</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‘speak’ to the Introduction</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outline implications of the study (for theory, practice, further research)</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comment on the findings that failed to support or only partially support the hypothesis or research questions directing the study</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refer to the limitations of the studies that may affect the validity or the generalisability of results</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make recommendations for further research</w:t>
      </w:r>
    </w:p>
    <w:p w:rsidR="00706319" w:rsidRPr="00706319" w:rsidRDefault="00706319" w:rsidP="00706319">
      <w:pPr>
        <w:numPr>
          <w:ilvl w:val="0"/>
          <w:numId w:val="6"/>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make claims for new knowledge/ contribution to knowledge.</w:t>
      </w:r>
    </w:p>
    <w:p w:rsidR="00706319" w:rsidRDefault="00706319" w:rsidP="00706319">
      <w:pPr>
        <w:shd w:val="clear" w:color="auto" w:fill="FFFFFF"/>
        <w:spacing w:after="0" w:line="351" w:lineRule="atLeast"/>
        <w:textAlignment w:val="baseline"/>
        <w:rPr>
          <w:rFonts w:ascii="Verdana" w:eastAsia="Times New Roman" w:hAnsi="Verdana" w:cs="Times New Roman"/>
          <w:color w:val="333333"/>
          <w:sz w:val="20"/>
          <w:szCs w:val="20"/>
          <w:lang w:eastAsia="en-GB"/>
        </w:rPr>
      </w:pPr>
    </w:p>
    <w:p w:rsidR="006976D6" w:rsidRDefault="006976D6" w:rsidP="00706319">
      <w:pPr>
        <w:shd w:val="clear" w:color="auto" w:fill="FFFFFF"/>
        <w:spacing w:after="345" w:line="351" w:lineRule="atLeast"/>
        <w:textAlignment w:val="baseline"/>
        <w:rPr>
          <w:rFonts w:ascii="Verdana" w:eastAsia="Times New Roman" w:hAnsi="Verdana" w:cs="Times New Roman"/>
          <w:color w:val="333333"/>
          <w:sz w:val="20"/>
          <w:szCs w:val="20"/>
          <w:lang w:eastAsia="en-GB"/>
        </w:rPr>
      </w:pPr>
    </w:p>
    <w:p w:rsidR="006976D6" w:rsidRPr="00706319" w:rsidRDefault="00706319" w:rsidP="00706319">
      <w:pPr>
        <w:shd w:val="clear" w:color="auto" w:fill="FFFFFF"/>
        <w:spacing w:after="345" w:line="351" w:lineRule="atLeast"/>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We know, for example, the structure of a Conclusion section in a thesis commonly follows these stages or moves:</w:t>
      </w:r>
    </w:p>
    <w:p w:rsidR="00706319" w:rsidRPr="00706319" w:rsidRDefault="00706319" w:rsidP="00706319">
      <w:pPr>
        <w:numPr>
          <w:ilvl w:val="0"/>
          <w:numId w:val="7"/>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An introductory restatement of research problem, aims and/or research question</w:t>
      </w:r>
    </w:p>
    <w:p w:rsidR="00706319" w:rsidRPr="00706319" w:rsidRDefault="00706319" w:rsidP="00706319">
      <w:pPr>
        <w:numPr>
          <w:ilvl w:val="0"/>
          <w:numId w:val="7"/>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A summary of findings and limitations</w:t>
      </w:r>
    </w:p>
    <w:p w:rsidR="00706319" w:rsidRPr="00706319" w:rsidRDefault="00706319" w:rsidP="00706319">
      <w:pPr>
        <w:numPr>
          <w:ilvl w:val="0"/>
          <w:numId w:val="7"/>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Practical applications/implications</w:t>
      </w:r>
    </w:p>
    <w:p w:rsidR="00706319" w:rsidRPr="00706319" w:rsidRDefault="00706319" w:rsidP="00706319">
      <w:pPr>
        <w:numPr>
          <w:ilvl w:val="0"/>
          <w:numId w:val="7"/>
        </w:numPr>
        <w:shd w:val="clear" w:color="auto" w:fill="FFFFFF"/>
        <w:spacing w:after="0" w:line="351" w:lineRule="atLeast"/>
        <w:ind w:left="360"/>
        <w:textAlignment w:val="baseline"/>
        <w:rPr>
          <w:rFonts w:ascii="Verdana" w:eastAsia="Times New Roman" w:hAnsi="Verdana" w:cs="Times New Roman"/>
          <w:color w:val="333333"/>
          <w:sz w:val="20"/>
          <w:szCs w:val="20"/>
          <w:lang w:eastAsia="en-GB"/>
        </w:rPr>
      </w:pPr>
      <w:r w:rsidRPr="00706319">
        <w:rPr>
          <w:rFonts w:ascii="Verdana" w:eastAsia="Times New Roman" w:hAnsi="Verdana" w:cs="Times New Roman"/>
          <w:color w:val="333333"/>
          <w:sz w:val="20"/>
          <w:szCs w:val="20"/>
          <w:lang w:eastAsia="en-GB"/>
        </w:rPr>
        <w:t>Recommendations for further research</w:t>
      </w:r>
    </w:p>
    <w:p w:rsidR="00706319" w:rsidRPr="00074B53" w:rsidRDefault="00706319" w:rsidP="00706319">
      <w:pPr>
        <w:shd w:val="clear" w:color="auto" w:fill="FFFFFF"/>
        <w:spacing w:after="0" w:line="351" w:lineRule="atLeast"/>
        <w:textAlignment w:val="baseline"/>
        <w:rPr>
          <w:rFonts w:ascii="Verdana" w:eastAsia="Times New Roman" w:hAnsi="Verdana" w:cs="Times New Roman"/>
          <w:color w:val="333333"/>
          <w:sz w:val="20"/>
          <w:szCs w:val="20"/>
          <w:lang w:eastAsia="en-GB"/>
        </w:rPr>
      </w:pPr>
    </w:p>
    <w:p w:rsidR="00074B53" w:rsidRDefault="00074B53" w:rsidP="00074B53">
      <w:pPr>
        <w:jc w:val="center"/>
      </w:pPr>
    </w:p>
    <w:sectPr w:rsidR="00074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8AB"/>
    <w:multiLevelType w:val="multilevel"/>
    <w:tmpl w:val="A3625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0461F"/>
    <w:multiLevelType w:val="multilevel"/>
    <w:tmpl w:val="8B98C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C12F3"/>
    <w:multiLevelType w:val="multilevel"/>
    <w:tmpl w:val="50705A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5556199B"/>
    <w:multiLevelType w:val="hybridMultilevel"/>
    <w:tmpl w:val="1D6C2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0723B6"/>
    <w:multiLevelType w:val="multilevel"/>
    <w:tmpl w:val="8BB64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A3493"/>
    <w:multiLevelType w:val="multilevel"/>
    <w:tmpl w:val="4B6A9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57324C"/>
    <w:multiLevelType w:val="hybridMultilevel"/>
    <w:tmpl w:val="97FAB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1214FAC"/>
    <w:multiLevelType w:val="hybridMultilevel"/>
    <w:tmpl w:val="8670E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DFE5BAA"/>
    <w:multiLevelType w:val="hybridMultilevel"/>
    <w:tmpl w:val="90720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1"/>
  </w:num>
  <w:num w:numId="8">
    <w:abstractNumId w:val="9"/>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B53"/>
    <w:rsid w:val="000147F9"/>
    <w:rsid w:val="0002718D"/>
    <w:rsid w:val="00034D8E"/>
    <w:rsid w:val="00055FD1"/>
    <w:rsid w:val="00062933"/>
    <w:rsid w:val="00074B53"/>
    <w:rsid w:val="00076050"/>
    <w:rsid w:val="000B24DB"/>
    <w:rsid w:val="001341C9"/>
    <w:rsid w:val="0016050C"/>
    <w:rsid w:val="001667F5"/>
    <w:rsid w:val="00196C82"/>
    <w:rsid w:val="001A5328"/>
    <w:rsid w:val="001E1160"/>
    <w:rsid w:val="002265F1"/>
    <w:rsid w:val="00257441"/>
    <w:rsid w:val="002A0538"/>
    <w:rsid w:val="002F19CC"/>
    <w:rsid w:val="00300EEA"/>
    <w:rsid w:val="00316EC7"/>
    <w:rsid w:val="0038549A"/>
    <w:rsid w:val="003A3F29"/>
    <w:rsid w:val="003C6779"/>
    <w:rsid w:val="003C74CC"/>
    <w:rsid w:val="003E0ADF"/>
    <w:rsid w:val="003E1FA5"/>
    <w:rsid w:val="00402D24"/>
    <w:rsid w:val="00407213"/>
    <w:rsid w:val="00450CD4"/>
    <w:rsid w:val="0045251C"/>
    <w:rsid w:val="00475EF3"/>
    <w:rsid w:val="004A50D7"/>
    <w:rsid w:val="004C26AB"/>
    <w:rsid w:val="004F72BE"/>
    <w:rsid w:val="00534F30"/>
    <w:rsid w:val="0057093C"/>
    <w:rsid w:val="00581511"/>
    <w:rsid w:val="005A0DBD"/>
    <w:rsid w:val="005C6030"/>
    <w:rsid w:val="005F3B3C"/>
    <w:rsid w:val="006134A9"/>
    <w:rsid w:val="0062128A"/>
    <w:rsid w:val="006976D6"/>
    <w:rsid w:val="00697814"/>
    <w:rsid w:val="006E38EF"/>
    <w:rsid w:val="00706319"/>
    <w:rsid w:val="007359FC"/>
    <w:rsid w:val="00782C2C"/>
    <w:rsid w:val="007904F8"/>
    <w:rsid w:val="007B78A4"/>
    <w:rsid w:val="007C221B"/>
    <w:rsid w:val="007D02ED"/>
    <w:rsid w:val="00892D64"/>
    <w:rsid w:val="008A3718"/>
    <w:rsid w:val="008C777C"/>
    <w:rsid w:val="00940ED6"/>
    <w:rsid w:val="00943045"/>
    <w:rsid w:val="00960B6C"/>
    <w:rsid w:val="009A201C"/>
    <w:rsid w:val="009B0F90"/>
    <w:rsid w:val="009C17A8"/>
    <w:rsid w:val="009E3698"/>
    <w:rsid w:val="009F71D6"/>
    <w:rsid w:val="00A36D88"/>
    <w:rsid w:val="00A44EF2"/>
    <w:rsid w:val="00A92D33"/>
    <w:rsid w:val="00AA7E85"/>
    <w:rsid w:val="00AB2B03"/>
    <w:rsid w:val="00B42055"/>
    <w:rsid w:val="00B53687"/>
    <w:rsid w:val="00B86BE8"/>
    <w:rsid w:val="00BD4F41"/>
    <w:rsid w:val="00C4609F"/>
    <w:rsid w:val="00CD295C"/>
    <w:rsid w:val="00D20504"/>
    <w:rsid w:val="00D20C0E"/>
    <w:rsid w:val="00D27E01"/>
    <w:rsid w:val="00DA556A"/>
    <w:rsid w:val="00DA6F28"/>
    <w:rsid w:val="00DD1E5D"/>
    <w:rsid w:val="00DE639F"/>
    <w:rsid w:val="00E15ED4"/>
    <w:rsid w:val="00E24598"/>
    <w:rsid w:val="00E51264"/>
    <w:rsid w:val="00E842E1"/>
    <w:rsid w:val="00EA4133"/>
    <w:rsid w:val="00EB7231"/>
    <w:rsid w:val="00EE71BE"/>
    <w:rsid w:val="00F678EC"/>
    <w:rsid w:val="00F94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ED4"/>
    <w:pPr>
      <w:keepNext/>
      <w:keepLines/>
      <w:spacing w:after="0"/>
      <w:ind w:left="21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styleId="Emphasis">
    <w:name w:val="Emphasis"/>
    <w:basedOn w:val="DefaultParagraphFont"/>
    <w:uiPriority w:val="20"/>
    <w:qFormat/>
    <w:rsid w:val="00074B53"/>
    <w:rPr>
      <w:i/>
      <w:iCs/>
    </w:rPr>
  </w:style>
  <w:style w:type="paragraph" w:styleId="NormalWeb">
    <w:name w:val="Normal (Web)"/>
    <w:basedOn w:val="Normal"/>
    <w:uiPriority w:val="99"/>
    <w:semiHidden/>
    <w:unhideWhenUsed/>
    <w:rsid w:val="007063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7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ED4"/>
    <w:pPr>
      <w:keepNext/>
      <w:keepLines/>
      <w:spacing w:after="0"/>
      <w:ind w:left="216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styleId="Emphasis">
    <w:name w:val="Emphasis"/>
    <w:basedOn w:val="DefaultParagraphFont"/>
    <w:uiPriority w:val="20"/>
    <w:qFormat/>
    <w:rsid w:val="00074B53"/>
    <w:rPr>
      <w:i/>
      <w:iCs/>
    </w:rPr>
  </w:style>
  <w:style w:type="paragraph" w:styleId="NormalWeb">
    <w:name w:val="Normal (Web)"/>
    <w:basedOn w:val="Normal"/>
    <w:uiPriority w:val="99"/>
    <w:semiHidden/>
    <w:unhideWhenUsed/>
    <w:rsid w:val="007063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9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65297">
      <w:bodyDiv w:val="1"/>
      <w:marLeft w:val="0"/>
      <w:marRight w:val="0"/>
      <w:marTop w:val="0"/>
      <w:marBottom w:val="0"/>
      <w:divBdr>
        <w:top w:val="none" w:sz="0" w:space="0" w:color="auto"/>
        <w:left w:val="none" w:sz="0" w:space="0" w:color="auto"/>
        <w:bottom w:val="none" w:sz="0" w:space="0" w:color="auto"/>
        <w:right w:val="none" w:sz="0" w:space="0" w:color="auto"/>
      </w:divBdr>
    </w:div>
    <w:div w:id="831874167">
      <w:bodyDiv w:val="1"/>
      <w:marLeft w:val="0"/>
      <w:marRight w:val="0"/>
      <w:marTop w:val="0"/>
      <w:marBottom w:val="0"/>
      <w:divBdr>
        <w:top w:val="none" w:sz="0" w:space="0" w:color="auto"/>
        <w:left w:val="none" w:sz="0" w:space="0" w:color="auto"/>
        <w:bottom w:val="none" w:sz="0" w:space="0" w:color="auto"/>
        <w:right w:val="none" w:sz="0" w:space="0" w:color="auto"/>
      </w:divBdr>
    </w:div>
    <w:div w:id="12069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19D86-42B3-45D2-A0C0-75BC8688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6</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17262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62</cp:revision>
  <dcterms:created xsi:type="dcterms:W3CDTF">2018-06-25T20:33:00Z</dcterms:created>
  <dcterms:modified xsi:type="dcterms:W3CDTF">2018-07-08T13:44:00Z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