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2FB" w:rsidRDefault="001E53EB" w:rsidP="003C72FB">
      <w:pPr>
        <w:pStyle w:val="Heading2"/>
        <w:keepLines w:val="0"/>
        <w:numPr>
          <w:ilvl w:val="1"/>
          <w:numId w:val="2"/>
        </w:numPr>
        <w:tabs>
          <w:tab w:val="left" w:pos="624"/>
        </w:tabs>
        <w:spacing w:before="300" w:after="120"/>
      </w:pPr>
      <w:r>
        <w:t>Summary</w:t>
      </w:r>
      <w:r w:rsidR="003C72FB">
        <w:rPr>
          <w:rStyle w:val="CommentReference"/>
          <w:b w:val="0"/>
          <w:bCs w:val="0"/>
          <w:iCs/>
        </w:rPr>
        <w:commentReference w:id="0"/>
      </w:r>
    </w:p>
    <w:p w:rsidR="003C72FB" w:rsidRDefault="003C72FB" w:rsidP="003C72FB"/>
    <w:p w:rsidR="003C72FB" w:rsidRPr="00DF7E20" w:rsidRDefault="003C72FB" w:rsidP="003C72FB">
      <w:pPr>
        <w:numPr>
          <w:ilvl w:val="0"/>
          <w:numId w:val="3"/>
        </w:numPr>
        <w:shd w:val="clear" w:color="auto" w:fill="FFFFFF"/>
        <w:spacing w:line="351" w:lineRule="atLeast"/>
        <w:ind w:left="360"/>
        <w:textAlignment w:val="baseline"/>
        <w:rPr>
          <w:rFonts w:ascii="Verdana" w:hAnsi="Verdana"/>
          <w:b/>
          <w:color w:val="333333"/>
          <w:sz w:val="20"/>
          <w:szCs w:val="20"/>
          <w:lang w:eastAsia="en-GB"/>
        </w:rPr>
      </w:pPr>
      <w:r w:rsidRPr="00DF7E20">
        <w:rPr>
          <w:rFonts w:ascii="Verdana" w:hAnsi="Verdana"/>
          <w:b/>
          <w:color w:val="333333"/>
          <w:sz w:val="20"/>
          <w:szCs w:val="20"/>
          <w:lang w:eastAsia="en-GB"/>
        </w:rPr>
        <w:t xml:space="preserve">Remind the reader of the research problem and purpose and how they </w:t>
      </w:r>
      <w:proofErr w:type="gramStart"/>
      <w:r w:rsidRPr="00DF7E20">
        <w:rPr>
          <w:rFonts w:ascii="Verdana" w:hAnsi="Verdana"/>
          <w:b/>
          <w:color w:val="333333"/>
          <w:sz w:val="20"/>
          <w:szCs w:val="20"/>
          <w:lang w:eastAsia="en-GB"/>
        </w:rPr>
        <w:t>were addressed</w:t>
      </w:r>
      <w:proofErr w:type="gramEnd"/>
      <w:r w:rsidRPr="00DF7E20">
        <w:rPr>
          <w:rFonts w:ascii="Verdana" w:hAnsi="Verdana"/>
          <w:b/>
          <w:color w:val="333333"/>
          <w:sz w:val="20"/>
          <w:szCs w:val="20"/>
          <w:lang w:eastAsia="en-GB"/>
        </w:rPr>
        <w:t>.</w:t>
      </w:r>
    </w:p>
    <w:p w:rsidR="003C72FB" w:rsidRDefault="003C72FB" w:rsidP="003C72FB"/>
    <w:p w:rsidR="003C72FB" w:rsidRDefault="003C72FB" w:rsidP="003C72FB">
      <w:r w:rsidRPr="001069EA">
        <w:t>This research explored how the design of agrobiodiveristy conservation schemes could be made more (cost) effective.  The modelling approaches (CE, BLP and MCDA) provide empirical assessment of different scheme designs and costs to meet demand for diversity value attributes that include use and non-use values. This is important because the application of economic models to improve cost effectiveness of PGR and FAnGR schemes are scarce, despite farm-scale intensification that threatens agrobiodiveristy. I address</w:t>
      </w:r>
      <w:r w:rsidR="0051230E" w:rsidRPr="001069EA">
        <w:t>ed</w:t>
      </w:r>
      <w:r w:rsidRPr="001069EA">
        <w:t xml:space="preserve"> such a literature gap by exploring how supply and demand side aspects of conservation </w:t>
      </w:r>
      <w:proofErr w:type="gramStart"/>
      <w:r w:rsidRPr="001069EA">
        <w:t>can be optimised</w:t>
      </w:r>
      <w:proofErr w:type="gramEnd"/>
      <w:r w:rsidRPr="001069EA">
        <w:t xml:space="preserve"> as a function of biological, genetic and economic factors, including farmer preferences for conservation contracts.</w:t>
      </w:r>
      <w:r>
        <w:t xml:space="preserve">  </w:t>
      </w:r>
    </w:p>
    <w:p w:rsidR="003C72FB" w:rsidRDefault="003C72FB" w:rsidP="003C72FB"/>
    <w:p w:rsidR="003C72FB" w:rsidRDefault="003C72FB" w:rsidP="003C72FB">
      <w:pPr>
        <w:numPr>
          <w:ilvl w:val="0"/>
          <w:numId w:val="3"/>
        </w:numPr>
        <w:shd w:val="clear" w:color="auto" w:fill="FFFFFF"/>
        <w:spacing w:line="351" w:lineRule="atLeast"/>
        <w:ind w:left="360"/>
        <w:textAlignment w:val="baseline"/>
        <w:rPr>
          <w:rFonts w:ascii="Verdana" w:hAnsi="Verdana"/>
          <w:color w:val="333333"/>
          <w:sz w:val="20"/>
          <w:szCs w:val="20"/>
          <w:lang w:eastAsia="en-GB"/>
        </w:rPr>
      </w:pPr>
      <w:r>
        <w:rPr>
          <w:rFonts w:ascii="Verdana" w:hAnsi="Verdana"/>
          <w:color w:val="333333"/>
          <w:sz w:val="20"/>
          <w:szCs w:val="20"/>
          <w:lang w:eastAsia="en-GB"/>
        </w:rPr>
        <w:t>B</w:t>
      </w:r>
      <w:r w:rsidRPr="00706319">
        <w:rPr>
          <w:rFonts w:ascii="Verdana" w:hAnsi="Verdana"/>
          <w:color w:val="333333"/>
          <w:sz w:val="20"/>
          <w:szCs w:val="20"/>
          <w:lang w:eastAsia="en-GB"/>
        </w:rPr>
        <w:t xml:space="preserve">riefly summarise what </w:t>
      </w:r>
      <w:proofErr w:type="gramStart"/>
      <w:r w:rsidRPr="00706319">
        <w:rPr>
          <w:rFonts w:ascii="Verdana" w:hAnsi="Verdana"/>
          <w:color w:val="333333"/>
          <w:sz w:val="20"/>
          <w:szCs w:val="20"/>
          <w:lang w:eastAsia="en-GB"/>
        </w:rPr>
        <w:t>has been covered</w:t>
      </w:r>
      <w:proofErr w:type="gramEnd"/>
      <w:r w:rsidRPr="00706319">
        <w:rPr>
          <w:rFonts w:ascii="Verdana" w:hAnsi="Verdana"/>
          <w:color w:val="333333"/>
          <w:sz w:val="20"/>
          <w:szCs w:val="20"/>
          <w:lang w:eastAsia="en-GB"/>
        </w:rPr>
        <w:t xml:space="preserve"> in the paper</w:t>
      </w:r>
      <w:r>
        <w:rPr>
          <w:rFonts w:ascii="Verdana" w:hAnsi="Verdana"/>
          <w:color w:val="333333"/>
          <w:sz w:val="20"/>
          <w:szCs w:val="20"/>
          <w:lang w:eastAsia="en-GB"/>
        </w:rPr>
        <w:t xml:space="preserve">, by chapter. </w:t>
      </w:r>
    </w:p>
    <w:p w:rsidR="004C5AB2" w:rsidRDefault="004C5AB2" w:rsidP="004C5AB2">
      <w:pPr>
        <w:shd w:val="clear" w:color="auto" w:fill="FFFFFF"/>
        <w:spacing w:line="351" w:lineRule="atLeast"/>
        <w:textAlignment w:val="baseline"/>
        <w:rPr>
          <w:rFonts w:ascii="Verdana" w:hAnsi="Verdana"/>
          <w:color w:val="333333"/>
          <w:sz w:val="20"/>
          <w:szCs w:val="20"/>
          <w:lang w:eastAsia="en-GB"/>
        </w:rPr>
      </w:pPr>
    </w:p>
    <w:p w:rsidR="00DB2FFB" w:rsidRPr="001069EA" w:rsidRDefault="00DB2FFB" w:rsidP="004C5AB2">
      <w:pPr>
        <w:rPr>
          <w:lang w:eastAsia="en-GB"/>
        </w:rPr>
      </w:pPr>
      <w:r w:rsidRPr="001069EA">
        <w:rPr>
          <w:lang w:eastAsia="en-GB"/>
        </w:rPr>
        <w:t xml:space="preserve">Chapter </w:t>
      </w:r>
      <w:proofErr w:type="gramStart"/>
      <w:r w:rsidRPr="001069EA">
        <w:rPr>
          <w:lang w:eastAsia="en-GB"/>
        </w:rPr>
        <w:t>two</w:t>
      </w:r>
      <w:proofErr w:type="gramEnd"/>
      <w:r w:rsidRPr="001069EA">
        <w:rPr>
          <w:lang w:eastAsia="en-GB"/>
        </w:rPr>
        <w:t xml:space="preserve"> provides</w:t>
      </w:r>
      <w:r w:rsidR="004C5AB2" w:rsidRPr="001069EA">
        <w:rPr>
          <w:lang w:eastAsia="en-GB"/>
        </w:rPr>
        <w:t xml:space="preserve"> a review of institutions and instruments to supply diversity is provided, alongside discussion of the different economic values that rare breeds encode. A growing need to more explicitly supply the different value attributes of breed diversity emerged and reflects the broad range of ecosystem services provided by farm animal diversity </w:t>
      </w:r>
      <w:r w:rsidR="004C5AB2" w:rsidRPr="001069EA">
        <w:rPr>
          <w:lang w:eastAsia="en-GB"/>
        </w:rPr>
        <w:fldChar w:fldCharType="begin" w:fldLock="1"/>
      </w:r>
      <w:r w:rsidR="004C5AB2" w:rsidRPr="001069EA">
        <w:rPr>
          <w:lang w:eastAsia="en-GB"/>
        </w:rPr>
        <w:instrText>ADDIN CSL_CITATION { "citationItems" : [ { "id" : "ITEM-1", "itemData" : { "ISSN" : "2211-9124", "author" : [ { "dropping-particle" : "", "family" : "Leroy", "given" : "Gregoire", "non-dropping-particle" : "", "parse-names" : false, "suffix" : "" }, { "dropping-particle" : "", "family" : "Baumung", "given" : "Roswitha", "non-dropping-particle" : "", "parse-names" : false, "suffix" : "" }, { "dropping-particle" : "", "family" : "Boettcher", "given" : "Paul", "non-dropping-particle" : "", "parse-names" : false, "suffix" : "" }, { "dropping-particle" : "", "family" : "Besbes", "given" : "Badi", "non-dropping-particle" : "", "parse-names" : false, "suffix" : "" }, { "dropping-particle" : "", "family" : "From", "given" : "Tatiana", "non-dropping-particle" : "", "parse-names" : false, "suffix" : "" }, { "dropping-particle" : "", "family" : "Hoffmann", "given" : "Irene", "non-dropping-particle" : "", "parse-names" : false, "suffix" : "" } ], "container-title" : "Global Food Security", "id" : "ITEM-1", "issued" : { "date-parts" : [ [ "2018" ] ] }, "publisher" : "Elsevier", "title" : "Animal genetic resources diversity and ecosystem services", "type" : "article-journal" }, "uris" : [ "http://www.mendeley.com/documents/?uuid=b008b77c-0248-469f-9b09-61ad751abec3" ] } ], "mendeley" : { "formattedCitation" : "(Leroy et al., 2018)", "plainTextFormattedCitation" : "(Leroy et al., 2018)", "previouslyFormattedCitation" : "(Leroy et al., 2018)" }, "properties" : { "noteIndex" : 0 }, "schema" : "https://github.com/citation-style-language/schema/raw/master/csl-citation.json" }</w:instrText>
      </w:r>
      <w:r w:rsidR="004C5AB2" w:rsidRPr="001069EA">
        <w:rPr>
          <w:lang w:eastAsia="en-GB"/>
        </w:rPr>
        <w:fldChar w:fldCharType="separate"/>
      </w:r>
      <w:r w:rsidR="004C5AB2" w:rsidRPr="001069EA">
        <w:rPr>
          <w:noProof/>
          <w:lang w:eastAsia="en-GB"/>
        </w:rPr>
        <w:t>(Leroy et al., 2018)</w:t>
      </w:r>
      <w:r w:rsidR="004C5AB2" w:rsidRPr="001069EA">
        <w:rPr>
          <w:lang w:eastAsia="en-GB"/>
        </w:rPr>
        <w:fldChar w:fldCharType="end"/>
      </w:r>
      <w:r w:rsidR="004C5AB2" w:rsidRPr="001069EA">
        <w:rPr>
          <w:lang w:eastAsia="en-GB"/>
        </w:rPr>
        <w:t xml:space="preserve">. Different institutions are </w:t>
      </w:r>
      <w:proofErr w:type="gramStart"/>
      <w:r w:rsidR="004C5AB2" w:rsidRPr="001069EA">
        <w:rPr>
          <w:lang w:eastAsia="en-GB"/>
        </w:rPr>
        <w:t>impacting</w:t>
      </w:r>
      <w:proofErr w:type="gramEnd"/>
      <w:r w:rsidR="004C5AB2" w:rsidRPr="001069EA">
        <w:rPr>
          <w:lang w:eastAsia="en-GB"/>
        </w:rPr>
        <w:t xml:space="preserve"> FAnGR in different ways and this should be acknowledged in future policy instruments for conservation.  We suggest the SI agenda should better consider non-use values associated with agrobiodiversity, where currently it is in danger of prioritising effi</w:t>
      </w:r>
      <w:r w:rsidRPr="001069EA">
        <w:rPr>
          <w:lang w:eastAsia="en-GB"/>
        </w:rPr>
        <w:t xml:space="preserve">ciency above all other considerations, including the need to retain cultural heritage and option value in farming. </w:t>
      </w:r>
    </w:p>
    <w:p w:rsidR="00605A18" w:rsidRPr="001069EA" w:rsidRDefault="00605A18" w:rsidP="00605A18">
      <w:pPr>
        <w:rPr>
          <w:lang w:eastAsia="en-GB"/>
        </w:rPr>
      </w:pPr>
    </w:p>
    <w:p w:rsidR="00605A18" w:rsidRPr="001069EA" w:rsidRDefault="00605A18" w:rsidP="00605A18">
      <w:pPr>
        <w:rPr>
          <w:lang w:eastAsia="en-GB"/>
        </w:rPr>
      </w:pPr>
      <w:r w:rsidRPr="001069EA">
        <w:rPr>
          <w:lang w:eastAsia="en-GB"/>
        </w:rPr>
        <w:t xml:space="preserve">Chapter </w:t>
      </w:r>
      <w:proofErr w:type="gramStart"/>
      <w:r w:rsidRPr="001069EA">
        <w:rPr>
          <w:lang w:eastAsia="en-GB"/>
        </w:rPr>
        <w:t>three</w:t>
      </w:r>
      <w:proofErr w:type="gramEnd"/>
      <w:r w:rsidRPr="001069EA">
        <w:rPr>
          <w:lang w:eastAsia="en-GB"/>
        </w:rPr>
        <w:t xml:space="preserve"> employed a survey and CE to explore farmer motivations for keeping rare breeds and preferences for the design of conservation contracts, including minimum WTA to participate in a contractual scheme. We show farmers in Transylvania are intensifying farming practices and this may be accelerating reductions in farm diversity.  Increasing farmer awareness and removing barriers to entry for schemes is </w:t>
      </w:r>
      <w:proofErr w:type="gramStart"/>
      <w:r w:rsidRPr="001069EA">
        <w:rPr>
          <w:lang w:eastAsia="en-GB"/>
        </w:rPr>
        <w:t>key</w:t>
      </w:r>
      <w:proofErr w:type="gramEnd"/>
      <w:r w:rsidRPr="001069EA">
        <w:rPr>
          <w:lang w:eastAsia="en-GB"/>
        </w:rPr>
        <w:t xml:space="preserve"> to increasing farmer participation in conservation programmes. The choice model indicated heterogeneous preferences for contract attributes between ovine and bovine farmers and we suggest considering these differences could improve the design of schemes and reduce the cost of conservation. Moreover, results demonstrated </w:t>
      </w:r>
      <w:r w:rsidRPr="001069EA">
        <w:t xml:space="preserve">targeting conservation schemes at marginal production </w:t>
      </w:r>
      <w:r w:rsidRPr="001069EA">
        <w:lastRenderedPageBreak/>
        <w:t xml:space="preserve">environments, characterised by smallholder and extensive farm systems, </w:t>
      </w:r>
      <w:proofErr w:type="gramStart"/>
      <w:r w:rsidRPr="001069EA">
        <w:t>may</w:t>
      </w:r>
      <w:proofErr w:type="gramEnd"/>
      <w:r w:rsidRPr="001069EA">
        <w:t xml:space="preserve"> improve scheme cost effectiveness because the opportunity cost of conserving is lower.    </w:t>
      </w:r>
      <w:r w:rsidRPr="001069EA">
        <w:rPr>
          <w:lang w:eastAsia="en-GB"/>
        </w:rPr>
        <w:t xml:space="preserve">         </w:t>
      </w:r>
    </w:p>
    <w:p w:rsidR="00605A18" w:rsidRPr="001069EA" w:rsidRDefault="00605A18" w:rsidP="004C5AB2">
      <w:pPr>
        <w:rPr>
          <w:lang w:eastAsia="en-GB"/>
        </w:rPr>
      </w:pPr>
    </w:p>
    <w:p w:rsidR="00605A18" w:rsidRPr="001069EA" w:rsidRDefault="00605A18" w:rsidP="00605A18">
      <w:pPr>
        <w:rPr>
          <w:lang w:eastAsia="en-GB"/>
        </w:rPr>
      </w:pPr>
      <w:r w:rsidRPr="001069EA">
        <w:t xml:space="preserve">  </w:t>
      </w:r>
      <w:r w:rsidRPr="001069EA">
        <w:rPr>
          <w:lang w:eastAsia="en-GB"/>
        </w:rPr>
        <w:t xml:space="preserve">         In Chapter </w:t>
      </w:r>
      <w:proofErr w:type="gramStart"/>
      <w:r w:rsidRPr="001069EA">
        <w:rPr>
          <w:lang w:eastAsia="en-GB"/>
        </w:rPr>
        <w:t>four</w:t>
      </w:r>
      <w:proofErr w:type="gramEnd"/>
      <w:r w:rsidRPr="001069EA">
        <w:rPr>
          <w:lang w:eastAsia="en-GB"/>
        </w:rPr>
        <w:t xml:space="preserve">, we switch our attention to PGR by measuring the costs of conserving CWR through an on-farm conservation programme that could form part of a NSAP for CWR conservation and sustainable use. Bid offers from the conservation auction </w:t>
      </w:r>
      <w:proofErr w:type="gramStart"/>
      <w:r w:rsidRPr="001069EA">
        <w:rPr>
          <w:lang w:eastAsia="en-GB"/>
        </w:rPr>
        <w:t>were optimised</w:t>
      </w:r>
      <w:proofErr w:type="gramEnd"/>
      <w:r w:rsidRPr="001069EA">
        <w:rPr>
          <w:lang w:eastAsia="en-GB"/>
        </w:rPr>
        <w:t xml:space="preserve"> for selection relative to alternate conservation goals. Conservation under multiple selection goals suggests a trade-off between maximising area and maximising diversity in conservation schemes. Additionally, the inclusion of social equity criteria in conservation goals may </w:t>
      </w:r>
      <w:proofErr w:type="gramStart"/>
      <w:r w:rsidRPr="001069EA">
        <w:rPr>
          <w:lang w:eastAsia="en-GB"/>
        </w:rPr>
        <w:t>impact</w:t>
      </w:r>
      <w:proofErr w:type="gramEnd"/>
      <w:r w:rsidRPr="001069EA">
        <w:rPr>
          <w:lang w:eastAsia="en-GB"/>
        </w:rPr>
        <w:t xml:space="preserve"> the ecological effectiveness of schemes. The literature provides little guidance on such trade-offs (refs) and there is a need to more explicitly consider the implications of employing different selection goals in programmes (ref). Considerable cost heterogeneity persisted across the different wild relatives modelled, raising broader questions concerning the form of conservation interventions and we suggest alternative conservation approaches (e.g. </w:t>
      </w:r>
      <w:r w:rsidRPr="001069EA">
        <w:rPr>
          <w:i/>
          <w:lang w:eastAsia="en-GB"/>
        </w:rPr>
        <w:t>ex situ</w:t>
      </w:r>
      <w:r w:rsidRPr="001069EA">
        <w:rPr>
          <w:lang w:eastAsia="en-GB"/>
        </w:rPr>
        <w:t xml:space="preserve"> storage or genetic reserves) may be more appropriate when costs are prohibitive.</w:t>
      </w:r>
    </w:p>
    <w:p w:rsidR="00605A18" w:rsidRPr="001069EA" w:rsidRDefault="00605A18" w:rsidP="004C5AB2">
      <w:pPr>
        <w:rPr>
          <w:lang w:eastAsia="en-GB"/>
        </w:rPr>
      </w:pPr>
    </w:p>
    <w:p w:rsidR="00605A18" w:rsidRDefault="00605A18" w:rsidP="00605A18">
      <w:pPr>
        <w:rPr>
          <w:lang w:eastAsia="en-GB"/>
        </w:rPr>
      </w:pPr>
      <w:r w:rsidRPr="001069EA">
        <w:rPr>
          <w:lang w:eastAsia="en-GB"/>
        </w:rPr>
        <w:t xml:space="preserve">In chapter five, an application of MCDA </w:t>
      </w:r>
      <w:proofErr w:type="gramStart"/>
      <w:r w:rsidRPr="001069EA">
        <w:rPr>
          <w:lang w:eastAsia="en-GB"/>
        </w:rPr>
        <w:t>is used</w:t>
      </w:r>
      <w:proofErr w:type="gramEnd"/>
      <w:r w:rsidRPr="001069EA">
        <w:rPr>
          <w:lang w:eastAsia="en-GB"/>
        </w:rPr>
        <w:t xml:space="preserve"> to explore how breed incentive support can be rationalised based on different value attributes of breed diversity. Weights derived from stakeholder workshops to inform the MCDA model suggested endangerment </w:t>
      </w:r>
      <w:proofErr w:type="gramStart"/>
      <w:r w:rsidRPr="001069EA">
        <w:rPr>
          <w:lang w:eastAsia="en-GB"/>
        </w:rPr>
        <w:t>was considered</w:t>
      </w:r>
      <w:proofErr w:type="gramEnd"/>
      <w:r w:rsidRPr="001069EA">
        <w:rPr>
          <w:lang w:eastAsia="en-GB"/>
        </w:rPr>
        <w:t xml:space="preserve"> most important, followed by diversity and marketability. Breed part scores across the criteria nodes exhibited high levels of heterogeneity, suggesting a need to consider this variation in the design of conservation programmes. A PCA revealed the multiple criteria nodes do explain different aspects of variation in breed scores, implying this information can improve decision making. Allocating conservation funds through an indicator to monitor and prioritise investments in diversity provides a framing that can focus conservation efforts based on different value </w:t>
      </w:r>
      <w:proofErr w:type="gramStart"/>
      <w:r w:rsidRPr="001069EA">
        <w:rPr>
          <w:lang w:eastAsia="en-GB"/>
        </w:rPr>
        <w:t>attributes</w:t>
      </w:r>
      <w:proofErr w:type="gramEnd"/>
      <w:r w:rsidRPr="001069EA">
        <w:rPr>
          <w:lang w:eastAsia="en-GB"/>
        </w:rPr>
        <w:t xml:space="preserve"> of diversity. Addressing opponents of conservation triage, we suggest concerns surrounding triage are either irrelevant to agrobiodiveristy conservation or can be carefully navigated through the design of incentive schemes </w:t>
      </w:r>
      <w:r w:rsidRPr="001069EA">
        <w:rPr>
          <w:lang w:eastAsia="en-GB"/>
        </w:rPr>
        <w:fldChar w:fldCharType="begin" w:fldLock="1"/>
      </w:r>
      <w:r w:rsidR="00A26A11" w:rsidRPr="001069EA">
        <w:rPr>
          <w:lang w:eastAsia="en-GB"/>
        </w:rPr>
        <w:instrText>ADDIN CSL_CITATION { "citationItems" : [ { "id" : "ITEM-1", "itemData" : { "ISSN" : "0169-5347", "author" : [ { "dropping-particle" : "", "family" : "Bottrill", "given" : "Madeleine C", "non-dropping-particle" : "", "parse-names" : false, "suffix" : "" }, { "dropping-particle" : "", "family" : "Joseph", "given" : "Liana N", "non-dropping-particle" : "", "parse-names" : false, "suffix" : "" }, { "dropping-particle" : "", "family" : "Carwardine", "given" : "Josie", "non-dropping-particle" : "", "parse-names" : false, "suffix" : "" }, { "dropping-particle" : "", "family" : "Bode", "given" : "Michael", "non-dropping-particle" : "", "parse-names" : false, "suffix" : "" }, { "dropping-particle" : "", "family" : "Cook", "given" : "Carly", "non-dropping-particle" : "", "parse-names" : false, "suffix" : "" }, { "dropping-particle" : "", "family" : "Game", "given" : "Edward T", "non-dropping-particle" : "", "parse-names" : false, "suffix" : "" }, { "dropping-particle" : "", "family" : "Grantham", "given" : "Hedley", "non-dropping-particle" : "", "parse-names" : false, "suffix" : "" }, { "dropping-particle" : "", "family" : "Kark", "given" : "Salit", "non-dropping-particle" : "", "parse-names" : false, "suffix" : "" }, { "dropping-particle" : "", "family" : "Linke", "given" : "Simon", "non-dropping-particle" : "", "parse-names" : false, "suffix" : "" }, { "dropping-particle" : "", "family" : "McDonald-Madden", "given" : "Eve", "non-dropping-particle" : "", "parse-names" : false, "suffix" : "" } ], "container-title" : "Trends in ecology &amp; evolution", "id" : "ITEM-1", "issue" : "12", "issued" : { "date-parts" : [ [ "2008" ] ] }, "page" : "649-654", "publisher" : "Elsevier", "title" : "Is conservation triage just smart decision making?", "type" : "article-journal", "volume" : "23" }, "uris" : [ "http://www.mendeley.com/documents/?uuid=e0623c16-0fe7-4044-8810-58bb5b9b8ae1" ] } ], "mendeley" : { "formattedCitation" : "(Bottrill et al., 2008)", "plainTextFormattedCitation" : "(Bottrill et al., 2008)", "previouslyFormattedCitation" : "(Bottrill et al., 2008)" }, "properties" : { "noteIndex" : 0 }, "schema" : "https://github.com/citation-style-language/schema/raw/master/csl-citation.json" }</w:instrText>
      </w:r>
      <w:r w:rsidRPr="001069EA">
        <w:rPr>
          <w:lang w:eastAsia="en-GB"/>
        </w:rPr>
        <w:fldChar w:fldCharType="separate"/>
      </w:r>
      <w:r w:rsidRPr="001069EA">
        <w:rPr>
          <w:noProof/>
          <w:lang w:eastAsia="en-GB"/>
        </w:rPr>
        <w:t>(Bottrill et al., 2008)</w:t>
      </w:r>
      <w:r w:rsidRPr="001069EA">
        <w:rPr>
          <w:lang w:eastAsia="en-GB"/>
        </w:rPr>
        <w:fldChar w:fldCharType="end"/>
      </w:r>
      <w:r w:rsidRPr="001069EA">
        <w:rPr>
          <w:lang w:eastAsia="en-GB"/>
        </w:rPr>
        <w:t>.</w:t>
      </w:r>
      <w:r>
        <w:rPr>
          <w:lang w:eastAsia="en-GB"/>
        </w:rPr>
        <w:t xml:space="preserve"> </w:t>
      </w:r>
    </w:p>
    <w:p w:rsidR="004C5AB2" w:rsidRDefault="004C5AB2" w:rsidP="004C5AB2">
      <w:pPr>
        <w:rPr>
          <w:lang w:eastAsia="en-GB"/>
        </w:rPr>
      </w:pPr>
    </w:p>
    <w:p w:rsidR="003C72FB" w:rsidRDefault="003C72FB" w:rsidP="003C72FB">
      <w:pPr>
        <w:shd w:val="clear" w:color="auto" w:fill="FFFFFF"/>
        <w:spacing w:line="351" w:lineRule="atLeast"/>
        <w:textAlignment w:val="baseline"/>
        <w:rPr>
          <w:rFonts w:ascii="Verdana" w:hAnsi="Verdana"/>
          <w:color w:val="333333"/>
          <w:sz w:val="20"/>
          <w:szCs w:val="20"/>
          <w:lang w:eastAsia="en-GB"/>
        </w:rPr>
      </w:pPr>
    </w:p>
    <w:p w:rsidR="003C72FB" w:rsidRPr="00706319" w:rsidRDefault="003C72FB" w:rsidP="003C72FB">
      <w:pPr>
        <w:numPr>
          <w:ilvl w:val="0"/>
          <w:numId w:val="3"/>
        </w:numPr>
        <w:shd w:val="clear" w:color="auto" w:fill="FFFFFF"/>
        <w:spacing w:line="351" w:lineRule="atLeast"/>
        <w:ind w:left="360"/>
        <w:textAlignment w:val="baseline"/>
        <w:rPr>
          <w:rFonts w:ascii="Verdana" w:hAnsi="Verdana"/>
          <w:color w:val="333333"/>
          <w:sz w:val="20"/>
          <w:szCs w:val="20"/>
          <w:lang w:eastAsia="en-GB"/>
        </w:rPr>
      </w:pPr>
      <w:r>
        <w:rPr>
          <w:rFonts w:ascii="Verdana" w:hAnsi="Verdana"/>
          <w:color w:val="333333"/>
          <w:sz w:val="20"/>
          <w:szCs w:val="20"/>
          <w:lang w:eastAsia="en-GB"/>
        </w:rPr>
        <w:t>M</w:t>
      </w:r>
      <w:r w:rsidRPr="00706319">
        <w:rPr>
          <w:rFonts w:ascii="Verdana" w:hAnsi="Verdana"/>
          <w:color w:val="333333"/>
          <w:sz w:val="20"/>
          <w:szCs w:val="20"/>
          <w:lang w:eastAsia="en-GB"/>
        </w:rPr>
        <w:t>ake some kind of holistic assessment/judgement/ claim that pertains to the whole project (i.e., more than a descriptive summary)</w:t>
      </w:r>
    </w:p>
    <w:p w:rsidR="003C72FB" w:rsidRDefault="003C72FB" w:rsidP="003C72FB">
      <w:pPr>
        <w:shd w:val="clear" w:color="auto" w:fill="FFFFFF"/>
        <w:spacing w:line="351" w:lineRule="atLeast"/>
        <w:textAlignment w:val="baseline"/>
        <w:rPr>
          <w:rFonts w:ascii="Verdana" w:hAnsi="Verdana"/>
          <w:color w:val="333333"/>
          <w:sz w:val="20"/>
          <w:szCs w:val="20"/>
          <w:lang w:eastAsia="en-GB"/>
        </w:rPr>
      </w:pPr>
    </w:p>
    <w:p w:rsidR="00B53C3E" w:rsidRDefault="00243FF3" w:rsidP="00E50C83">
      <w:pPr>
        <w:rPr>
          <w:lang w:eastAsia="en-GB"/>
        </w:rPr>
      </w:pPr>
      <w:r>
        <w:rPr>
          <w:lang w:eastAsia="en-GB"/>
        </w:rPr>
        <w:t xml:space="preserve">On the supply side, </w:t>
      </w:r>
      <w:r w:rsidR="0033287F">
        <w:rPr>
          <w:lang w:eastAsia="en-GB"/>
        </w:rPr>
        <w:t xml:space="preserve">the </w:t>
      </w:r>
      <w:proofErr w:type="gramStart"/>
      <w:r w:rsidR="0033287F">
        <w:rPr>
          <w:lang w:eastAsia="en-GB"/>
        </w:rPr>
        <w:t>chapters</w:t>
      </w:r>
      <w:proofErr w:type="gramEnd"/>
      <w:r>
        <w:rPr>
          <w:lang w:eastAsia="en-GB"/>
        </w:rPr>
        <w:t xml:space="preserve"> points to the need for more targeted conservation policies that explicitly consider </w:t>
      </w:r>
      <w:r w:rsidR="00DD7B0A">
        <w:rPr>
          <w:lang w:eastAsia="en-GB"/>
        </w:rPr>
        <w:t>landholder preferences for the design of schemes and measures to consider cost more accurately</w:t>
      </w:r>
      <w:r>
        <w:rPr>
          <w:lang w:eastAsia="en-GB"/>
        </w:rPr>
        <w:t xml:space="preserve">, including </w:t>
      </w:r>
      <w:r w:rsidR="00DD7B0A">
        <w:rPr>
          <w:lang w:eastAsia="en-GB"/>
        </w:rPr>
        <w:t>through</w:t>
      </w:r>
      <w:r>
        <w:rPr>
          <w:lang w:eastAsia="en-GB"/>
        </w:rPr>
        <w:t xml:space="preserve"> tenders. On the demand side, there is a need to consider public values for </w:t>
      </w:r>
      <w:r>
        <w:rPr>
          <w:lang w:eastAsia="en-GB"/>
        </w:rPr>
        <w:lastRenderedPageBreak/>
        <w:t xml:space="preserve">diversity that can be appropriated through </w:t>
      </w:r>
      <w:r w:rsidR="00DD7B0A">
        <w:rPr>
          <w:lang w:eastAsia="en-GB"/>
        </w:rPr>
        <w:t xml:space="preserve">rationalised investments in </w:t>
      </w:r>
      <w:proofErr w:type="gramStart"/>
      <w:r w:rsidR="00DD7B0A">
        <w:rPr>
          <w:lang w:eastAsia="en-GB"/>
        </w:rPr>
        <w:t>diversity</w:t>
      </w:r>
      <w:r>
        <w:rPr>
          <w:lang w:eastAsia="en-GB"/>
        </w:rPr>
        <w:t xml:space="preserve"> </w:t>
      </w:r>
      <w:r w:rsidR="0033287F">
        <w:rPr>
          <w:lang w:eastAsia="en-GB"/>
        </w:rPr>
        <w:t>which</w:t>
      </w:r>
      <w:proofErr w:type="gramEnd"/>
      <w:r>
        <w:rPr>
          <w:lang w:eastAsia="en-GB"/>
        </w:rPr>
        <w:t xml:space="preserve"> consider the TEV </w:t>
      </w:r>
      <w:r w:rsidR="0033287F">
        <w:rPr>
          <w:lang w:eastAsia="en-GB"/>
        </w:rPr>
        <w:t xml:space="preserve">framework. Coupling these emerging themes means schemes may supply conservation services more cost effectively, thus reducing the per unit cost of interventions. </w:t>
      </w:r>
      <w:r w:rsidR="00B53C3E">
        <w:rPr>
          <w:lang w:eastAsia="en-GB"/>
        </w:rPr>
        <w:t>Additionally</w:t>
      </w:r>
      <w:r w:rsidR="0033287F">
        <w:rPr>
          <w:lang w:eastAsia="en-GB"/>
        </w:rPr>
        <w:t xml:space="preserve">, the full range of benefit values associated with </w:t>
      </w:r>
      <w:r w:rsidR="00B53C3E">
        <w:rPr>
          <w:lang w:eastAsia="en-GB"/>
        </w:rPr>
        <w:t>conserving agrobiodiversity</w:t>
      </w:r>
      <w:r w:rsidR="0033287F">
        <w:rPr>
          <w:lang w:eastAsia="en-GB"/>
        </w:rPr>
        <w:t xml:space="preserve"> </w:t>
      </w:r>
      <w:proofErr w:type="gramStart"/>
      <w:r w:rsidR="0033287F">
        <w:rPr>
          <w:lang w:eastAsia="en-GB"/>
        </w:rPr>
        <w:t>can be actively targeted</w:t>
      </w:r>
      <w:proofErr w:type="gramEnd"/>
      <w:r w:rsidR="00DD7B0A">
        <w:rPr>
          <w:lang w:eastAsia="en-GB"/>
        </w:rPr>
        <w:t xml:space="preserve"> through supply-side </w:t>
      </w:r>
      <w:r w:rsidR="00B53C3E">
        <w:rPr>
          <w:lang w:eastAsia="en-GB"/>
        </w:rPr>
        <w:t xml:space="preserve">incentives that are </w:t>
      </w:r>
      <w:r w:rsidR="00C85597">
        <w:rPr>
          <w:lang w:eastAsia="en-GB"/>
        </w:rPr>
        <w:t>prioritised</w:t>
      </w:r>
      <w:r w:rsidR="00B53C3E">
        <w:rPr>
          <w:lang w:eastAsia="en-GB"/>
        </w:rPr>
        <w:t xml:space="preserve"> according to the marginal benefit of conservation. </w:t>
      </w:r>
      <w:r w:rsidR="00C85597">
        <w:rPr>
          <w:lang w:eastAsia="en-GB"/>
        </w:rPr>
        <w:t xml:space="preserve">Employing these approaches with greater information concerning biological and genetic metrics that denote difference may </w:t>
      </w:r>
      <w:r w:rsidR="00B53C3E">
        <w:rPr>
          <w:lang w:eastAsia="en-GB"/>
        </w:rPr>
        <w:t xml:space="preserve">improve the ecological effectiveness of investments in diversity.   </w:t>
      </w:r>
    </w:p>
    <w:p w:rsidR="003C72FB" w:rsidRDefault="003C72FB" w:rsidP="003C72FB"/>
    <w:p w:rsidR="003C72FB" w:rsidRDefault="001E53EB" w:rsidP="003C72FB">
      <w:pPr>
        <w:pStyle w:val="Heading2"/>
        <w:keepLines w:val="0"/>
        <w:numPr>
          <w:ilvl w:val="1"/>
          <w:numId w:val="2"/>
        </w:numPr>
        <w:tabs>
          <w:tab w:val="left" w:pos="624"/>
        </w:tabs>
        <w:spacing w:before="300" w:after="120"/>
      </w:pPr>
      <w:bookmarkStart w:id="1" w:name="_Toc517708945"/>
      <w:r>
        <w:t>Conclusions and r</w:t>
      </w:r>
      <w:r w:rsidR="003C72FB">
        <w:t>ecommendations</w:t>
      </w:r>
      <w:bookmarkEnd w:id="1"/>
      <w:r w:rsidR="003C72FB">
        <w:t xml:space="preserve"> </w:t>
      </w:r>
    </w:p>
    <w:p w:rsidR="00DE1DD6" w:rsidRDefault="00DE1DD6" w:rsidP="00DE1DD6">
      <w:pPr>
        <w:shd w:val="clear" w:color="auto" w:fill="FFFFFF"/>
        <w:spacing w:line="351" w:lineRule="atLeast"/>
        <w:textAlignment w:val="baseline"/>
        <w:rPr>
          <w:rFonts w:ascii="Verdana" w:hAnsi="Verdana"/>
          <w:color w:val="333333"/>
          <w:sz w:val="20"/>
          <w:szCs w:val="20"/>
          <w:lang w:eastAsia="en-GB"/>
        </w:rPr>
      </w:pPr>
    </w:p>
    <w:p w:rsidR="00F36729" w:rsidRDefault="00026858" w:rsidP="00F36729">
      <w:pPr>
        <w:rPr>
          <w:lang w:eastAsia="en-GB"/>
        </w:rPr>
      </w:pPr>
      <w:r w:rsidRPr="00F36729">
        <w:rPr>
          <w:b/>
          <w:lang w:eastAsia="en-GB"/>
        </w:rPr>
        <w:t>There is a n</w:t>
      </w:r>
      <w:r w:rsidR="006E292B" w:rsidRPr="00F36729">
        <w:rPr>
          <w:b/>
          <w:lang w:eastAsia="en-GB"/>
        </w:rPr>
        <w:t xml:space="preserve">eed to </w:t>
      </w:r>
      <w:r w:rsidR="00DE1DD6" w:rsidRPr="00F36729">
        <w:rPr>
          <w:b/>
          <w:lang w:eastAsia="en-GB"/>
        </w:rPr>
        <w:t xml:space="preserve">consider </w:t>
      </w:r>
      <w:r w:rsidR="003D7EC9" w:rsidRPr="00F36729">
        <w:rPr>
          <w:b/>
          <w:lang w:eastAsia="en-GB"/>
        </w:rPr>
        <w:t>the full range of ecosystem services</w:t>
      </w:r>
      <w:r w:rsidR="006E292B" w:rsidRPr="00F36729">
        <w:rPr>
          <w:b/>
          <w:lang w:eastAsia="en-GB"/>
        </w:rPr>
        <w:t xml:space="preserve"> in </w:t>
      </w:r>
      <w:r w:rsidRPr="00F36729">
        <w:rPr>
          <w:b/>
          <w:lang w:eastAsia="en-GB"/>
        </w:rPr>
        <w:t xml:space="preserve">the </w:t>
      </w:r>
      <w:r w:rsidR="006E292B" w:rsidRPr="00F36729">
        <w:rPr>
          <w:b/>
          <w:lang w:eastAsia="en-GB"/>
        </w:rPr>
        <w:t>SI</w:t>
      </w:r>
      <w:r w:rsidRPr="00F36729">
        <w:rPr>
          <w:b/>
          <w:lang w:eastAsia="en-GB"/>
        </w:rPr>
        <w:t xml:space="preserve"> agenda</w:t>
      </w:r>
      <w:r w:rsidR="006E292B" w:rsidRPr="00F36729">
        <w:rPr>
          <w:b/>
          <w:lang w:eastAsia="en-GB"/>
        </w:rPr>
        <w:t xml:space="preserve">, including </w:t>
      </w:r>
      <w:r w:rsidR="003D7EC9" w:rsidRPr="00F36729">
        <w:rPr>
          <w:b/>
          <w:lang w:eastAsia="en-GB"/>
        </w:rPr>
        <w:t>cultural heritage.</w:t>
      </w:r>
      <w:r w:rsidR="00F36729">
        <w:rPr>
          <w:b/>
          <w:lang w:eastAsia="en-GB"/>
        </w:rPr>
        <w:t xml:space="preserve"> </w:t>
      </w:r>
      <w:r>
        <w:rPr>
          <w:lang w:eastAsia="en-GB"/>
        </w:rPr>
        <w:t>Currently the SI imperative is in danger of prioritising efficiency above all other objective measures, including heritage and option value. There is a need for future guidance to consider these aspects in policy formulation.</w:t>
      </w:r>
      <w:r w:rsidR="000F52DA">
        <w:rPr>
          <w:lang w:eastAsia="en-GB"/>
        </w:rPr>
        <w:t xml:space="preserve"> The origins in SI </w:t>
      </w:r>
      <w:r w:rsidR="00BB0AF5">
        <w:rPr>
          <w:lang w:eastAsia="en-GB"/>
        </w:rPr>
        <w:t>focus discussion on</w:t>
      </w:r>
      <w:r w:rsidR="000F52DA">
        <w:rPr>
          <w:lang w:eastAsia="en-GB"/>
        </w:rPr>
        <w:t xml:space="preserve"> increasing yield </w:t>
      </w:r>
      <w:r w:rsidR="00BB0AF5">
        <w:rPr>
          <w:lang w:eastAsia="en-GB"/>
        </w:rPr>
        <w:t xml:space="preserve">in </w:t>
      </w:r>
      <w:r w:rsidR="000F52DA">
        <w:rPr>
          <w:lang w:eastAsia="en-GB"/>
        </w:rPr>
        <w:t xml:space="preserve">the face of resource scarcity and environmental </w:t>
      </w:r>
      <w:r w:rsidR="00BB0AF5">
        <w:rPr>
          <w:lang w:eastAsia="en-GB"/>
        </w:rPr>
        <w:t>challenges</w:t>
      </w:r>
      <w:r w:rsidR="009A7A63">
        <w:rPr>
          <w:lang w:eastAsia="en-GB"/>
        </w:rPr>
        <w:t xml:space="preserve"> </w:t>
      </w:r>
      <w:r w:rsidR="009A7A63">
        <w:rPr>
          <w:lang w:eastAsia="en-GB"/>
        </w:rPr>
        <w:fldChar w:fldCharType="begin" w:fldLock="1"/>
      </w:r>
      <w:r w:rsidR="00C10311">
        <w:rPr>
          <w:lang w:eastAsia="en-GB"/>
        </w:rPr>
        <w:instrText>ADDIN CSL_CITATION { "citationItems" : [ { "id" : "ITEM-1", "itemData" : { "DOI" : "10.1126/science.1234485", "ISSN" : "0036-8075", "author" : [ { "dropping-particle" : "", "family" : "Garnett", "given" : "Tara", "non-dropping-particle" : "", "parse-names" : false, "suffix" : "" }, { "dropping-particle" : "", "family" : "Appleby", "given" : "M C", "non-dropping-particle" : "", "parse-names" : false, "suffix" : "" }, { "dropping-particle" : "", "family" : "Balmford", "given" : "A", "non-dropping-particle" : "", "parse-names" : false, "suffix" : "" }, { "dropping-particle" : "", "family" : "Bateman", "given" : "I J", "non-dropping-particle" : "", "parse-names" : false, "suffix" : "" }, { "dropping-particle" : "", "family" : "Benton", "given" : "T G", "non-dropping-particle" : "", "parse-names" : false, "suffix" : "" }, { "dropping-particle" : "", "family" : "Bloomer", "given" : "P", "non-dropping-particle" : "", "parse-names" : false, "suffix" : "" }, { "dropping-particle" : "", "family" : "Burlingame", "given" : "B", "non-dropping-particle" : "", "parse-names" : false, "suffix" : "" }, { "dropping-particle" : "", "family" : "Dawkins", "given" : "M", "non-dropping-particle" : "", "parse-names" : false, "suffix" : "" }, { "dropping-particle" : "", "family" : "Dolan", "given" : "L", "non-dropping-particle" : "", "parse-names" : false, "suffix" : "" }, { "dropping-particle" : "", "family" : "Fraser", "given" : "D", "non-dropping-particle" : "", "parse-names" : false, "suffix" : "" } ], "container-title" : "Science", "id" : "ITEM-1", "issue" : "6141", "issued" : { "date-parts" : [ [ "2013" ] ] }, "page" : "33-34", "publisher" : "American Association for the Advancement of Science", "title" : "Sustainable intensification in agriculture: premises and policies", "type" : "article-journal", "volume" : "341" }, "uris" : [ "http://www.mendeley.com/documents/?uuid=e01a8a42-9292-4c9c-873a-3e83b1664b06" ] } ], "mendeley" : { "formattedCitation" : "(Garnett et al., 2013)", "plainTextFormattedCitation" : "(Garnett et al., 2013)", "previouslyFormattedCitation" : "(Garnett et al., 2013)" }, "properties" : { "noteIndex" : 0 }, "schema" : "https://github.com/citation-style-language/schema/raw/master/csl-citation.json" }</w:instrText>
      </w:r>
      <w:r w:rsidR="009A7A63">
        <w:rPr>
          <w:lang w:eastAsia="en-GB"/>
        </w:rPr>
        <w:fldChar w:fldCharType="separate"/>
      </w:r>
      <w:r w:rsidR="009A7A63" w:rsidRPr="009A7A63">
        <w:rPr>
          <w:noProof/>
          <w:lang w:eastAsia="en-GB"/>
        </w:rPr>
        <w:t>(Garnett et al., 2013)</w:t>
      </w:r>
      <w:r w:rsidR="009A7A63">
        <w:rPr>
          <w:lang w:eastAsia="en-GB"/>
        </w:rPr>
        <w:fldChar w:fldCharType="end"/>
      </w:r>
      <w:r w:rsidR="00BB0AF5">
        <w:rPr>
          <w:lang w:eastAsia="en-GB"/>
        </w:rPr>
        <w:t>.</w:t>
      </w:r>
      <w:r w:rsidR="009A7A63">
        <w:rPr>
          <w:lang w:eastAsia="en-GB"/>
        </w:rPr>
        <w:t xml:space="preserve"> Yet, as the SI paradigm has evolved, there is still little mention of </w:t>
      </w:r>
      <w:r w:rsidR="00A96A5B">
        <w:rPr>
          <w:lang w:eastAsia="en-GB"/>
        </w:rPr>
        <w:t xml:space="preserve">preserving </w:t>
      </w:r>
      <w:r w:rsidR="009A7A63">
        <w:rPr>
          <w:lang w:eastAsia="en-GB"/>
        </w:rPr>
        <w:t>cultural and heritage values in agriculture</w:t>
      </w:r>
      <w:r w:rsidR="00A96A5B">
        <w:rPr>
          <w:lang w:eastAsia="en-GB"/>
        </w:rPr>
        <w:t xml:space="preserve">, many of-which have co-evolved with different systems. </w:t>
      </w:r>
      <w:r w:rsidR="005479D0">
        <w:rPr>
          <w:lang w:eastAsia="en-GB"/>
        </w:rPr>
        <w:t xml:space="preserve">Ignoring such values is risky and more guidance is needed on multiple policy fronts, including SI, to reflect all value attributes of </w:t>
      </w:r>
      <w:r w:rsidR="00C4046B">
        <w:rPr>
          <w:lang w:eastAsia="en-GB"/>
        </w:rPr>
        <w:t>agrobiodiveristy</w:t>
      </w:r>
      <w:r w:rsidR="00AE0B12">
        <w:rPr>
          <w:lang w:eastAsia="en-GB"/>
        </w:rPr>
        <w:t>, many of which compliment improve food security</w:t>
      </w:r>
      <w:r w:rsidR="00C10311">
        <w:rPr>
          <w:lang w:eastAsia="en-GB"/>
        </w:rPr>
        <w:t xml:space="preserve"> </w:t>
      </w:r>
      <w:r w:rsidR="00C10311">
        <w:rPr>
          <w:lang w:eastAsia="en-GB"/>
        </w:rPr>
        <w:fldChar w:fldCharType="begin" w:fldLock="1"/>
      </w:r>
      <w:r w:rsidR="006B7EAB">
        <w:rPr>
          <w:lang w:eastAsia="en-GB"/>
        </w:rPr>
        <w:instrText>ADDIN CSL_CITATION { "citationItems" : [ { "id" : "ITEM-1", "itemData" : { "ISSN" : "0962-8436", "author" : [ { "dropping-particle" : "", "family" : "Poppy", "given" : "Guy M", "non-dropping-particle" : "", "parse-names" : false, "suffix" : "" }, { "dropping-particle" : "", "family" : "Chiotha", "given" : "Sosten", "non-dropping-particle" : "", "parse-names" : false, "suffix" : "" }, { "dropping-particle" : "", "family" : "Eigenbrod", "given" : "Felix", "non-dropping-particle" : "", "parse-names" : false, "suffix" : "" }, { "dropping-particle" : "", "family" : "Harvey", "given" : "Celia A", "non-dropping-particle" : "", "parse-names" : false, "suffix" : "" }, { "dropping-particle" : "", "family" : "Honz\u00e1k", "given" : "Miroslav", "non-dropping-particle" : "", "parse-names" : false, "suffix" : "" }, { "dropping-particle" : "", "family" : "Hudson", "given" : "Malcolm D", "non-dropping-particle" : "", "parse-names" : false, "suffix" : "" }, { "dropping-particle" : "", "family" : "Jarvis", "given" : "Andy", "non-dropping-particle" : "", "parse-names" : false, "suffix" : "" }, { "dropping-particle" : "", "family" : "Madise", "given" : "N J", "non-dropping-particle" : "", "parse-names" : false, "suffix" : "" }, { "dropping-particle" : "", "family" : "Schreckenberg", "given" : "K", "non-dropping-particle" : "", "parse-names" : false, "suffix" : "" }, { "dropping-particle" : "", "family" : "Shackleton", "given" : "C M", "non-dropping-particle" : "", "parse-names" : false, "suffix" : "" } ], "container-title" : "Philosophical Transactions of the Royal Society of London B: Biological Sciences", "id" : "ITEM-1", "issue" : "1639", "issued" : { "date-parts" : [ [ "2014" ] ] }, "page" : "20120288", "publisher" : "The Royal Society", "title" : "Food security in a perfect storm: using the ecosystem services framework to increase understanding", "type" : "article-journal", "volume" : "369" }, "uris" : [ "http://www.mendeley.com/documents/?uuid=1dbbd3ca-ae9c-4925-8ba9-12f4710a0b3b" ] } ], "mendeley" : { "formattedCitation" : "(Poppy et al., 2014)", "plainTextFormattedCitation" : "(Poppy et al., 2014)", "previouslyFormattedCitation" : "(Poppy et al., 2014)" }, "properties" : { "noteIndex" : 0 }, "schema" : "https://github.com/citation-style-language/schema/raw/master/csl-citation.json" }</w:instrText>
      </w:r>
      <w:r w:rsidR="00C10311">
        <w:rPr>
          <w:lang w:eastAsia="en-GB"/>
        </w:rPr>
        <w:fldChar w:fldCharType="separate"/>
      </w:r>
      <w:r w:rsidR="00C10311" w:rsidRPr="00C10311">
        <w:rPr>
          <w:noProof/>
          <w:lang w:eastAsia="en-GB"/>
        </w:rPr>
        <w:t>(Poppy et al., 2014)</w:t>
      </w:r>
      <w:r w:rsidR="00C10311">
        <w:rPr>
          <w:lang w:eastAsia="en-GB"/>
        </w:rPr>
        <w:fldChar w:fldCharType="end"/>
      </w:r>
      <w:r w:rsidR="00C4046B">
        <w:rPr>
          <w:lang w:eastAsia="en-GB"/>
        </w:rPr>
        <w:t>.</w:t>
      </w:r>
      <w:r w:rsidR="00BB0AF5">
        <w:rPr>
          <w:lang w:eastAsia="en-GB"/>
        </w:rPr>
        <w:t xml:space="preserve"> </w:t>
      </w:r>
    </w:p>
    <w:p w:rsidR="00F36729" w:rsidRDefault="00F36729" w:rsidP="00F36729">
      <w:pPr>
        <w:rPr>
          <w:lang w:eastAsia="en-GB"/>
        </w:rPr>
      </w:pPr>
    </w:p>
    <w:p w:rsidR="00F36729" w:rsidRDefault="00F36729" w:rsidP="00F36729">
      <w:r w:rsidRPr="00F36729">
        <w:rPr>
          <w:b/>
        </w:rPr>
        <w:t xml:space="preserve">Food systems must be fundamentally reoriented around principles of diversity and resilience. </w:t>
      </w:r>
      <w:r>
        <w:t xml:space="preserve">This shift is required in agriculture in order to </w:t>
      </w:r>
      <w:r w:rsidRPr="00F36729">
        <w:t>sustain yields and agro-ecosystems in the wake of future change drivers, including demographic, environmental and climatic change</w:t>
      </w:r>
      <w:r w:rsidR="004119F6">
        <w:t xml:space="preserve"> </w:t>
      </w:r>
      <w:r w:rsidR="004119F6">
        <w:fldChar w:fldCharType="begin" w:fldLock="1"/>
      </w:r>
      <w:r w:rsidR="009175A6">
        <w:instrText>ADDIN CSL_CITATION { "citationItems" : [ { "id" : "ITEM-1", "itemData" : { "author" : [ { "dropping-particle" : "", "family" : "IPES-Food", "given" : "", "non-dropping-particle" : "", "parse-names" : false, "suffix" : "" } ], "id" : "ITEM-1", "issued" : { "date-parts" : [ [ "2015" ] ] }, "title" : "IPES-Food: 10 Principles to guide the transition to Sustainable Food Systems", "type" : "report" }, "uris" : [ "http://www.mendeley.com/documents/?uuid=97aca61f-3fbb-4fa2-86b4-8d15e0c5fd71" ] } ], "mendeley" : { "formattedCitation" : "(IPES-Food, 2015)", "plainTextFormattedCitation" : "(IPES-Food, 2015)", "previouslyFormattedCitation" : "(IPES-Food, 2015)" }, "properties" : { "noteIndex" : 0 }, "schema" : "https://github.com/citation-style-language/schema/raw/master/csl-citation.json" }</w:instrText>
      </w:r>
      <w:r w:rsidR="004119F6">
        <w:fldChar w:fldCharType="separate"/>
      </w:r>
      <w:r w:rsidR="004119F6" w:rsidRPr="004119F6">
        <w:rPr>
          <w:noProof/>
        </w:rPr>
        <w:t>(IPES-Food, 2015)</w:t>
      </w:r>
      <w:r w:rsidR="004119F6">
        <w:fldChar w:fldCharType="end"/>
      </w:r>
      <w:r w:rsidRPr="00F36729">
        <w:t xml:space="preserve">. At the same time, </w:t>
      </w:r>
      <w:r w:rsidRPr="00F36729">
        <w:rPr>
          <w:lang w:eastAsia="en-GB"/>
        </w:rPr>
        <w:t xml:space="preserve">agrobiodiversity conservation is increasingly turning towards market-oriented conservation governance, where farmers are seen as producers of ecosystem services taking advantage of emerging market opportunities </w:t>
      </w:r>
      <w:r w:rsidRPr="00F36729">
        <w:rPr>
          <w:lang w:eastAsia="en-GB"/>
        </w:rPr>
        <w:fldChar w:fldCharType="begin" w:fldLock="1"/>
      </w:r>
      <w:r w:rsidRPr="00F36729">
        <w:rPr>
          <w:lang w:eastAsia="en-GB"/>
        </w:rPr>
        <w:instrText>ADDIN CSL_CITATION { "citationItems" : [ { "id" : "ITEM-1", "itemData" : { "ISSN" : "0038-0199", "author" : [ { "dropping-particle" : "", "family" : "Ovaska", "given" : "Ulla", "non-dropping-particle" : "", "parse-names" : false, "suffix" : "" }, { "dropping-particle" : "", "family" : "Soini", "given" : "Katriina", "non-dropping-particle" : "", "parse-names" : false, "suffix" : "" } ], "container-title" : "Sociologia Ruralis", "id" : "ITEM-1", "issued" : { "date-parts" : [ [ "2017" ] ] }, "page" : "709-729", "publisher" : "Wiley Online Library", "title" : "Local Breeds\u2013Rural Heritage or New Market Opportunities? Colliding Views on the Conservation and Sustainable Use of Landraces", "type" : "article-journal", "volume" : "57" }, "uris" : [ "http://www.mendeley.com/documents/?uuid=4da3e15b-fd3f-427c-aa43-8f720832c278" ] } ], "mendeley" : { "formattedCitation" : "(Ovaska and Soini, 2017)", "plainTextFormattedCitation" : "(Ovaska and Soini, 2017)", "previouslyFormattedCitation" : "(Ovaska and Soini, 2017)" }, "properties" : { "noteIndex" : 0 }, "schema" : "https://github.com/citation-style-language/schema/raw/master/csl-citation.json" }</w:instrText>
      </w:r>
      <w:r w:rsidRPr="00F36729">
        <w:rPr>
          <w:lang w:eastAsia="en-GB"/>
        </w:rPr>
        <w:fldChar w:fldCharType="separate"/>
      </w:r>
      <w:r w:rsidRPr="00F36729">
        <w:rPr>
          <w:noProof/>
          <w:lang w:eastAsia="en-GB"/>
        </w:rPr>
        <w:t>(Ovaska and Soini, 2017)</w:t>
      </w:r>
      <w:r w:rsidRPr="00F36729">
        <w:rPr>
          <w:lang w:eastAsia="en-GB"/>
        </w:rPr>
        <w:fldChar w:fldCharType="end"/>
      </w:r>
      <w:r w:rsidRPr="00F36729">
        <w:rPr>
          <w:lang w:eastAsia="en-GB"/>
        </w:rPr>
        <w:t>.</w:t>
      </w:r>
      <w:r w:rsidRPr="00F36729">
        <w:t xml:space="preserve"> Marrying these two agendas</w:t>
      </w:r>
      <w:r>
        <w:t xml:space="preserve"> requires incentives that overcome farmer opportunity cost for producing more unit of output through conventional or uniform production systems. Reducing information rents on the part of the farmer will improve the cost effectiveness of schemes.  </w:t>
      </w:r>
    </w:p>
    <w:p w:rsidR="00F36729" w:rsidRDefault="00F36729" w:rsidP="00F36729"/>
    <w:p w:rsidR="006B7EAB" w:rsidRDefault="00F36729" w:rsidP="005955DF">
      <w:r w:rsidRPr="005955DF">
        <w:rPr>
          <w:b/>
        </w:rPr>
        <w:t xml:space="preserve">Understanding farmer </w:t>
      </w:r>
      <w:r w:rsidR="005955DF" w:rsidRPr="005955DF">
        <w:rPr>
          <w:b/>
        </w:rPr>
        <w:t xml:space="preserve">motivations for </w:t>
      </w:r>
      <w:r w:rsidR="0096059F">
        <w:rPr>
          <w:b/>
        </w:rPr>
        <w:t>breed/variety choice</w:t>
      </w:r>
      <w:r w:rsidRPr="005955DF">
        <w:rPr>
          <w:b/>
        </w:rPr>
        <w:t xml:space="preserve"> could help </w:t>
      </w:r>
      <w:r w:rsidR="006B7EAB">
        <w:rPr>
          <w:b/>
        </w:rPr>
        <w:t xml:space="preserve">inform conservation </w:t>
      </w:r>
      <w:r w:rsidR="0096059F">
        <w:rPr>
          <w:b/>
        </w:rPr>
        <w:t>strategies</w:t>
      </w:r>
      <w:r w:rsidRPr="005955DF">
        <w:rPr>
          <w:b/>
        </w:rPr>
        <w:t xml:space="preserve">. </w:t>
      </w:r>
      <w:r w:rsidR="005955DF">
        <w:t>F</w:t>
      </w:r>
      <w:r>
        <w:t xml:space="preserve">armers may be motivated to keep rare breeds for </w:t>
      </w:r>
      <w:r w:rsidR="006B7EAB">
        <w:t xml:space="preserve">a range of economic and </w:t>
      </w:r>
      <w:r>
        <w:t xml:space="preserve">non-economic reasons, including cultural tradition and </w:t>
      </w:r>
      <w:r w:rsidR="006B7EAB">
        <w:t>land-use</w:t>
      </w:r>
      <w:r>
        <w:t xml:space="preserve"> constraints</w:t>
      </w:r>
      <w:r w:rsidR="00487AD6">
        <w:t xml:space="preserve"> </w:t>
      </w:r>
      <w:r w:rsidR="00487AD6">
        <w:fldChar w:fldCharType="begin" w:fldLock="1"/>
      </w:r>
      <w:r w:rsidR="004119F6">
        <w:instrText>ADDIN CSL_CITATION { "citationItems" : [ { "id" : "ITEM-1", "itemData" : { "ISSN" : "2076-4022", "author" : [ { "dropping-particle" : "", "family" : "Gandini", "given" : "G", "non-dropping-particle" : "", "parse-names" : false, "suffix" : "" }, { "dropping-particle" : "", "family" : "Avon", "given" : "L", "non-dropping-particle" : "", "parse-names" : false, "suffix" : "" }, { "dropping-particle" : "", "family" : "Bohte-Wilhelmus", "given" : "D", "non-dropping-particle" : "", "parse-names" : false, "suffix" : "" }, { "dropping-particle" : "", "family" : "Bay", "given" : "Elodie", "non-dropping-particle" : "", "parse-names" : false, "suffix" : "" }, { "dropping-particle" : "", "family" : "Colinet", "given" : "F G", "non-dropping-particle" : "", "parse-names" : false, "suffix" : "" }, { "dropping-particle" : "", "family" : "Choroszy", "given" : "Z", "non-dropping-particle" : "", "parse-names" : false, "suffix" : "" }, { "dropping-particle" : "", "family" : "D\u00edaz", "given" : "C", "non-dropping-particle" : "", "parse-names" : false, "suffix" : "" }, { "dropping-particle" : "", "family" : "Duclos", "given" : "D", "non-dropping-particle" : "", "parse-names" : false, "suffix" : "" }, { "dropping-particle" : "", "family" : "Fern\u00e1ndez", "given" : "J", "non-dropping-particle" : "", "parse-names" : false, "suffix" : "" }, { "dropping-particle" : "", "family" : "Gengler", "given" : "Nicolas", "non-dropping-particle" : "", "parse-names" : false, "suffix" : "" } ], "container-title" : "Animal Genetic Resources/Ressources g\u00e9n\u00e9tiques animales/Recursos gen\u00e9ticos animales", "id" : "ITEM-1", "issued" : { "date-parts" : [ [ "2010" ] ] }, "page" : "45-58", "publisher" : "Cambridge Univ Press", "title" : "Motives and values in farming local cattle breeds in Europe: a survey on 15 breeds", "type" : "article-journal", "volume" : "47" }, "uris" : [ "http://www.mendeley.com/documents/?uuid=75f2afb5-7f2c-40a3-bf2b-7068e8e97e05" ] } ], "mendeley" : { "formattedCitation" : "(Gandini et al., 2010)", "plainTextFormattedCitation" : "(Gandini et al., 2010)", "previouslyFormattedCitation" : "(Gandini et al., 2010)" }, "properties" : { "noteIndex" : 0 }, "schema" : "https://github.com/citation-style-language/schema/raw/master/csl-citation.json" }</w:instrText>
      </w:r>
      <w:r w:rsidR="00487AD6">
        <w:fldChar w:fldCharType="separate"/>
      </w:r>
      <w:r w:rsidR="00487AD6" w:rsidRPr="00487AD6">
        <w:rPr>
          <w:noProof/>
        </w:rPr>
        <w:t>(Gandini et al., 2010)</w:t>
      </w:r>
      <w:r w:rsidR="00487AD6">
        <w:fldChar w:fldCharType="end"/>
      </w:r>
      <w:r>
        <w:t xml:space="preserve">. </w:t>
      </w:r>
      <w:r w:rsidR="00E94067">
        <w:t xml:space="preserve">Surveys from this </w:t>
      </w:r>
      <w:r w:rsidR="00E94067">
        <w:lastRenderedPageBreak/>
        <w:t>work</w:t>
      </w:r>
      <w:r w:rsidR="006467E9">
        <w:t xml:space="preserve"> showed farmers keeping rare breeds </w:t>
      </w:r>
      <w:proofErr w:type="gramStart"/>
      <w:r w:rsidR="0096059F">
        <w:t>are</w:t>
      </w:r>
      <w:r w:rsidR="006467E9">
        <w:t xml:space="preserve"> motivated</w:t>
      </w:r>
      <w:proofErr w:type="gramEnd"/>
      <w:r w:rsidR="006467E9">
        <w:t xml:space="preserve"> by adaptability and cultural </w:t>
      </w:r>
      <w:r w:rsidR="006B7EAB">
        <w:t>factors</w:t>
      </w:r>
      <w:r w:rsidR="006467E9">
        <w:t xml:space="preserve"> but were not WTA lower subsides for participation in conservation schemes. </w:t>
      </w:r>
      <w:r w:rsidR="00E94067">
        <w:t xml:space="preserve">Productivity </w:t>
      </w:r>
      <w:r w:rsidR="003A6448">
        <w:t>was</w:t>
      </w:r>
      <w:r w:rsidR="00E94067">
        <w:t xml:space="preserve"> still </w:t>
      </w:r>
      <w:r w:rsidR="0096059F">
        <w:t>the main</w:t>
      </w:r>
      <w:r w:rsidR="00E94067">
        <w:t xml:space="preserve"> factor driving farmer</w:t>
      </w:r>
      <w:r w:rsidR="006467E9">
        <w:t xml:space="preserve"> </w:t>
      </w:r>
      <w:r w:rsidR="006B7EAB">
        <w:t>decisions concerning breed selection</w:t>
      </w:r>
      <w:r w:rsidR="0096059F">
        <w:t xml:space="preserve">, while the absence of local markets for selling heritage goods </w:t>
      </w:r>
      <w:proofErr w:type="gramStart"/>
      <w:r w:rsidR="0096059F">
        <w:t>was cited</w:t>
      </w:r>
      <w:proofErr w:type="gramEnd"/>
      <w:r w:rsidR="0096059F">
        <w:t xml:space="preserve"> as a key issue.</w:t>
      </w:r>
      <w:r w:rsidR="006B7EAB">
        <w:t xml:space="preserve"> </w:t>
      </w:r>
      <w:r w:rsidR="0096059F">
        <w:t>Funding to develop</w:t>
      </w:r>
      <w:r w:rsidR="006B7EAB">
        <w:t xml:space="preserve"> shorter supply chains for better valorisation opportunities may be most promising to promote </w:t>
      </w:r>
      <w:r w:rsidR="0096059F">
        <w:t xml:space="preserve">breed (and cultivar) </w:t>
      </w:r>
      <w:r w:rsidR="006B7EAB">
        <w:t xml:space="preserve">conservation in some regions </w:t>
      </w:r>
      <w:r w:rsidR="006B7EAB">
        <w:fldChar w:fldCharType="begin" w:fldLock="1"/>
      </w:r>
      <w:r w:rsidR="00160F5F">
        <w:instrText>ADDIN CSL_CITATION { "citationItems" : [ { "id" : "ITEM-1", "itemData" : { "ISSN" : "0308-518X", "author" : [ { "dropping-particle" : "", "family" : "Ilbery", "given" : "Brian", "non-dropping-particle" : "", "parse-names" : false, "suffix" : "" }, { "dropping-particle" : "", "family" : "Maye", "given" : "Damian", "non-dropping-particle" : "", "parse-names" : false, "suffix" : "" } ], "container-title" : "Environment and planning A", "id" : "ITEM-1", "issue" : "5", "issued" : { "date-parts" : [ [ "2005" ] ] }, "page" : "823-844", "publisher" : "SAGE Publications", "title" : "Alternative (shorter) food supply chains and specialist livestock products in the Scottish\u2013English borders", "type" : "article-journal", "volume" : "37" }, "uris" : [ "http://www.mendeley.com/documents/?uuid=478861a5-64a9-48d7-810b-04c73328dfdb" ] } ], "mendeley" : { "formattedCitation" : "(Ilbery and Maye, 2005)", "plainTextFormattedCitation" : "(Ilbery and Maye, 2005)", "previouslyFormattedCitation" : "(Ilbery and Maye, 2005)" }, "properties" : { "noteIndex" : 0 }, "schema" : "https://github.com/citation-style-language/schema/raw/master/csl-citation.json" }</w:instrText>
      </w:r>
      <w:r w:rsidR="006B7EAB">
        <w:fldChar w:fldCharType="separate"/>
      </w:r>
      <w:r w:rsidR="006B7EAB" w:rsidRPr="006B7EAB">
        <w:rPr>
          <w:noProof/>
        </w:rPr>
        <w:t>(Ilbery and Maye, 2005)</w:t>
      </w:r>
      <w:r w:rsidR="006B7EAB">
        <w:fldChar w:fldCharType="end"/>
      </w:r>
      <w:r w:rsidR="006B7EAB">
        <w:t>.</w:t>
      </w:r>
    </w:p>
    <w:p w:rsidR="005955DF" w:rsidRPr="005955DF" w:rsidRDefault="005955DF" w:rsidP="005955DF">
      <w:pPr>
        <w:rPr>
          <w:b/>
          <w:lang w:eastAsia="en-GB"/>
        </w:rPr>
      </w:pPr>
    </w:p>
    <w:p w:rsidR="00026858" w:rsidRDefault="006E292B" w:rsidP="005955DF">
      <w:pPr>
        <w:rPr>
          <w:lang w:eastAsia="en-GB"/>
        </w:rPr>
      </w:pPr>
      <w:r w:rsidRPr="00F36729">
        <w:rPr>
          <w:b/>
          <w:lang w:eastAsia="en-GB"/>
        </w:rPr>
        <w:t xml:space="preserve">The design aspects of </w:t>
      </w:r>
      <w:r w:rsidR="00F36729" w:rsidRPr="00F36729">
        <w:rPr>
          <w:b/>
          <w:lang w:eastAsia="en-GB"/>
        </w:rPr>
        <w:t xml:space="preserve">incentive </w:t>
      </w:r>
      <w:r w:rsidRPr="00F36729">
        <w:rPr>
          <w:b/>
          <w:lang w:eastAsia="en-GB"/>
        </w:rPr>
        <w:t>schemes, including c</w:t>
      </w:r>
      <w:r w:rsidR="00DE1DD6" w:rsidRPr="00F36729">
        <w:rPr>
          <w:b/>
          <w:lang w:eastAsia="en-GB"/>
        </w:rPr>
        <w:t xml:space="preserve">rowing </w:t>
      </w:r>
      <w:r w:rsidRPr="00F36729">
        <w:rPr>
          <w:b/>
          <w:lang w:eastAsia="en-GB"/>
        </w:rPr>
        <w:t>out, adverse selection and l</w:t>
      </w:r>
      <w:r w:rsidR="00DE1DD6" w:rsidRPr="00F36729">
        <w:rPr>
          <w:b/>
          <w:lang w:eastAsia="en-GB"/>
        </w:rPr>
        <w:t xml:space="preserve">ack of additionality </w:t>
      </w:r>
      <w:r w:rsidRPr="00F36729">
        <w:rPr>
          <w:b/>
          <w:lang w:eastAsia="en-GB"/>
        </w:rPr>
        <w:t xml:space="preserve">need better consideration </w:t>
      </w:r>
      <w:r w:rsidR="00DE1DD6" w:rsidRPr="00F36729">
        <w:rPr>
          <w:b/>
          <w:lang w:eastAsia="en-GB"/>
        </w:rPr>
        <w:t xml:space="preserve">in </w:t>
      </w:r>
      <w:r w:rsidR="003D7EC9" w:rsidRPr="00F36729">
        <w:rPr>
          <w:b/>
          <w:lang w:eastAsia="en-GB"/>
        </w:rPr>
        <w:t>incentiv</w:t>
      </w:r>
      <w:r w:rsidR="005955DF">
        <w:rPr>
          <w:b/>
          <w:lang w:eastAsia="en-GB"/>
        </w:rPr>
        <w:t xml:space="preserve">e instruments. </w:t>
      </w:r>
      <w:r w:rsidR="00026858" w:rsidRPr="00026858">
        <w:rPr>
          <w:lang w:eastAsia="en-GB"/>
        </w:rPr>
        <w:t xml:space="preserve">There are concerns that incentives schemes may “crowd out” intrinsic motivations, such as people's moral commitment towards nature conservation (Luck et al., 2012).  Additionally, the use of </w:t>
      </w:r>
      <w:r w:rsidR="00487AD6" w:rsidRPr="00026858">
        <w:rPr>
          <w:lang w:eastAsia="en-GB"/>
        </w:rPr>
        <w:t>incentive-based</w:t>
      </w:r>
      <w:r w:rsidR="00026858" w:rsidRPr="00026858">
        <w:rPr>
          <w:lang w:eastAsia="en-GB"/>
        </w:rPr>
        <w:t xml:space="preserve"> schemes raises broader questions concerning fairness and distribution effects (</w:t>
      </w:r>
      <w:proofErr w:type="spellStart"/>
      <w:r w:rsidR="00026858" w:rsidRPr="00026858">
        <w:rPr>
          <w:lang w:eastAsia="en-GB"/>
        </w:rPr>
        <w:t>Wunder</w:t>
      </w:r>
      <w:proofErr w:type="spellEnd"/>
      <w:r w:rsidR="00026858" w:rsidRPr="00026858">
        <w:rPr>
          <w:lang w:eastAsia="en-GB"/>
        </w:rPr>
        <w:t xml:space="preserve">, 2007; Jack et al., 2008; </w:t>
      </w:r>
      <w:proofErr w:type="spellStart"/>
      <w:r w:rsidR="00026858" w:rsidRPr="00026858">
        <w:rPr>
          <w:lang w:eastAsia="en-GB"/>
        </w:rPr>
        <w:t>Narloch</w:t>
      </w:r>
      <w:proofErr w:type="spellEnd"/>
      <w:r w:rsidR="00026858" w:rsidRPr="00026858">
        <w:rPr>
          <w:lang w:eastAsia="en-GB"/>
        </w:rPr>
        <w:t xml:space="preserve"> et al., 2013) as well as how cost effective different schemes designs prove to be. Other problems may include lack of additionality (i.e. paying for activities that would have been conducted anyway) and leakage (i.e. shifting </w:t>
      </w:r>
      <w:proofErr w:type="gramStart"/>
      <w:r w:rsidR="00026858" w:rsidRPr="00026858">
        <w:rPr>
          <w:lang w:eastAsia="en-GB"/>
        </w:rPr>
        <w:t>environmentally-damaging</w:t>
      </w:r>
      <w:proofErr w:type="gramEnd"/>
      <w:r w:rsidR="00026858" w:rsidRPr="00026858">
        <w:rPr>
          <w:lang w:eastAsia="en-GB"/>
        </w:rPr>
        <w:t xml:space="preserve"> activities elsewhere). More work is needed to </w:t>
      </w:r>
      <w:r w:rsidR="005955DF">
        <w:rPr>
          <w:lang w:eastAsia="en-GB"/>
        </w:rPr>
        <w:t>better contextualise</w:t>
      </w:r>
      <w:r w:rsidR="00026858" w:rsidRPr="00026858">
        <w:rPr>
          <w:lang w:eastAsia="en-GB"/>
        </w:rPr>
        <w:t xml:space="preserve"> these issues in the context of agrobiodiversity schemes for better conservation outcomes that generate positive impacts (e.g. by “crowding in” positive actions for conservation) beyond the immediate remit of </w:t>
      </w:r>
      <w:r w:rsidR="005955DF">
        <w:rPr>
          <w:lang w:eastAsia="en-GB"/>
        </w:rPr>
        <w:t>schemes.</w:t>
      </w:r>
    </w:p>
    <w:p w:rsidR="005955DF" w:rsidRDefault="005955DF" w:rsidP="005955DF">
      <w:pPr>
        <w:rPr>
          <w:lang w:eastAsia="en-GB"/>
        </w:rPr>
      </w:pPr>
    </w:p>
    <w:p w:rsidR="005955DF" w:rsidRDefault="005955DF" w:rsidP="005955DF">
      <w:pPr>
        <w:rPr>
          <w:lang w:eastAsia="en-GB"/>
        </w:rPr>
      </w:pPr>
      <w:r w:rsidRPr="0074425E">
        <w:rPr>
          <w:b/>
          <w:lang w:eastAsia="en-GB"/>
        </w:rPr>
        <w:t xml:space="preserve">Improving our understanding of the benefits associated with conserving specific breeds/cultivars through better characterisation and valuation is </w:t>
      </w:r>
      <w:proofErr w:type="gramStart"/>
      <w:r w:rsidRPr="0074425E">
        <w:rPr>
          <w:b/>
          <w:lang w:eastAsia="en-GB"/>
        </w:rPr>
        <w:t>key</w:t>
      </w:r>
      <w:proofErr w:type="gramEnd"/>
      <w:r w:rsidRPr="0074425E">
        <w:rPr>
          <w:b/>
          <w:lang w:eastAsia="en-GB"/>
        </w:rPr>
        <w:t xml:space="preserve"> for improving conservation scheme </w:t>
      </w:r>
      <w:r w:rsidR="0074425E">
        <w:rPr>
          <w:b/>
          <w:lang w:eastAsia="en-GB"/>
        </w:rPr>
        <w:t xml:space="preserve">design. </w:t>
      </w:r>
      <w:r w:rsidR="00183AB5">
        <w:rPr>
          <w:lang w:eastAsia="en-GB"/>
        </w:rPr>
        <w:t xml:space="preserve">A growing battery of genetic technologies are advancing breed characterisation that can inform breeding goals and reduce the generation interval in plant and crop breeding </w:t>
      </w:r>
      <w:r w:rsidR="00183AB5">
        <w:rPr>
          <w:lang w:eastAsia="en-GB"/>
        </w:rPr>
        <w:fldChar w:fldCharType="begin" w:fldLock="1"/>
      </w:r>
      <w:r w:rsidR="0074425E">
        <w:rPr>
          <w:lang w:eastAsia="en-GB"/>
        </w:rPr>
        <w:instrText>ADDIN CSL_CITATION { "citationItems" : [ { "id" : "ITEM-1", "itemData" : { "ISSN" : "1546-1718", "author" : [ { "dropping-particle" : "", "family" : "Hickey", "given" : "John M", "non-dropping-particle" : "", "parse-names" : false, "suffix" : "" }, { "dropping-particle" : "", "family" : "Chiurugwi", "given" : "Tinashe", "non-dropping-particle" : "", "parse-names" : false, "suffix" : "" }, { "dropping-particle" : "", "family" : "Mackay", "given" : "Ian", "non-dropping-particle" : "", "parse-names" : false, "suffix" : "" }, { "dropping-particle" : "", "family" : "Powell", "given" : "Wayne", "non-dropping-particle" : "", "parse-names" : false, "suffix" : "" }, { "dropping-particle" : "", "family" : "Eggen", "given" : "Andre", "non-dropping-particle" : "", "parse-names" : false, "suffix" : "" }, { "dropping-particle" : "", "family" : "Kilian", "given" : "Andrzej", "non-dropping-particle" : "", "parse-names" : false, "suffix" : "" }, { "dropping-particle" : "", "family" : "Jones", "given" : "Chris", "non-dropping-particle" : "", "parse-names" : false, "suffix" : "" }, { "dropping-particle" : "", "family" : "Canales", "given" : "Claudia", "non-dropping-particle" : "", "parse-names" : false, "suffix" : "" }, { "dropping-particle" : "", "family" : "Grattapaglia", "given" : "Dario", "non-dropping-particle" : "", "parse-names" : false, "suffix" : "" }, { "dropping-particle" : "", "family" : "Bassi", "given" : "Filippo", "non-dropping-particle" : "", "parse-names" : false, "suffix" : "" } ], "container-title" : "Nature genetics", "id" : "ITEM-1", "issue" : "9", "issued" : { "date-parts" : [ [ "2017" ] ] }, "page" : "1297", "publisher" : "Nature Publishing Group", "title" : "Genomic prediction unifies animal and plant breeding programs to form platforms for biological discovery", "type" : "article-journal", "volume" : "49" }, "uris" : [ "http://www.mendeley.com/documents/?uuid=57204bd8-dc96-4112-84b3-a0dc1ff49bf8" ] } ], "mendeley" : { "formattedCitation" : "(Hickey et al., 2017)", "plainTextFormattedCitation" : "(Hickey et al., 2017)", "previouslyFormattedCitation" : "(Hickey et al., 2017)" }, "properties" : { "noteIndex" : 0 }, "schema" : "https://github.com/citation-style-language/schema/raw/master/csl-citation.json" }</w:instrText>
      </w:r>
      <w:r w:rsidR="00183AB5">
        <w:rPr>
          <w:lang w:eastAsia="en-GB"/>
        </w:rPr>
        <w:fldChar w:fldCharType="separate"/>
      </w:r>
      <w:r w:rsidR="00A03412" w:rsidRPr="00A03412">
        <w:rPr>
          <w:noProof/>
          <w:lang w:eastAsia="en-GB"/>
        </w:rPr>
        <w:t>(Hickey et al., 2017)</w:t>
      </w:r>
      <w:r w:rsidR="00183AB5">
        <w:rPr>
          <w:lang w:eastAsia="en-GB"/>
        </w:rPr>
        <w:fldChar w:fldCharType="end"/>
      </w:r>
      <w:r w:rsidR="00A03412">
        <w:rPr>
          <w:lang w:eastAsia="en-GB"/>
        </w:rPr>
        <w:t>. Yet, these technologies ar</w:t>
      </w:r>
      <w:r w:rsidR="0074425E">
        <w:rPr>
          <w:lang w:eastAsia="en-GB"/>
        </w:rPr>
        <w:t xml:space="preserve">e seldom applied to “unimproved” genetic resources, which constrains interpretation of option value </w:t>
      </w:r>
      <w:r w:rsidR="0074425E">
        <w:rPr>
          <w:lang w:eastAsia="en-GB"/>
        </w:rPr>
        <w:fldChar w:fldCharType="begin" w:fldLock="1"/>
      </w:r>
      <w:r w:rsidR="00E534BD">
        <w:rPr>
          <w:lang w:eastAsia="en-GB"/>
        </w:rPr>
        <w:instrText>ADDIN CSL_CITATION { "citationItems" : [ { "id" : "ITEM-1", "itemData" : { "DOI" : "10.3389/fgene.2015.00024", "ISSN" : "1664-8021", "author" : [ { "dropping-particle" : "", "family" : "Bowles", "given" : "Dianna", "non-dropping-particle" : "", "parse-names" : false, "suffix" : "" } ], "container-title" : "Frontiers in genetics", "id" : "ITEM-1", "issued" : { "date-parts" : [ [ "2015" ] ] }, "page" : "24", "publisher" : "Frontiers", "title" : "Recent advances in understanding the genetic resources of sheep breeds locally-adapted to the UK uplands: opportunities they offer for sustainable productivity", "type" : "article-journal", "volume" : "6" }, "uris" : [ "http://www.mendeley.com/documents/?uuid=6c982adb-21bc-461e-8fda-6fa0903a26b3" ] } ], "mendeley" : { "formattedCitation" : "(Bowles, 2015)", "plainTextFormattedCitation" : "(Bowles, 2015)", "previouslyFormattedCitation" : "(Bowles, 2015)" }, "properties" : { "noteIndex" : 0 }, "schema" : "https://github.com/citation-style-language/schema/raw/master/csl-citation.json" }</w:instrText>
      </w:r>
      <w:r w:rsidR="0074425E">
        <w:rPr>
          <w:lang w:eastAsia="en-GB"/>
        </w:rPr>
        <w:fldChar w:fldCharType="separate"/>
      </w:r>
      <w:r w:rsidR="0074425E" w:rsidRPr="0074425E">
        <w:rPr>
          <w:noProof/>
          <w:lang w:eastAsia="en-GB"/>
        </w:rPr>
        <w:t>(Bowles, 2015)</w:t>
      </w:r>
      <w:r w:rsidR="0074425E">
        <w:rPr>
          <w:lang w:eastAsia="en-GB"/>
        </w:rPr>
        <w:fldChar w:fldCharType="end"/>
      </w:r>
      <w:r w:rsidR="0074425E">
        <w:rPr>
          <w:lang w:eastAsia="en-GB"/>
        </w:rPr>
        <w:t xml:space="preserve">. Promoting better characterisation would advance the valuation agenda, where currently there is poor understanding of the marginal benefits arising from each additional pound invested in diversity. This is important so conservation spending </w:t>
      </w:r>
      <w:proofErr w:type="gramStart"/>
      <w:r w:rsidR="0074425E">
        <w:rPr>
          <w:lang w:eastAsia="en-GB"/>
        </w:rPr>
        <w:t xml:space="preserve">can be optimised for </w:t>
      </w:r>
      <w:r w:rsidR="00E534BD">
        <w:rPr>
          <w:lang w:eastAsia="en-GB"/>
        </w:rPr>
        <w:t>specific factors</w:t>
      </w:r>
      <w:r w:rsidR="0074425E">
        <w:rPr>
          <w:lang w:eastAsia="en-GB"/>
        </w:rPr>
        <w:t xml:space="preserve"> </w:t>
      </w:r>
      <w:r w:rsidR="00E534BD">
        <w:rPr>
          <w:lang w:eastAsia="en-GB"/>
        </w:rPr>
        <w:t>and monitored accordingly</w:t>
      </w:r>
      <w:proofErr w:type="gramEnd"/>
      <w:r w:rsidR="00E534BD">
        <w:rPr>
          <w:lang w:eastAsia="en-GB"/>
        </w:rPr>
        <w:t xml:space="preserve">. </w:t>
      </w:r>
      <w:r w:rsidR="0074425E">
        <w:rPr>
          <w:lang w:eastAsia="en-GB"/>
        </w:rPr>
        <w:t xml:space="preserve">   </w:t>
      </w:r>
    </w:p>
    <w:p w:rsidR="00BD583D" w:rsidRDefault="00BD583D" w:rsidP="005955DF">
      <w:pPr>
        <w:rPr>
          <w:lang w:eastAsia="en-GB"/>
        </w:rPr>
      </w:pPr>
    </w:p>
    <w:p w:rsidR="00BD583D" w:rsidRPr="00BD583D" w:rsidRDefault="00BD583D" w:rsidP="005955DF">
      <w:pPr>
        <w:rPr>
          <w:b/>
          <w:lang w:eastAsia="en-GB"/>
        </w:rPr>
      </w:pPr>
      <w:r>
        <w:rPr>
          <w:b/>
          <w:lang w:eastAsia="en-GB"/>
        </w:rPr>
        <w:t xml:space="preserve">Incentive mechanisms are urgently needed to increase </w:t>
      </w:r>
      <w:r w:rsidRPr="00E02BE7">
        <w:rPr>
          <w:b/>
          <w:i/>
          <w:lang w:eastAsia="en-GB"/>
        </w:rPr>
        <w:t>in situ</w:t>
      </w:r>
      <w:r>
        <w:rPr>
          <w:b/>
          <w:lang w:eastAsia="en-GB"/>
        </w:rPr>
        <w:t xml:space="preserve"> (on-farm) conservation of CWR in response to land use changes and climate change threats. </w:t>
      </w:r>
      <w:r>
        <w:rPr>
          <w:lang w:eastAsia="en-GB"/>
        </w:rPr>
        <w:t xml:space="preserve">Aside conservation in genetic reserves and protected areas, </w:t>
      </w:r>
      <w:r w:rsidRPr="006F0916">
        <w:rPr>
          <w:lang w:eastAsia="en-GB"/>
        </w:rPr>
        <w:t>on-farm</w:t>
      </w:r>
      <w:r>
        <w:rPr>
          <w:i/>
          <w:lang w:eastAsia="en-GB"/>
        </w:rPr>
        <w:t xml:space="preserve"> </w:t>
      </w:r>
      <w:r>
        <w:rPr>
          <w:lang w:eastAsia="en-GB"/>
        </w:rPr>
        <w:t xml:space="preserve">conservation of CWR has been neglected, despite growing concerns surrounding range shifts of wild relatives in response to climate change that exceeds  current geographical coverage of protected areas </w:t>
      </w:r>
      <w:r>
        <w:rPr>
          <w:lang w:eastAsia="en-GB"/>
        </w:rPr>
        <w:fldChar w:fldCharType="begin" w:fldLock="1"/>
      </w:r>
      <w:r>
        <w:rPr>
          <w:lang w:eastAsia="en-GB"/>
        </w:rPr>
        <w:instrText>ADDIN CSL_CITATION { "citationItems" : [ { "id" : "ITEM-1", "itemData" : { "ISSN" : "1366-9516", "author" : [ { "dropping-particle" : "", "family" : "Aguirre\u2010Guti\u00e9rrez", "given" : "Jes\u00fas", "non-dropping-particle" : "", "parse-names" : false, "suffix" : "" }, { "dropping-particle" : "", "family" : "Treuren", "given" : "Rob", "non-dropping-particle" : "van", "parse-names" : false, "suffix" : "" }, { "dropping-particle" : "", "family" : "Hoekstra", "given" : "Roel", "non-dropping-particle" : "", "parse-names" : false, "suffix" : "" }, { "dropping-particle" : "", "family" : "Hintum", "given" : "Theo J L", "non-dropping-particle" : "van", "parse-names" : false, "suffix" : "" } ], "container-title" : "Diversity and Distributions", "id" : "ITEM-1", "issue" : "7", "issued" : { "date-parts" : [ [ "2017" ] ] }, "page" : "739-750", "publisher" : "Wiley Online Library", "title" : "Crop wild relatives range shifts and conservation in Europe under climate change", "type" : "article-journal", "volume" : "23" }, "uris" : [ "http://www.mendeley.com/documents/?uuid=aa372fa6-5587-477a-a2bd-7b21ff039758" ] }, { "id" : "ITEM-2", "itemData" : { "ISSN" : "0006-3207", "author" : [ { "dropping-particle" : "", "family" : "Treuren", "given" : "Rob", "non-dropping-particle" : "van", "parse-names" : false, "suffix" : "" }, { "dropping-particle" : "", "family" : "Hoekstra", "given" : "Roel", "non-dropping-particle" : "", "parse-names" : false, "suffix" : "" }, { "dropping-particle" : "", "family" : "Hintum", "given" : "Theo J L", "non-dropping-particle" : "van", "parse-names" : false, "suffix" : "" } ], "container-title" : "Biological Conservation", "id" : "ITEM-2", "issued" : { "date-parts" : [ [ "2017" ] ] }, "page" : "123-139", "publisher" : "Elsevier", "title" : "Inventory and prioritization for the conservation of crop wild relatives in The Netherlands under climate change", "type" : "article-journal", "volume" : "216" }, "uris" : [ "http://www.mendeley.com/documents/?uuid=4ed3bda8-6001-471a-95fa-83cd93fb0b01" ] } ], "mendeley" : { "formattedCitation" : "(Aguirre\u2010Guti\u00e9rrez et al., 2017; van Treuren et al., 2017)", "plainTextFormattedCitation" : "(Aguirre\u2010Guti\u00e9rrez et al., 2017; van Treuren et al., 2017)", "previouslyFormattedCitation" : "(Aguirre\u2010Guti\u00e9rrez et al., 2017; van Treuren et al., 2017)" }, "properties" : { "noteIndex" : 0 }, "schema" : "https://github.com/citation-style-language/schema/raw/master/csl-citation.json" }</w:instrText>
      </w:r>
      <w:r>
        <w:rPr>
          <w:lang w:eastAsia="en-GB"/>
        </w:rPr>
        <w:fldChar w:fldCharType="separate"/>
      </w:r>
      <w:r w:rsidRPr="006F0916">
        <w:rPr>
          <w:noProof/>
          <w:lang w:eastAsia="en-GB"/>
        </w:rPr>
        <w:t>(Aguirre</w:t>
      </w:r>
      <w:r w:rsidRPr="006F0916">
        <w:rPr>
          <w:rFonts w:ascii="Cambria Math" w:hAnsi="Cambria Math" w:cs="Cambria Math"/>
          <w:noProof/>
          <w:lang w:eastAsia="en-GB"/>
        </w:rPr>
        <w:t>‐</w:t>
      </w:r>
      <w:r w:rsidRPr="006F0916">
        <w:rPr>
          <w:noProof/>
          <w:lang w:eastAsia="en-GB"/>
        </w:rPr>
        <w:t>Gutiérrez et al., 2017; van Treuren et al., 2017)</w:t>
      </w:r>
      <w:r>
        <w:rPr>
          <w:lang w:eastAsia="en-GB"/>
        </w:rPr>
        <w:fldChar w:fldCharType="end"/>
      </w:r>
      <w:r>
        <w:rPr>
          <w:lang w:eastAsia="en-GB"/>
        </w:rPr>
        <w:t xml:space="preserve">. Moreover, land use changes </w:t>
      </w:r>
      <w:r>
        <w:rPr>
          <w:lang w:eastAsia="en-GB"/>
        </w:rPr>
        <w:lastRenderedPageBreak/>
        <w:t>(e.g. agricultural intensification) threaten many wild relative populations that persist outside protected areas</w:t>
      </w:r>
      <w:r>
        <w:rPr>
          <w:lang w:eastAsia="en-GB"/>
        </w:rPr>
        <w:t xml:space="preserve"> </w:t>
      </w:r>
      <w:r>
        <w:rPr>
          <w:lang w:eastAsia="en-GB"/>
        </w:rPr>
        <w:fldChar w:fldCharType="begin" w:fldLock="1"/>
      </w:r>
      <w:r w:rsidR="00BA4E85">
        <w:rPr>
          <w:lang w:eastAsia="en-GB"/>
        </w:rPr>
        <w:instrText>ADDIN CSL_CITATION { "citationItems" : [ { "id" : "ITEM-1", "itemData" : { "author" : [ { "dropping-particle" : "", "family" : "Maxted", "given" : "N", "non-dropping-particle" : "", "parse-names" : false, "suffix" : "" }, { "dropping-particle" : "", "family" : "Kell", "given" : "S", "non-dropping-particle" : "", "parse-names" : false, "suffix" : "" }, { "dropping-particle" : "", "family" : "Magos Brehm", "given" : "J", "non-dropping-particle" : "", "parse-names" : false, "suffix" : "" } ], "container-title" : "Food and Agriculture Organization of the United Nations, Rome, Italy", "id" : "ITEM-1", "issued" : { "date-parts" : [ [ "2011" ] ] }, "title" : "Options to promote food security: on-farm management and in situ conservation of plant genetic resources for food and agriculture", "type" : "article-journal" }, "uris" : [ "http://www.mendeley.com/documents/?uuid=c31cc5b7-c977-4548-b148-5988884a4dfa" ] }, { "id" : "ITEM-2", "itemData" : { "ISSN" : "0006-3207", "author" : [ { "dropping-particle" : "", "family" : "Jarvis", "given" : "Susan", "non-dropping-particle" : "", "parse-names" : false, "suffix" : "" }, { "dropping-particle" : "", "family" : "Fielder", "given" : "Hannah", "non-dropping-particle" : "", "parse-names" : false, "suffix" : "" }, { "dropping-particle" : "", "family" : "Hopkins", "given" : "John", "non-dropping-particle" : "", "parse-names" : false, "suffix" : "" }, { "dropping-particle" : "", "family" : "Maxted", "given" : "Nigel", "non-dropping-particle" : "", "parse-names" : false, "suffix" : "" }, { "dropping-particle" : "", "family" : "Smart", "given" : "Simon", "non-dropping-particle" : "", "parse-names" : false, "suffix" : "" } ], "container-title" : "Biological Conservation", "id" : "ITEM-2", "issued" : { "date-parts" : [ [ "2015" ] ] }, "page" : "444-451", "publisher" : "Elsevier", "title" : "Distribution of crop wild relatives of conservation priority in the UK landscape", "type" : "article-journal", "volume" : "191" }, "uris" : [ "http://www.mendeley.com/documents/?uuid=e342e25b-2fb2-41ff-808d-5c96c79c6a52" ] } ], "mendeley" : { "formattedCitation" : "(Maxted et al., 2011; Jarvis et al., 2015)", "plainTextFormattedCitation" : "(Maxted et al., 2011; Jarvis et al., 2015)", "previouslyFormattedCitation" : "(Maxted et al., 2011; Jarvis et al., 2015)" }, "properties" : { "noteIndex" : 0 }, "schema" : "https://github.com/citation-style-language/schema/raw/master/csl-citation.json" }</w:instrText>
      </w:r>
      <w:r>
        <w:rPr>
          <w:lang w:eastAsia="en-GB"/>
        </w:rPr>
        <w:fldChar w:fldCharType="separate"/>
      </w:r>
      <w:r w:rsidRPr="00BD583D">
        <w:rPr>
          <w:noProof/>
          <w:lang w:eastAsia="en-GB"/>
        </w:rPr>
        <w:t>(Maxted et al., 2011; Jarvis et al., 2015)</w:t>
      </w:r>
      <w:r>
        <w:rPr>
          <w:lang w:eastAsia="en-GB"/>
        </w:rPr>
        <w:fldChar w:fldCharType="end"/>
      </w:r>
      <w:r>
        <w:rPr>
          <w:lang w:eastAsia="en-GB"/>
        </w:rPr>
        <w:t xml:space="preserve">. To meet these challenges, on-farm conservation strategies </w:t>
      </w:r>
      <w:proofErr w:type="gramStart"/>
      <w:r>
        <w:rPr>
          <w:lang w:eastAsia="en-GB"/>
        </w:rPr>
        <w:t>are needed</w:t>
      </w:r>
      <w:proofErr w:type="gramEnd"/>
      <w:r>
        <w:rPr>
          <w:lang w:eastAsia="en-GB"/>
        </w:rPr>
        <w:t xml:space="preserve"> where currently few persist. Incentive schemes are ideally poised to pay farmers for supplying CWR conservation services and could target sites relative to different climatic and species distribution models. </w:t>
      </w:r>
    </w:p>
    <w:p w:rsidR="00E534BD" w:rsidRDefault="00E534BD" w:rsidP="005955DF">
      <w:pPr>
        <w:rPr>
          <w:lang w:eastAsia="en-GB"/>
        </w:rPr>
      </w:pPr>
    </w:p>
    <w:p w:rsidR="00B40DFA" w:rsidRPr="00A67B53" w:rsidRDefault="00E534BD" w:rsidP="005955DF">
      <w:pPr>
        <w:rPr>
          <w:b/>
          <w:lang w:eastAsia="en-GB"/>
        </w:rPr>
      </w:pPr>
      <w:r w:rsidRPr="00E534BD">
        <w:rPr>
          <w:b/>
          <w:lang w:eastAsia="en-GB"/>
        </w:rPr>
        <w:t xml:space="preserve">Using </w:t>
      </w:r>
      <w:r>
        <w:rPr>
          <w:b/>
          <w:lang w:eastAsia="en-GB"/>
        </w:rPr>
        <w:t xml:space="preserve">agrobiodiveristy </w:t>
      </w:r>
      <w:r w:rsidRPr="00E534BD">
        <w:rPr>
          <w:b/>
          <w:lang w:eastAsia="en-GB"/>
        </w:rPr>
        <w:t xml:space="preserve">conservation auctions, or competitive tenders, can facilitate identification of least cost conservation service providers. </w:t>
      </w:r>
      <w:r>
        <w:rPr>
          <w:lang w:eastAsia="en-GB"/>
        </w:rPr>
        <w:t xml:space="preserve">Conservation auctions allow buyers of ecosystem services (usually governments) to reduce the effects of adverse selection and information </w:t>
      </w:r>
      <w:r w:rsidR="00B40DFA">
        <w:rPr>
          <w:lang w:eastAsia="en-GB"/>
        </w:rPr>
        <w:t>asymmetries</w:t>
      </w:r>
      <w:r>
        <w:rPr>
          <w:lang w:eastAsia="en-GB"/>
        </w:rPr>
        <w:t xml:space="preserve"> since the competitive nature of auctions </w:t>
      </w:r>
      <w:r w:rsidR="00B40DFA">
        <w:rPr>
          <w:lang w:eastAsia="en-GB"/>
        </w:rPr>
        <w:t>avoids information rents, allowing</w:t>
      </w:r>
      <w:r>
        <w:rPr>
          <w:lang w:eastAsia="en-GB"/>
        </w:rPr>
        <w:t xml:space="preserve"> measurement of minimum WTA </w:t>
      </w:r>
      <w:r>
        <w:rPr>
          <w:lang w:eastAsia="en-GB"/>
        </w:rPr>
        <w:fldChar w:fldCharType="begin" w:fldLock="1"/>
      </w:r>
      <w:r w:rsidR="00586FF0">
        <w:rPr>
          <w:lang w:eastAsia="en-GB"/>
        </w:rPr>
        <w:instrText>ADDIN CSL_CITATION { "citationItems" : [ { "id" : "ITEM-1", "itemData" : { "ISSN" : "0924-6460", "author" : [ { "dropping-particle" : "", "family" : "Vries", "given" : "Frans P", "non-dropping-particle" : "de", "parse-names" : false, "suffix" : "" }, { "dropping-particle" : "", "family" : "Hanley", "given" : "Nick", "non-dropping-particle" : "", "parse-names" : false, "suffix" : "" } ], "container-title" : "Environmental and Resource Economics", "id" : "ITEM-1", "issue" : "4", "issued" : { "date-parts" : [ [ "2016" ] ] }, "page" : "687-702", "publisher" : "Springer", "title" : "Incentive-based policy design for pollution control and biodiversity conservation: a review", "type" : "article-journal", "volume" : "63" }, "uris" : [ "http://www.mendeley.com/documents/?uuid=4a0a905d-b521-4428-96e8-4a48d97cec9f" ] } ], "mendeley" : { "formattedCitation" : "(de Vries and Hanley, 2016)", "plainTextFormattedCitation" : "(de Vries and Hanley, 2016)", "previouslyFormattedCitation" : "(de Vries and Hanley, 2016)" }, "properties" : { "noteIndex" : 0 }, "schema" : "https://github.com/citation-style-language/schema/raw/master/csl-citation.json" }</w:instrText>
      </w:r>
      <w:r>
        <w:rPr>
          <w:lang w:eastAsia="en-GB"/>
        </w:rPr>
        <w:fldChar w:fldCharType="separate"/>
      </w:r>
      <w:r w:rsidRPr="00E534BD">
        <w:rPr>
          <w:noProof/>
          <w:lang w:eastAsia="en-GB"/>
        </w:rPr>
        <w:t>(de Vries and Hanley, 2016)</w:t>
      </w:r>
      <w:r>
        <w:rPr>
          <w:lang w:eastAsia="en-GB"/>
        </w:rPr>
        <w:fldChar w:fldCharType="end"/>
      </w:r>
      <w:r>
        <w:rPr>
          <w:lang w:eastAsia="en-GB"/>
        </w:rPr>
        <w:t xml:space="preserve">. </w:t>
      </w:r>
      <w:r w:rsidR="00B40DFA">
        <w:rPr>
          <w:lang w:eastAsia="en-GB"/>
        </w:rPr>
        <w:t xml:space="preserve">Because buyers and sellers possess </w:t>
      </w:r>
      <w:r w:rsidR="00A67B53">
        <w:rPr>
          <w:lang w:eastAsia="en-GB"/>
        </w:rPr>
        <w:t>better</w:t>
      </w:r>
      <w:r w:rsidR="00B40DFA">
        <w:rPr>
          <w:lang w:eastAsia="en-GB"/>
        </w:rPr>
        <w:t xml:space="preserve"> information, </w:t>
      </w:r>
      <w:r w:rsidR="00A67B53">
        <w:rPr>
          <w:lang w:eastAsia="en-GB"/>
        </w:rPr>
        <w:t>improved</w:t>
      </w:r>
      <w:r w:rsidR="00B40DFA">
        <w:rPr>
          <w:lang w:eastAsia="en-GB"/>
        </w:rPr>
        <w:t xml:space="preserve"> outcomes can be attained on behalf of both parties. Buyers can identify least cost service providers, whilst suppliers with a comparative advantage</w:t>
      </w:r>
      <w:r w:rsidR="00A67B53">
        <w:rPr>
          <w:lang w:eastAsia="en-GB"/>
        </w:rPr>
        <w:t xml:space="preserve"> can secure contracts by revealing their </w:t>
      </w:r>
      <w:r w:rsidR="00586FF0">
        <w:rPr>
          <w:lang w:eastAsia="en-GB"/>
        </w:rPr>
        <w:t xml:space="preserve">true </w:t>
      </w:r>
      <w:r w:rsidR="00A67B53">
        <w:rPr>
          <w:lang w:eastAsia="en-GB"/>
        </w:rPr>
        <w:t>opportunity cost.</w:t>
      </w:r>
      <w:r w:rsidR="00586FF0">
        <w:rPr>
          <w:lang w:eastAsia="en-GB"/>
        </w:rPr>
        <w:t xml:space="preserve"> The cost effectiveness improvements associated with auctions over fixed priced schemes has been documented in other work </w:t>
      </w:r>
      <w:r w:rsidR="00586FF0">
        <w:rPr>
          <w:lang w:eastAsia="en-GB"/>
        </w:rPr>
        <w:fldChar w:fldCharType="begin" w:fldLock="1"/>
      </w:r>
      <w:r w:rsidR="001E53EB">
        <w:rPr>
          <w:lang w:eastAsia="en-GB"/>
        </w:rPr>
        <w:instrText>ADDIN CSL_CITATION { "citationItems" : [ { "id" : "ITEM-1", "itemData" : { "DOI" : "10.1016/j.landusepol.2007.09.005", "ISSN" : "0264-8377", "author" : [ { "dropping-particle" : "", "family" : "Windle", "given" : "Jill", "non-dropping-particle" : "", "parse-names" : false, "suffix" : "" }, { "dropping-particle" : "", "family" : "Rolfe", "given" : "John", "non-dropping-particle" : "", "parse-names" : false, "suffix" : "" } ], "container-title" : "Land Use Policy", "id" : "ITEM-1", "issue" : "3", "issued" : { "date-parts" : [ [ "2008" ] ] }, "page" : "388-398", "publisher" : "Elsevier", "title" : "Exploring the efficiencies of using competitive tenders over fixed price grants to protect biodiversity in Australian rangelands", "type" : "article-journal", "volume" : "25" }, "uris" : [ "http://www.mendeley.com/documents/?uuid=6b22116a-e530-4b05-90f8-e6789db89da3" ] }, { "id" : "ITEM-2", "itemData" : { "ISSN" : "0264-8377", "author" : [ { "dropping-particle" : "", "family" : "Rolfe", "given" : "John", "non-dropping-particle" : "", "parse-names" : false, "suffix" : "" }, { "dropping-particle" : "", "family" : "Whitten", "given" : "Stuart", "non-dropping-particle" : "", "parse-names" : false, "suffix" : "" }, { "dropping-particle" : "", "family" : "Windle", "given" : "Jill", "non-dropping-particle" : "", "parse-names" : false, "suffix" : "" } ], "container-title" : "Land Use Policy", "id" : "ITEM-2", "issued" : { "date-parts" : [ [ "2017" ] ] }, "page" : "611-620", "publisher" : "Elsevier", "title" : "The Australian experience in using tenders for conservation", "type" : "article-journal", "volume" : "63" }, "uris" : [ "http://www.mendeley.com/documents/?uuid=ab8aeb06-58e8-4698-8261-bedb5de2cd11" ] }, { "id" : "ITEM-3", "itemData" : { "ISSN" : "0023-7639", "author" : [ { "dropping-particle" : "", "family" : "Schilizzi", "given" : "Steven", "non-dropping-particle" : "", "parse-names" : false, "suffix" : "" }, { "dropping-particle" : "", "family" : "Latacz-Lohmann", "given" : "Uwe", "non-dropping-particle" : "", "parse-names" : false, "suffix" : "" } ], "container-title" : "Land Economics", "id" : "ITEM-3", "issue" : "4", "issued" : { "date-parts" : [ [ "2007" ] ] }, "page" : "497-515", "publisher" : "University of Wisconsin Press", "title" : "Assessing the performance of conservation auctions: an experimental study", "type" : "article-journal", "volume" : "83" }, "uris" : [ "http://www.mendeley.com/documents/?uuid=46c6486a-50e4-44fa-bca6-54e9f5b5bb0c" ] }, { "id" : "ITEM-4", "itemData" : { "DOI" : "10.1017/CBO9780511551079.017", "ISBN" : "9780521154659", "abstract" : "This paper reports on the design and implementation of an auction of conservation contracts on private land in Victoria, Australia. We demonstrate that is possible to create at least the supply side of a market for nature conservation and in conjunction with a defined budget, to discover prices and allocate resources to biodiversity conservation. The paper compares a discriminative price auction with a hypothetical fixed-price scheme showing that an auction could offer large cost savings to governments interested in nature conservation on private land. As a result of the pilot, a number of important auction and contract design problems have emerged which deserve further investigation including: multiple complementary environmental outcomes, site synergies, reserve prices, sequential auction design and the role of new technology in contract design. Nevertheless, the paper does show that auctioning conservation contracts for environmental outcomes is an important new policy mechanism that performs according to theoretical expectations and deserves closer examination by government and environmental groups. Key", "author" : [ { "dropping-particle" : "", "family" : "Stoneham", "given" : "Gary", "non-dropping-particle" : "", "parse-names" : false, "suffix" : "" }, { "dropping-particle" : "", "family" : "Chaudhri", "given" : "Vivek", "non-dropping-particle" : "", "parse-names" : false, "suffix" : "" }, { "dropping-particle" : "", "family" : "Strappazzon", "given" : "Loris", "non-dropping-particle" : "", "parse-names" : false, "suffix" : "" }, { "dropping-particle" : "", "family" : "Ha", "given" : "Arthur", "non-dropping-particle" : "", "parse-names" : false, "suffix" : "" } ], "container-title" : "Biodiversity Economics: Principles, Methods and Applications", "id" : "ITEM-4", "issued" : { "date-parts" : [ [ "2010" ] ] }, "page" : "389-416", "title" : "Auctioning biodiversity conservation contracts: an empirical analysis", "type" : "chapter" }, "uris" : [ "http://www.mendeley.com/documents/?uuid=a1306216-373f-474d-9d82-c730a0871972" ] } ], "mendeley" : { "formattedCitation" : "(Schilizzi and Latacz-Lohmann, 2007; Windle and Rolfe, 2008; Stoneham et al., 2010; Rolfe et al., 2017)", "plainTextFormattedCitation" : "(Schilizzi and Latacz-Lohmann, 2007; Windle and Rolfe, 2008; Stoneham et al., 2010; Rolfe et al., 2017)", "previouslyFormattedCitation" : "(Schilizzi and Latacz-Lohmann, 2007; Windle and Rolfe, 2008; Stoneham et al., 2010; Rolfe et al., 2017)" }, "properties" : { "noteIndex" : 0 }, "schema" : "https://github.com/citation-style-language/schema/raw/master/csl-citation.json" }</w:instrText>
      </w:r>
      <w:r w:rsidR="00586FF0">
        <w:rPr>
          <w:lang w:eastAsia="en-GB"/>
        </w:rPr>
        <w:fldChar w:fldCharType="separate"/>
      </w:r>
      <w:r w:rsidR="00586FF0" w:rsidRPr="00586FF0">
        <w:rPr>
          <w:noProof/>
          <w:lang w:eastAsia="en-GB"/>
        </w:rPr>
        <w:t>(Schilizzi and Latacz-Lohmann, 2007; Windle and Rolfe, 2008; Stoneham et al., 2010; Rolfe et al., 2017)</w:t>
      </w:r>
      <w:r w:rsidR="00586FF0">
        <w:rPr>
          <w:lang w:eastAsia="en-GB"/>
        </w:rPr>
        <w:fldChar w:fldCharType="end"/>
      </w:r>
      <w:r w:rsidR="001E53EB">
        <w:rPr>
          <w:lang w:eastAsia="en-GB"/>
        </w:rPr>
        <w:t xml:space="preserve">. </w:t>
      </w:r>
      <w:r w:rsidR="00586FF0">
        <w:rPr>
          <w:lang w:eastAsia="en-GB"/>
        </w:rPr>
        <w:t xml:space="preserve"> </w:t>
      </w:r>
      <w:r w:rsidR="00B40DFA">
        <w:rPr>
          <w:lang w:eastAsia="en-GB"/>
        </w:rPr>
        <w:t xml:space="preserve"> </w:t>
      </w:r>
    </w:p>
    <w:p w:rsidR="00A67B53" w:rsidRDefault="00A67B53" w:rsidP="005955DF">
      <w:pPr>
        <w:rPr>
          <w:lang w:eastAsia="en-GB"/>
        </w:rPr>
      </w:pPr>
    </w:p>
    <w:p w:rsidR="001E53EB" w:rsidRDefault="005955DF" w:rsidP="005955DF">
      <w:pPr>
        <w:rPr>
          <w:lang w:eastAsia="en-GB"/>
        </w:rPr>
      </w:pPr>
      <w:r w:rsidRPr="00A67B53">
        <w:rPr>
          <w:b/>
          <w:lang w:eastAsia="en-GB"/>
        </w:rPr>
        <w:t xml:space="preserve">Employing triage to rationalise </w:t>
      </w:r>
      <w:r w:rsidR="00E534BD" w:rsidRPr="00A67B53">
        <w:rPr>
          <w:b/>
          <w:lang w:eastAsia="en-GB"/>
        </w:rPr>
        <w:t>investments in PGR and FAnGR conservation could improve the cost effectiveness of incentive schemes.</w:t>
      </w:r>
      <w:r w:rsidR="00B633EC">
        <w:rPr>
          <w:b/>
          <w:lang w:eastAsia="en-GB"/>
        </w:rPr>
        <w:t xml:space="preserve"> </w:t>
      </w:r>
      <w:r w:rsidR="001E53EB">
        <w:rPr>
          <w:lang w:eastAsia="en-GB"/>
        </w:rPr>
        <w:t xml:space="preserve">Few incentive schemes currently prioritise investments in FAnGR according to different value attributes of breed diversity. On the other hand, rationalisation is already </w:t>
      </w:r>
      <w:r w:rsidR="00EC43ED">
        <w:rPr>
          <w:lang w:eastAsia="en-GB"/>
        </w:rPr>
        <w:t xml:space="preserve">being </w:t>
      </w:r>
      <w:r w:rsidR="001E53EB">
        <w:rPr>
          <w:lang w:eastAsia="en-GB"/>
        </w:rPr>
        <w:t xml:space="preserve">successfully employed for </w:t>
      </w:r>
      <w:r w:rsidR="00EC43ED">
        <w:rPr>
          <w:lang w:eastAsia="en-GB"/>
        </w:rPr>
        <w:t xml:space="preserve">biodiversity and </w:t>
      </w:r>
      <w:r w:rsidR="001E53EB">
        <w:rPr>
          <w:lang w:eastAsia="en-GB"/>
        </w:rPr>
        <w:t xml:space="preserve">PGR conservation through gap analysis </w:t>
      </w:r>
      <w:r w:rsidR="001E53EB">
        <w:rPr>
          <w:lang w:eastAsia="en-GB"/>
        </w:rPr>
        <w:fldChar w:fldCharType="begin" w:fldLock="1"/>
      </w:r>
      <w:r w:rsidR="00160F5F">
        <w:rPr>
          <w:lang w:eastAsia="en-GB"/>
        </w:rPr>
        <w:instrText>ADDIN CSL_CITATION { "citationItems" : [ { "id" : "ITEM-1", "itemData" : { "author" : [ { "dropping-particle" : "", "family" : "Maxted", "given" : "N", "non-dropping-particle" : "", "parse-names" : false, "suffix" : "" }, { "dropping-particle" : "", "family" : "Iriondo", "given" : "J M", "non-dropping-particle" : "", "parse-names" : false, "suffix" : "" }, { "dropping-particle" : "", "family" : "Hond", "given" : "L", "non-dropping-particle" : "De", "parse-names" : false, "suffix" : "" }, { "dropping-particle" : "", "family" : "Dulloo", "given" : "E", "non-dropping-particle" : "", "parse-names" : false, "suffix" : "" }, { "dropping-particle" : "", "family" : "Lef\u00e8vre", "given" : "F", "non-dropping-particle" : "", "parse-names" : false, "suffix" : "" }, { "dropping-particle" : "", "family" : "Asdal", "given" : "A", "non-dropping-particle" : "", "parse-names" : false, "suffix" : "" }, { "dropping-particle" : "", "family" : "Kell", "given" : "S P", "non-dropping-particle" : "", "parse-names" : false, "suffix" : "" }, { "dropping-particle" : "", "family" : "Guarino", "given" : "L", "non-dropping-particle" : "", "parse-names" : false, "suffix" : "" } ], "container-title" : "Plant Genetic Population Management.", "editor" : [ { "dropping-particle" : "", "family" : "Iriondo", "given" : "J.M.", "non-dropping-particle" : "", "parse-names" : false, "suffix" : "" }, { "dropping-particle" : "", "family" : "Maxted", "given" : "N.", "non-dropping-particle" : "", "parse-names" : false, "suffix" : "" }, { "dropping-particle" : "", "family" : "Dulloo", "given" : "E.", "non-dropping-particle" : "", "parse-names" : false, "suffix" : "" } ], "id" : "ITEM-1", "issued" : { "date-parts" : [ [ "2008" ] ] }, "page" : "65-87", "publisher" : "CAB International, Wallingford.", "title" : "Genetic reserve management", "type" : "chapter" }, "uris" : [ "http://www.mendeley.com/documents/?uuid=cddcfbff-8a7c-44a2-bfe5-533bf2d9de24" ] }, { "id" : "ITEM-2", "itemData" : { "ISSN" : "0006-3207", "author" : [ { "dropping-particle" : "", "family" : "Vincent", "given" : "Holly", "non-dropping-particle" : "", "parse-names" : false, "suffix" : "" }, { "dropping-particle" : "", "family" : "Wiersema", "given" : "John", "non-dropping-particle" : "", "parse-names" : false, "suffix" : "" }, { "dropping-particle" : "", "family" : "Kell", "given" : "Shelagh", "non-dropping-particle" : "", "parse-names" : false, "suffix" : "" }, { "dropping-particle" : "", "family" : "Fielder", "given" : "Hannah", "non-dropping-particle" : "", "parse-names" : false, "suffix" : "" }, { "dropping-particle" : "", "family" : "Dobbie", "given" : "Samantha", "non-dropping-particle" : "", "parse-names" : false, "suffix" : "" }, { "dropping-particle" : "", "family" : "Casta\u00f1eda-\u00c1lvarez", "given" : "Nora P", "non-dropping-particle" : "", "parse-names" : false, "suffix" : "" }, { "dropping-particle" : "", "family" : "Guarino", "given" : "Luigi", "non-dropping-particle" : "", "parse-names" : false, "suffix" : "" }, { "dropping-particle" : "", "family" : "Eastwood", "given" : "Ruth", "non-dropping-particle" : "", "parse-names" : false, "suffix" : "" }, { "dropping-particle" : "", "family" : "Le\u03ccn", "given" : "Blanca", "non-dropping-particle" : "", "parse-names" : false, "suffix" : "" }, { "dropping-particle" : "", "family" : "Maxted", "given" : "Nigel", "non-dropping-particle" : "", "parse-names" : false, "suffix" : "" } ], "container-title" : "Biological conservation", "id" : "ITEM-2", "issued" : { "date-parts" : [ [ "2013" ] ] }, "page" : "265-275", "publisher" : "Elsevier", "title" : "A prioritized crop wild relative inventory to help underpin global food security", "type" : "article-journal", "volume" : "167" }, "uris" : [ "http://www.mendeley.com/documents/?uuid=c09bee3a-777d-4635-baea-708214b2fb62" ] } ], "mendeley" : { "formattedCitation" : "(N Maxted et al., 2008; Vincent et al., 2013)", "plainTextFormattedCitation" : "(N Maxted et al., 2008; Vincent et al., 2013)", "previouslyFormattedCitation" : "(N Maxted et al., 2008; Vincent et al., 2013)" }, "properties" : { "noteIndex" : 0 }, "schema" : "https://github.com/citation-style-language/schema/raw/master/csl-citation.json" }</w:instrText>
      </w:r>
      <w:r w:rsidR="001E53EB">
        <w:rPr>
          <w:lang w:eastAsia="en-GB"/>
        </w:rPr>
        <w:fldChar w:fldCharType="separate"/>
      </w:r>
      <w:r w:rsidR="00160F5F" w:rsidRPr="00160F5F">
        <w:rPr>
          <w:noProof/>
          <w:lang w:eastAsia="en-GB"/>
        </w:rPr>
        <w:t>(N Maxted et al., 2008; Vincent et al., 2013)</w:t>
      </w:r>
      <w:r w:rsidR="001E53EB">
        <w:rPr>
          <w:lang w:eastAsia="en-GB"/>
        </w:rPr>
        <w:fldChar w:fldCharType="end"/>
      </w:r>
      <w:r w:rsidR="001E53EB">
        <w:rPr>
          <w:lang w:eastAsia="en-GB"/>
        </w:rPr>
        <w:t xml:space="preserve"> and systematic priority setting</w:t>
      </w:r>
      <w:r w:rsidR="00EC43ED">
        <w:rPr>
          <w:lang w:eastAsia="en-GB"/>
        </w:rPr>
        <w:t xml:space="preserve"> </w:t>
      </w:r>
      <w:r w:rsidR="001E53EB">
        <w:rPr>
          <w:lang w:eastAsia="en-GB"/>
        </w:rPr>
        <w:fldChar w:fldCharType="begin" w:fldLock="1"/>
      </w:r>
      <w:r w:rsidR="00EC43ED">
        <w:rPr>
          <w:lang w:eastAsia="en-GB"/>
        </w:rPr>
        <w:instrText>ADDIN CSL_CITATION { "citationItems" : [ { "id" : "ITEM-1", "itemData" : { "author" : [ { "dropping-particle" : "", "family" : "Reinecke", "given" : "Sabine", "non-dropping-particle" : "", "parse-names" : false, "suffix" : "" }, { "dropping-particle" : "", "family" : "Kilham", "given" : "Emily", "non-dropping-particle" : "", "parse-names" : false, "suffix" : "" } ], "id" : "ITEM-1", "issued" : { "date-parts" : [ [ "2015" ] ] }, "title" : "\"Biggest bang for your buck\u201d: Conservation triage and priority-setting for species management in Australia and New Zealand", "type" : "report" }, "uris" : [ "http://www.mendeley.com/documents/?uuid=83f48475-2d3f-46eb-8f57-0c237f6c9906" ] }, { "id" : "ITEM-2", "itemData" : { "ISSN" : "0011-183X", "author" : [ { "dropping-particle" : "", "family" : "Maxted", "given" : "Nigel", "non-dropping-particle" : "", "parse-names" : false, "suffix" : "" }, { "dropping-particle" : "", "family" : "Kell", "given" : "Shelagh", "non-dropping-particle" : "", "parse-names" : false, "suffix" : "" }, { "dropping-particle" : "", "family" : "Ford-Lloyd", "given" : "Brian", "non-dropping-particle" : "", "parse-names" : false, "suffix" : "" }, { "dropping-particle" : "", "family" : "Dulloo", "given" : "Ehsan", "non-dropping-particle" : "", "parse-names" : false, "suffix" : "" }, { "dropping-particle" : "", "family" : "Toledo", "given" : "\u00c1lvaro", "non-dropping-particle" : "", "parse-names" : false, "suffix" : "" } ], "container-title" : "Crop Science", "id" : "ITEM-2", "issue" : "2", "issued" : { "date-parts" : [ [ "2012" ] ] }, "page" : "774-785", "publisher" : "The Crop Science Society of America, Inc.", "title" : "Toward the systematic conservation of global crop wild relative diversity", "type" : "article-journal", "volume" : "52" }, "uris" : [ "http://www.mendeley.com/documents/?uuid=ca9db107-47de-4cd3-bbab-07264c890b72" ] } ], "mendeley" : { "formattedCitation" : "(Maxted et al., 2012; Reinecke and Kilham, 2015)", "plainTextFormattedCitation" : "(Maxted et al., 2012; Reinecke and Kilham, 2015)", "previouslyFormattedCitation" : "(Maxted et al., 2012; Reinecke and Kilham, 2015)" }, "properties" : { "noteIndex" : 0 }, "schema" : "https://github.com/citation-style-language/schema/raw/master/csl-citation.json" }</w:instrText>
      </w:r>
      <w:r w:rsidR="001E53EB">
        <w:rPr>
          <w:lang w:eastAsia="en-GB"/>
        </w:rPr>
        <w:fldChar w:fldCharType="separate"/>
      </w:r>
      <w:r w:rsidR="00EC43ED" w:rsidRPr="00EC43ED">
        <w:rPr>
          <w:noProof/>
          <w:lang w:eastAsia="en-GB"/>
        </w:rPr>
        <w:t>(Maxted et al., 2012; Reinecke and Kilham, 2015)</w:t>
      </w:r>
      <w:r w:rsidR="001E53EB">
        <w:rPr>
          <w:lang w:eastAsia="en-GB"/>
        </w:rPr>
        <w:fldChar w:fldCharType="end"/>
      </w:r>
      <w:r w:rsidR="001E53EB">
        <w:rPr>
          <w:lang w:eastAsia="en-GB"/>
        </w:rPr>
        <w:t>.</w:t>
      </w:r>
      <w:r w:rsidR="00EC43ED">
        <w:rPr>
          <w:lang w:eastAsia="en-GB"/>
        </w:rPr>
        <w:t xml:space="preserve"> </w:t>
      </w:r>
      <w:r w:rsidR="00495FB7">
        <w:rPr>
          <w:lang w:eastAsia="en-GB"/>
        </w:rPr>
        <w:t>Employing similar approaches for FAnGR conservation</w:t>
      </w:r>
      <w:r w:rsidR="00B633EC">
        <w:rPr>
          <w:lang w:eastAsia="en-GB"/>
        </w:rPr>
        <w:t xml:space="preserve"> through decision analysis techniques</w:t>
      </w:r>
      <w:r w:rsidR="00495FB7">
        <w:rPr>
          <w:lang w:eastAsia="en-GB"/>
        </w:rPr>
        <w:t xml:space="preserve"> </w:t>
      </w:r>
      <w:r w:rsidR="00B633EC">
        <w:rPr>
          <w:lang w:eastAsia="en-GB"/>
        </w:rPr>
        <w:t>can</w:t>
      </w:r>
      <w:r w:rsidR="00495FB7">
        <w:rPr>
          <w:lang w:eastAsia="en-GB"/>
        </w:rPr>
        <w:t xml:space="preserve"> </w:t>
      </w:r>
      <w:r w:rsidR="00B633EC">
        <w:rPr>
          <w:lang w:eastAsia="en-GB"/>
        </w:rPr>
        <w:t>improve</w:t>
      </w:r>
      <w:r w:rsidR="00495FB7">
        <w:rPr>
          <w:lang w:eastAsia="en-GB"/>
        </w:rPr>
        <w:t xml:space="preserve"> accountability for public spending on public goods, a stated priority for the UK Government </w:t>
      </w:r>
      <w:r w:rsidR="00495FB7">
        <w:rPr>
          <w:lang w:eastAsia="en-GB"/>
        </w:rPr>
        <w:fldChar w:fldCharType="begin" w:fldLock="1"/>
      </w:r>
      <w:r w:rsidR="00487AD6">
        <w:rPr>
          <w:lang w:eastAsia="en-GB"/>
        </w:rPr>
        <w:instrText>ADDIN CSL_CITATION { "citationItems" : [ { "id" : "ITEM-1", "itemData" : { "author" : [ { "dropping-particle" : "", "family" : "Defra", "given" : "", "non-dropping-particle" : "", "parse-names" : false, "suffix" : "" } ], "id" : "ITEM-1", "issued" : { "date-parts" : [ [ "2018" ] ] }, "publisher-place" : "London, UK", "title" : "Health and Harmony: the future for food, farming and the environment in a green Brexit.", "type" : "report" }, "uris" : [ "http://www.mendeley.com/documents/?uuid=eccdd733-42e9-4e8d-9202-17024f3ea23f" ] } ], "mendeley" : { "formattedCitation" : "(Defra, 2018)", "plainTextFormattedCitation" : "(Defra, 2018)", "previouslyFormattedCitation" : "(Defra, 2018)" }, "properties" : { "noteIndex" : 0 }, "schema" : "https://github.com/citation-style-language/schema/raw/master/csl-citation.json" }</w:instrText>
      </w:r>
      <w:r w:rsidR="00495FB7">
        <w:rPr>
          <w:lang w:eastAsia="en-GB"/>
        </w:rPr>
        <w:fldChar w:fldCharType="separate"/>
      </w:r>
      <w:r w:rsidR="00495FB7" w:rsidRPr="00495FB7">
        <w:rPr>
          <w:noProof/>
          <w:lang w:eastAsia="en-GB"/>
        </w:rPr>
        <w:t>(Defra, 2018)</w:t>
      </w:r>
      <w:r w:rsidR="00495FB7">
        <w:rPr>
          <w:lang w:eastAsia="en-GB"/>
        </w:rPr>
        <w:fldChar w:fldCharType="end"/>
      </w:r>
      <w:r w:rsidR="00495FB7">
        <w:rPr>
          <w:lang w:eastAsia="en-GB"/>
        </w:rPr>
        <w:t xml:space="preserve"> and of growing importance in most schemes.</w:t>
      </w:r>
      <w:r w:rsidR="00B633EC">
        <w:rPr>
          <w:lang w:eastAsia="en-GB"/>
        </w:rPr>
        <w:t xml:space="preserve"> This may be particularly important where conservation budgets are constrained and a large number of breeds/varieties persist. </w:t>
      </w:r>
    </w:p>
    <w:p w:rsidR="00487AD6" w:rsidRDefault="00487AD6" w:rsidP="005955DF">
      <w:pPr>
        <w:rPr>
          <w:lang w:eastAsia="en-GB"/>
        </w:rPr>
      </w:pPr>
    </w:p>
    <w:p w:rsidR="001E53EB" w:rsidRPr="008964A2" w:rsidRDefault="00C712DD" w:rsidP="005955DF">
      <w:pPr>
        <w:rPr>
          <w:b/>
          <w:lang w:eastAsia="en-GB"/>
        </w:rPr>
      </w:pPr>
      <w:r>
        <w:rPr>
          <w:b/>
          <w:lang w:eastAsia="en-GB"/>
        </w:rPr>
        <w:t xml:space="preserve">Better targeting of agrobiodiveristy conservation schemes at specific farmers and production systems </w:t>
      </w:r>
      <w:r w:rsidR="008964A2">
        <w:rPr>
          <w:b/>
          <w:lang w:eastAsia="en-GB"/>
        </w:rPr>
        <w:t xml:space="preserve">may result in win-win outcomes. </w:t>
      </w:r>
      <w:r w:rsidR="0010166C">
        <w:rPr>
          <w:lang w:eastAsia="en-GB"/>
        </w:rPr>
        <w:t xml:space="preserve">Extensive and low-input systems, often characteristic of </w:t>
      </w:r>
      <w:proofErr w:type="gramStart"/>
      <w:r w:rsidR="0010166C">
        <w:rPr>
          <w:lang w:eastAsia="en-GB"/>
        </w:rPr>
        <w:t>small-holder</w:t>
      </w:r>
      <w:proofErr w:type="gramEnd"/>
      <w:r w:rsidR="0010166C">
        <w:rPr>
          <w:lang w:eastAsia="en-GB"/>
        </w:rPr>
        <w:t xml:space="preserve"> and semi-subsistence farms, are likely to face a comparative advantage when supplying agrobiodiveristy conservation services due to </w:t>
      </w:r>
      <w:r w:rsidR="00036624">
        <w:rPr>
          <w:lang w:eastAsia="en-GB"/>
        </w:rPr>
        <w:t>topographical and ecological characteristics that constrain land use</w:t>
      </w:r>
      <w:r w:rsidR="0010166C">
        <w:rPr>
          <w:lang w:eastAsia="en-GB"/>
        </w:rPr>
        <w:t xml:space="preserve">. At the same time, traditional breeds/cultivars are often better adapted to these systems where </w:t>
      </w:r>
      <w:r w:rsidR="00CC4F76">
        <w:rPr>
          <w:lang w:eastAsia="en-GB"/>
        </w:rPr>
        <w:t>biophysical</w:t>
      </w:r>
      <w:r w:rsidR="0010166C">
        <w:rPr>
          <w:lang w:eastAsia="en-GB"/>
        </w:rPr>
        <w:t xml:space="preserve"> </w:t>
      </w:r>
      <w:r w:rsidR="00CC4F76">
        <w:rPr>
          <w:lang w:eastAsia="en-GB"/>
        </w:rPr>
        <w:t>characteristics</w:t>
      </w:r>
      <w:r w:rsidR="0010166C">
        <w:rPr>
          <w:lang w:eastAsia="en-GB"/>
        </w:rPr>
        <w:t xml:space="preserve"> restrict production with improved breeds and varieties. </w:t>
      </w:r>
      <w:r w:rsidR="009175A6">
        <w:rPr>
          <w:lang w:eastAsia="en-GB"/>
        </w:rPr>
        <w:t xml:space="preserve">Developing novel tools </w:t>
      </w:r>
      <w:r w:rsidR="009175A6">
        <w:rPr>
          <w:lang w:eastAsia="en-GB"/>
        </w:rPr>
        <w:lastRenderedPageBreak/>
        <w:t xml:space="preserve">to identify </w:t>
      </w:r>
      <w:r w:rsidR="00036624">
        <w:rPr>
          <w:lang w:eastAsia="en-GB"/>
        </w:rPr>
        <w:t>potential</w:t>
      </w:r>
      <w:r w:rsidR="008964A2">
        <w:rPr>
          <w:lang w:eastAsia="en-GB"/>
        </w:rPr>
        <w:t xml:space="preserve"> </w:t>
      </w:r>
      <w:r w:rsidR="009175A6">
        <w:rPr>
          <w:lang w:eastAsia="en-GB"/>
        </w:rPr>
        <w:t xml:space="preserve">agrobiodiversity </w:t>
      </w:r>
      <w:r w:rsidR="00CC4F76">
        <w:rPr>
          <w:lang w:eastAsia="en-GB"/>
        </w:rPr>
        <w:t>“</w:t>
      </w:r>
      <w:r w:rsidR="009175A6">
        <w:rPr>
          <w:lang w:eastAsia="en-GB"/>
        </w:rPr>
        <w:t>hotspots</w:t>
      </w:r>
      <w:r w:rsidR="00CC4F76">
        <w:rPr>
          <w:lang w:eastAsia="en-GB"/>
        </w:rPr>
        <w:t>”</w:t>
      </w:r>
      <w:r w:rsidR="009175A6">
        <w:rPr>
          <w:lang w:eastAsia="en-GB"/>
        </w:rPr>
        <w:t xml:space="preserve"> though GIS </w:t>
      </w:r>
      <w:r w:rsidR="00CC4F76">
        <w:rPr>
          <w:lang w:eastAsia="en-GB"/>
        </w:rPr>
        <w:t>applications are</w:t>
      </w:r>
      <w:r w:rsidR="009175A6">
        <w:rPr>
          <w:lang w:eastAsia="en-GB"/>
        </w:rPr>
        <w:t xml:space="preserve"> now being </w:t>
      </w:r>
      <w:r w:rsidR="00CC4F76">
        <w:rPr>
          <w:lang w:eastAsia="en-GB"/>
        </w:rPr>
        <w:t>pursued</w:t>
      </w:r>
      <w:r w:rsidR="009175A6">
        <w:rPr>
          <w:lang w:eastAsia="en-GB"/>
        </w:rPr>
        <w:t xml:space="preserve"> </w:t>
      </w:r>
      <w:r w:rsidR="009175A6">
        <w:rPr>
          <w:lang w:eastAsia="en-GB"/>
        </w:rPr>
        <w:fldChar w:fldCharType="begin" w:fldLock="1"/>
      </w:r>
      <w:r w:rsidR="00017A34">
        <w:rPr>
          <w:lang w:eastAsia="en-GB"/>
        </w:rPr>
        <w:instrText>ADDIN CSL_CITATION { "citationItems" : [ { "id" : "ITEM-1", "itemData" : { "ISSN" : "1932-6203", "author" : [ { "dropping-particle" : "", "family" : "Pacicco", "given" : "Luca", "non-dropping-particle" : "", "parse-names" : false, "suffix" : "" }, { "dropping-particle" : "", "family" : "Bodesmo", "given" : "Mara", "non-dropping-particle" : "", "parse-names" : false, "suffix" : "" }, { "dropping-particle" : "", "family" : "Torricelli", "given" : "Renzo", "non-dropping-particle" : "", "parse-names" : false, "suffix" : "" }, { "dropping-particle" : "", "family" : "Negri", "given" : "Valeria", "non-dropping-particle" : "", "parse-names" : false, "suffix" : "" } ], "container-title" : "PloS one", "id" : "ITEM-1", "issue" : "6", "issued" : { "date-parts" : [ [ "2018" ] ] }, "page" : "e0197709", "publisher" : "Public Library of Science", "title" : "A methodological approach to identify agro-biodiversity hotspots for priority in situ conservation of plant genetic resources", "type" : "article-journal", "volume" : "13" }, "uris" : [ "http://www.mendeley.com/documents/?uuid=1fefed39-b42d-418a-b1b5-08c828330091" ] } ], "mendeley" : { "formattedCitation" : "(Pacicco et al., 2018)", "manualFormatting" : "(see Pacicco et al., 2018)", "plainTextFormattedCitation" : "(Pacicco et al., 2018)", "previouslyFormattedCitation" : "(Pacicco et al., 2018)" }, "properties" : { "noteIndex" : 0 }, "schema" : "https://github.com/citation-style-language/schema/raw/master/csl-citation.json" }</w:instrText>
      </w:r>
      <w:r w:rsidR="009175A6">
        <w:rPr>
          <w:lang w:eastAsia="en-GB"/>
        </w:rPr>
        <w:fldChar w:fldCharType="separate"/>
      </w:r>
      <w:r w:rsidR="009175A6" w:rsidRPr="009175A6">
        <w:rPr>
          <w:noProof/>
          <w:lang w:eastAsia="en-GB"/>
        </w:rPr>
        <w:t>(</w:t>
      </w:r>
      <w:r w:rsidR="009175A6">
        <w:rPr>
          <w:noProof/>
          <w:lang w:eastAsia="en-GB"/>
        </w:rPr>
        <w:t xml:space="preserve">see </w:t>
      </w:r>
      <w:r w:rsidR="009175A6" w:rsidRPr="009175A6">
        <w:rPr>
          <w:noProof/>
          <w:lang w:eastAsia="en-GB"/>
        </w:rPr>
        <w:t>Pacicco et al., 2018)</w:t>
      </w:r>
      <w:r w:rsidR="009175A6">
        <w:rPr>
          <w:lang w:eastAsia="en-GB"/>
        </w:rPr>
        <w:fldChar w:fldCharType="end"/>
      </w:r>
      <w:r w:rsidR="009175A6">
        <w:rPr>
          <w:lang w:eastAsia="en-GB"/>
        </w:rPr>
        <w:t xml:space="preserve"> and would allow for more targeted conservation policy.  </w:t>
      </w:r>
      <w:r w:rsidR="0010166C">
        <w:rPr>
          <w:lang w:eastAsia="en-GB"/>
        </w:rPr>
        <w:t xml:space="preserve">  </w:t>
      </w:r>
    </w:p>
    <w:p w:rsidR="00A67B53" w:rsidRDefault="00A67B53" w:rsidP="005955DF">
      <w:pPr>
        <w:shd w:val="clear" w:color="auto" w:fill="FFFFFF"/>
        <w:spacing w:line="351" w:lineRule="atLeast"/>
        <w:textAlignment w:val="baseline"/>
        <w:rPr>
          <w:rFonts w:ascii="Verdana" w:hAnsi="Verdana"/>
          <w:color w:val="333333"/>
          <w:sz w:val="20"/>
          <w:szCs w:val="20"/>
          <w:lang w:eastAsia="en-GB"/>
        </w:rPr>
      </w:pPr>
    </w:p>
    <w:p w:rsidR="00CC4F76" w:rsidRPr="00B43D75" w:rsidRDefault="00CC4F76" w:rsidP="00CC4F76">
      <w:pPr>
        <w:rPr>
          <w:b/>
          <w:lang w:eastAsia="en-GB"/>
        </w:rPr>
      </w:pPr>
      <w:r>
        <w:rPr>
          <w:b/>
          <w:lang w:eastAsia="en-GB"/>
        </w:rPr>
        <w:t>Balancing pro-social and pro-environmental goals may be at-odds. Further guidance is needed for establishing site selection goals in PES.</w:t>
      </w:r>
      <w:r w:rsidR="00036624">
        <w:rPr>
          <w:b/>
          <w:lang w:eastAsia="en-GB"/>
        </w:rPr>
        <w:t xml:space="preserve">  </w:t>
      </w:r>
      <w:r w:rsidR="00017A34">
        <w:rPr>
          <w:lang w:eastAsia="en-GB"/>
        </w:rPr>
        <w:t xml:space="preserve">The effectiveness of PES schemes can be determined by four key factors; transaction and implementation costs, direct changes in resource use among participants, indirect effects of the programme and the effects on actual provision of ecosystem services </w:t>
      </w:r>
      <w:r w:rsidR="00017A34">
        <w:rPr>
          <w:lang w:eastAsia="en-GB"/>
        </w:rPr>
        <w:fldChar w:fldCharType="begin" w:fldLock="1"/>
      </w:r>
      <w:r w:rsidR="00017A34">
        <w:rPr>
          <w:lang w:eastAsia="en-GB"/>
        </w:rPr>
        <w:instrText>ADDIN CSL_CITATION { "citationItems" : [ { "id" : "ITEM-1", "itemData" : { "ISSN" : "0305-750X", "author" : [ { "dropping-particle" : "", "family" : "B\u00f6rner", "given" : "Jan", "non-dropping-particle" : "", "parse-names" : false, "suffix" : "" }, { "dropping-particle" : "", "family" : "Baylis", "given" : "Kathy", "non-dropping-particle" : "", "parse-names" : false, "suffix" : "" }, { "dropping-particle" : "", "family" : "Corbera", "given" : "Esteve", "non-dropping-particle" : "", "parse-names" : false, "suffix" : "" }, { "dropping-particle" : "", "family" : "Ezzine-de-Blas", "given" : "Driss", "non-dropping-particle" : "", "parse-names" : false, "suffix" : "" }, { "dropping-particle" : "", "family" : "Honey-Ros\u00e9s", "given" : "Jordi", "non-dropping-particle" : "", "parse-names" : false, "suffix" : "" }, { "dropping-particle" : "", "family" : "Persson", "given" : "U Martin", "non-dropping-particle" : "", "parse-names" : false, "suffix" : "" }, { "dropping-particle" : "", "family" : "Wunder", "given" : "Sven", "non-dropping-particle" : "", "parse-names" : false, "suffix" : "" } ], "container-title" : "World Development", "id" : "ITEM-1", "issued" : { "date-parts" : [ [ "2017" ] ] }, "page" : "359-374", "publisher" : "Elsevier", "title" : "The effectiveness of payments for environmental services", "type" : "article-journal", "volume" : "96" }, "uris" : [ "http://www.mendeley.com/documents/?uuid=4a6373f0-27d2-46ad-8457-dc4b7ab679fe" ] } ], "mendeley" : { "formattedCitation" : "(B\u00f6rner et al., 2017)", "plainTextFormattedCitation" : "(B\u00f6rner et al., 2017)", "previouslyFormattedCitation" : "(B\u00f6rner et al., 2017)" }, "properties" : { "noteIndex" : 0 }, "schema" : "https://github.com/citation-style-language/schema/raw/master/csl-citation.json" }</w:instrText>
      </w:r>
      <w:r w:rsidR="00017A34">
        <w:rPr>
          <w:lang w:eastAsia="en-GB"/>
        </w:rPr>
        <w:fldChar w:fldCharType="separate"/>
      </w:r>
      <w:r w:rsidR="00017A34" w:rsidRPr="00017A34">
        <w:rPr>
          <w:noProof/>
          <w:lang w:eastAsia="en-GB"/>
        </w:rPr>
        <w:t>(Börner et al., 2017)</w:t>
      </w:r>
      <w:r w:rsidR="00017A34">
        <w:rPr>
          <w:lang w:eastAsia="en-GB"/>
        </w:rPr>
        <w:fldChar w:fldCharType="end"/>
      </w:r>
      <w:r w:rsidR="00017A34">
        <w:rPr>
          <w:lang w:eastAsia="en-GB"/>
        </w:rPr>
        <w:t xml:space="preserve">. Many of these factors can be addressed through </w:t>
      </w:r>
      <w:r w:rsidR="007E04DC">
        <w:rPr>
          <w:lang w:eastAsia="en-GB"/>
        </w:rPr>
        <w:t>t</w:t>
      </w:r>
      <w:r w:rsidR="00017A34">
        <w:rPr>
          <w:lang w:eastAsia="en-GB"/>
        </w:rPr>
        <w:t>he design of PES schemes</w:t>
      </w:r>
      <w:r w:rsidR="00630D4E">
        <w:rPr>
          <w:lang w:eastAsia="en-GB"/>
        </w:rPr>
        <w:t xml:space="preserve"> </w:t>
      </w:r>
      <w:r w:rsidR="00017A34">
        <w:rPr>
          <w:lang w:eastAsia="en-GB"/>
        </w:rPr>
        <w:fldChar w:fldCharType="begin" w:fldLock="1"/>
      </w:r>
      <w:r w:rsidR="00F22C77">
        <w:rPr>
          <w:lang w:eastAsia="en-GB"/>
        </w:rPr>
        <w:instrText>ADDIN CSL_CITATION { "citationItems" : [ { "id" : "ITEM-1", "itemData" : { "ISSN" : "1932-1465", "author" : [ { "dropping-particle" : "", "family" : "Engel", "given" : "Stefanie", "non-dropping-particle" : "", "parse-names" : false, "suffix" : "" } ], "container-title" : "International Review of Environmental and Resource Economics", "id" : "ITEM-1", "issue" : "1\u20132", "issued" : { "date-parts" : [ [ "2016" ] ] }, "page" : "131-177", "publisher" : "Now Publishers, Inc.", "title" : "The devil in the detail: a practical guide on designing payments for environmental services", "type" : "article-journal", "volume" : "9" }, "uris" : [ "http://www.mendeley.com/documents/?uuid=586ee486-2179-4c30-b39c-3f8e2240d105" ] }, { "id" : "ITEM-2", "itemData" : { "ISSN" : "1932-1473", "author" : [ { "dropping-particle" : "", "family" : "Hanley", "given" : "Nick", "non-dropping-particle" : "", "parse-names" : false, "suffix" : "" }, { "dropping-particle" : "", "family" : "White", "given" : "Ben", "non-dropping-particle" : "", "parse-names" : false, "suffix" : "" } ], "container-title" : "International Review of Environmental and Resource Economics", "id" : "ITEM-2", "issue" : "3\u20134", "issued" : { "date-parts" : [ [ "2014" ] ] }, "page" : "299-331", "publisher" : "Now Publishers, Inc.", "title" : "Incentivizing the provision of ecosystem services", "type" : "article-journal", "volume" : "7" }, "uris" : [ "http://www.mendeley.com/documents/?uuid=d854eb84-09a5-49c1-84a3-421b2abba4e4" ] } ], "mendeley" : { "formattedCitation" : "(Hanley and White, 2014; Engel, 2016)", "plainTextFormattedCitation" : "(Hanley and White, 2014; Engel, 2016)", "previouslyFormattedCitation" : "(Hanley and White, 2014; Engel, 2016)" }, "properties" : { "noteIndex" : 0 }, "schema" : "https://github.com/citation-style-language/schema/raw/master/csl-citation.json" }</w:instrText>
      </w:r>
      <w:r w:rsidR="00017A34">
        <w:rPr>
          <w:lang w:eastAsia="en-GB"/>
        </w:rPr>
        <w:fldChar w:fldCharType="separate"/>
      </w:r>
      <w:r w:rsidR="00630D4E" w:rsidRPr="00630D4E">
        <w:rPr>
          <w:noProof/>
          <w:lang w:eastAsia="en-GB"/>
        </w:rPr>
        <w:t>(Hanley and White, 2014; Engel, 2016)</w:t>
      </w:r>
      <w:r w:rsidR="00017A34">
        <w:rPr>
          <w:lang w:eastAsia="en-GB"/>
        </w:rPr>
        <w:fldChar w:fldCharType="end"/>
      </w:r>
      <w:r w:rsidR="00017A34">
        <w:rPr>
          <w:lang w:eastAsia="en-GB"/>
        </w:rPr>
        <w:t>.</w:t>
      </w:r>
      <w:r w:rsidR="00630D4E">
        <w:rPr>
          <w:lang w:eastAsia="en-GB"/>
        </w:rPr>
        <w:t xml:space="preserve"> Employing different selection goals in PES has been a controversial topic but there are good arguments for not treating environmental and social equity goals as separate objectives. Yet, we show combining the two may result in </w:t>
      </w:r>
      <w:r w:rsidR="001A0FF4">
        <w:rPr>
          <w:lang w:eastAsia="en-GB"/>
        </w:rPr>
        <w:t xml:space="preserve">a </w:t>
      </w:r>
      <w:r w:rsidR="00630D4E">
        <w:rPr>
          <w:lang w:eastAsia="en-GB"/>
        </w:rPr>
        <w:t>reduction of ecological effectiveness (e.g. diversity captured, land area conserved)</w:t>
      </w:r>
      <w:r w:rsidR="00F22C77">
        <w:rPr>
          <w:lang w:eastAsia="en-GB"/>
        </w:rPr>
        <w:t xml:space="preserve"> or increased cost. At the same time, reduced social and poverty focus may undermine the effectiveness of PES schemes through negative behaviours due to perceptions of unfairness that</w:t>
      </w:r>
      <w:r w:rsidR="00007D80">
        <w:rPr>
          <w:lang w:eastAsia="en-GB"/>
        </w:rPr>
        <w:t xml:space="preserve"> can lead to</w:t>
      </w:r>
      <w:r w:rsidR="00F22C77">
        <w:rPr>
          <w:lang w:eastAsia="en-GB"/>
        </w:rPr>
        <w:t xml:space="preserve"> crowing-out, </w:t>
      </w:r>
      <w:r w:rsidR="00007D80">
        <w:rPr>
          <w:lang w:eastAsia="en-GB"/>
        </w:rPr>
        <w:t>non-compliance (</w:t>
      </w:r>
      <w:r w:rsidR="00F22C77">
        <w:rPr>
          <w:lang w:eastAsia="en-GB"/>
        </w:rPr>
        <w:t>moral hazard</w:t>
      </w:r>
      <w:r w:rsidR="00007D80">
        <w:rPr>
          <w:lang w:eastAsia="en-GB"/>
        </w:rPr>
        <w:t>)</w:t>
      </w:r>
      <w:r w:rsidR="00630D4E">
        <w:rPr>
          <w:lang w:eastAsia="en-GB"/>
        </w:rPr>
        <w:t xml:space="preserve"> </w:t>
      </w:r>
      <w:r w:rsidR="00F22C77">
        <w:rPr>
          <w:lang w:eastAsia="en-GB"/>
        </w:rPr>
        <w:t xml:space="preserve">and negative spillovers/indirect effects </w:t>
      </w:r>
      <w:r w:rsidR="00F22C77">
        <w:rPr>
          <w:lang w:eastAsia="en-GB"/>
        </w:rPr>
        <w:fldChar w:fldCharType="begin" w:fldLock="1"/>
      </w:r>
      <w:r w:rsidR="00DC470E">
        <w:rPr>
          <w:lang w:eastAsia="en-GB"/>
        </w:rPr>
        <w:instrText>ADDIN CSL_CITATION { "citationItems" : [ { "id" : "ITEM-1", "itemData" : { "ISSN" : "1932-1473", "author" : [ { "dropping-particle" : "", "family" : "Hanley", "given" : "Nick", "non-dropping-particle" : "", "parse-names" : false, "suffix" : "" }, { "dropping-particle" : "", "family" : "White", "given" : "Ben", "non-dropping-particle" : "", "parse-names" : false, "suffix" : "" } ], "container-title" : "International Review of Environmental and Resource Economics", "id" : "ITEM-1", "issue" : "3\u20134", "issued" : { "date-parts" : [ [ "2014" ] ] }, "page" : "299-331", "publisher" : "Now Publishers, Inc.", "title" : "Incentivizing the provision of ecosystem services", "type" : "article-journal", "volume" : "7" }, "uris" : [ "http://www.mendeley.com/documents/?uuid=d854eb84-09a5-49c1-84a3-421b2abba4e4" ] }, { "id" : "ITEM-2", "itemData" : { "ISSN" : "0305-750X", "author" : [ { "dropping-particle" : "", "family" : "B\u00f6rner", "given" : "Jan", "non-dropping-particle" : "", "parse-names" : false, "suffix" : "" }, { "dropping-particle" : "", "family" : "Baylis", "given" : "Kathy", "non-dropping-particle" : "", "parse-names" : false, "suffix" : "" }, { "dropping-particle" : "", "family" : "Corbera", "given" : "Esteve", "non-dropping-particle" : "", "parse-names" : false, "suffix" : "" }, { "dropping-particle" : "", "family" : "Ezzine-de-Blas", "given" : "Driss", "non-dropping-particle" : "", "parse-names" : false, "suffix" : "" }, { "dropping-particle" : "", "family" : "Honey-Ros\u00e9s", "given" : "Jordi", "non-dropping-particle" : "", "parse-names" : false, "suffix" : "" }, { "dropping-particle" : "", "family" : "Persson", "given" : "U Martin", "non-dropping-particle" : "", "parse-names" : false, "suffix" : "" }, { "dropping-particle" : "", "family" : "Wunder", "given" : "Sven", "non-dropping-particle" : "", "parse-names" : false, "suffix" : "" } ], "container-title" : "World Development", "id" : "ITEM-2", "issued" : { "date-parts" : [ [ "2017" ] ] }, "page" : "359-374", "publisher" : "Elsevier", "title" : "The effectiveness of payments for environmental services", "type" : "article-journal", "volume" : "96" }, "uris" : [ "http://www.mendeley.com/documents/?uuid=4a6373f0-27d2-46ad-8457-dc4b7ab679fe" ] }, { "id" : "ITEM-3", "itemData" : { "ISSN" : "0006-3568", "author" : [ { "dropping-particle" : "", "family" : "Pascual", "given" : "Unai", "non-dropping-particle" : "", "parse-names" : false, "suffix" : "" }, { "dropping-particle" : "", "family" : "Phelps", "given" : "Jacob", "non-dropping-particle" : "", "parse-names" : false, "suffix" : "" }, { "dropping-particle" : "", "family" : "Garmendia", "given" : "Eneko", "non-dropping-particle" : "", "parse-names" : false, "suffix" : "" }, { "dropping-particle" : "", "family" : "Brown", "given" : "Katrina", "non-dropping-particle" : "", "parse-names" : false, "suffix" : "" }, { "dropping-particle" : "", "family" : "Corbera", "given" : "Esteve", "non-dropping-particle" : "", "parse-names" : false, "suffix" : "" }, { "dropping-particle" : "", "family" : "Martin", "given" : "Adrian", "non-dropping-particle" : "", "parse-names" : false, "suffix" : "" }, { "dropping-particle" : "", "family" : "Gomez-Baggethun", "given" : "Erik", "non-dropping-particle" : "", "parse-names" : false, "suffix" : "" }, { "dropping-particle" : "", "family" : "Muradian", "given" : "Roldan", "non-dropping-particle" : "", "parse-names" : false, "suffix" : "" } ], "container-title" : "Bioscience", "id" : "ITEM-3", "issue" : "11", "issued" : { "date-parts" : [ [ "2014" ] ] }, "page" : "1027-1036", "publisher" : "Oxford University Press", "title" : "Social equity matters in payments for ecosystem services", "type" : "article-journal", "volume" : "64" }, "uris" : [ "http://www.mendeley.com/documents/?uuid=157e8236-203e-4a67-b5b4-96411768dcf5" ] } ], "mendeley" : { "formattedCitation" : "(Hanley and White, 2014; Pascual et al., 2014; B\u00f6rner et al., 2017)", "plainTextFormattedCitation" : "(Hanley and White, 2014; Pascual et al., 2014; B\u00f6rner et al., 2017)", "previouslyFormattedCitation" : "(Hanley and White, 2014; Pascual et al., 2014; B\u00f6rner et al., 2017)" }, "properties" : { "noteIndex" : 0 }, "schema" : "https://github.com/citation-style-language/schema/raw/master/csl-citation.json" }</w:instrText>
      </w:r>
      <w:r w:rsidR="00F22C77">
        <w:rPr>
          <w:lang w:eastAsia="en-GB"/>
        </w:rPr>
        <w:fldChar w:fldCharType="separate"/>
      </w:r>
      <w:r w:rsidR="00F22C77" w:rsidRPr="00F22C77">
        <w:rPr>
          <w:noProof/>
          <w:lang w:eastAsia="en-GB"/>
        </w:rPr>
        <w:t>(Hanley and White, 2014; Pascual et al., 2014; Börner et al., 2017)</w:t>
      </w:r>
      <w:r w:rsidR="00F22C77">
        <w:rPr>
          <w:lang w:eastAsia="en-GB"/>
        </w:rPr>
        <w:fldChar w:fldCharType="end"/>
      </w:r>
      <w:r w:rsidR="00F22C77">
        <w:rPr>
          <w:lang w:eastAsia="en-GB"/>
        </w:rPr>
        <w:t>.</w:t>
      </w:r>
      <w:r w:rsidR="00007D80">
        <w:rPr>
          <w:lang w:eastAsia="en-GB"/>
        </w:rPr>
        <w:t xml:space="preserve"> </w:t>
      </w:r>
      <w:r w:rsidR="00B43D75">
        <w:rPr>
          <w:lang w:eastAsia="en-GB"/>
        </w:rPr>
        <w:t xml:space="preserve">Ultimately, there is a need to established guidance around how </w:t>
      </w:r>
      <w:r w:rsidR="001A0FF4">
        <w:rPr>
          <w:lang w:eastAsia="en-GB"/>
        </w:rPr>
        <w:t xml:space="preserve">such </w:t>
      </w:r>
      <w:r w:rsidR="00B43D75">
        <w:rPr>
          <w:lang w:eastAsia="en-GB"/>
        </w:rPr>
        <w:t xml:space="preserve">trade-offs are managed for better conservation outcomes.  </w:t>
      </w:r>
      <w:r w:rsidR="00630D4E">
        <w:rPr>
          <w:lang w:eastAsia="en-GB"/>
        </w:rPr>
        <w:t xml:space="preserve">  </w:t>
      </w:r>
      <w:r w:rsidR="007E04DC">
        <w:rPr>
          <w:lang w:eastAsia="en-GB"/>
        </w:rPr>
        <w:t xml:space="preserve">  </w:t>
      </w:r>
      <w:r w:rsidR="00017A34">
        <w:rPr>
          <w:lang w:eastAsia="en-GB"/>
        </w:rPr>
        <w:t xml:space="preserve">   </w:t>
      </w:r>
      <w:r>
        <w:rPr>
          <w:b/>
          <w:lang w:eastAsia="en-GB"/>
        </w:rPr>
        <w:t xml:space="preserve"> </w:t>
      </w:r>
    </w:p>
    <w:p w:rsidR="005955DF" w:rsidRDefault="005955DF" w:rsidP="005955DF">
      <w:pPr>
        <w:shd w:val="clear" w:color="auto" w:fill="FFFFFF"/>
        <w:spacing w:line="351" w:lineRule="atLeast"/>
        <w:textAlignment w:val="baseline"/>
        <w:rPr>
          <w:rFonts w:ascii="Verdana" w:hAnsi="Verdana"/>
          <w:color w:val="333333"/>
          <w:sz w:val="20"/>
          <w:szCs w:val="20"/>
          <w:lang w:eastAsia="en-GB"/>
        </w:rPr>
      </w:pPr>
    </w:p>
    <w:p w:rsidR="003C72FB" w:rsidRDefault="00875679" w:rsidP="003C72FB">
      <w:pPr>
        <w:rPr>
          <w:lang w:eastAsia="en-GB"/>
        </w:rPr>
      </w:pPr>
      <w:r w:rsidRPr="00875679">
        <w:rPr>
          <w:b/>
          <w:lang w:eastAsia="en-GB"/>
        </w:rPr>
        <w:t xml:space="preserve">Better </w:t>
      </w:r>
      <w:r>
        <w:rPr>
          <w:b/>
          <w:lang w:eastAsia="en-GB"/>
        </w:rPr>
        <w:t xml:space="preserve">monitoring in </w:t>
      </w:r>
      <w:r w:rsidR="0047486D">
        <w:rPr>
          <w:b/>
          <w:lang w:eastAsia="en-GB"/>
        </w:rPr>
        <w:t>agrobiodiversity</w:t>
      </w:r>
      <w:r>
        <w:rPr>
          <w:b/>
          <w:lang w:eastAsia="en-GB"/>
        </w:rPr>
        <w:t xml:space="preserve"> conservation schemes is necessary</w:t>
      </w:r>
      <w:r w:rsidR="0097053F">
        <w:rPr>
          <w:b/>
          <w:lang w:eastAsia="en-GB"/>
        </w:rPr>
        <w:t xml:space="preserve"> and best practice principles should be established</w:t>
      </w:r>
      <w:r>
        <w:rPr>
          <w:b/>
          <w:lang w:eastAsia="en-GB"/>
        </w:rPr>
        <w:t xml:space="preserve">. </w:t>
      </w:r>
      <w:r>
        <w:rPr>
          <w:lang w:eastAsia="en-GB"/>
        </w:rPr>
        <w:t xml:space="preserve">Reviews of incentive schemes for FAnGR are often too simplistic and often focus </w:t>
      </w:r>
      <w:r w:rsidR="0047486D">
        <w:rPr>
          <w:lang w:eastAsia="en-GB"/>
        </w:rPr>
        <w:t xml:space="preserve">on </w:t>
      </w:r>
      <w:r>
        <w:rPr>
          <w:lang w:eastAsia="en-GB"/>
        </w:rPr>
        <w:t xml:space="preserve">scheme participation rather than </w:t>
      </w:r>
      <w:r w:rsidR="00DC470E">
        <w:rPr>
          <w:lang w:eastAsia="en-GB"/>
        </w:rPr>
        <w:t>ecological</w:t>
      </w:r>
      <w:r>
        <w:rPr>
          <w:lang w:eastAsia="en-GB"/>
        </w:rPr>
        <w:t xml:space="preserve"> effectiveness</w:t>
      </w:r>
      <w:r w:rsidR="00DC470E">
        <w:rPr>
          <w:lang w:eastAsia="en-GB"/>
        </w:rPr>
        <w:t xml:space="preserve"> </w:t>
      </w:r>
      <w:r w:rsidR="00DC470E">
        <w:rPr>
          <w:lang w:eastAsia="en-GB"/>
        </w:rPr>
        <w:fldChar w:fldCharType="begin" w:fldLock="1"/>
      </w:r>
      <w:r w:rsidR="00DC470E">
        <w:rPr>
          <w:lang w:eastAsia="en-GB"/>
        </w:rPr>
        <w:instrText>ADDIN CSL_CITATION { "citationItems" : [ { "id" : "ITEM-1", "itemData" : { "author" : [ { "dropping-particle" : "", "family" : "Natural England", "given" : "", "non-dropping-particle" : "", "parse-names" : false, "suffix" : "" } ], "id" : "ITEM-1", "issued" : { "date-parts" : [ [ "2016" ] ] }, "title" : "Review of HR2 Grazing supplement for native breeds at risk", "type" : "report" }, "uris" : [ "http://www.mendeley.com/documents/?uuid=7f0dfb40-1586-4619-9876-8a3c953e7281" ] } ], "mendeley" : { "formattedCitation" : "(Natural England, 2016)", "manualFormatting" : "(see Natural England, 2016)", "plainTextFormattedCitation" : "(Natural England, 2016)", "previouslyFormattedCitation" : "(Natural England, 2016)" }, "properties" : { "noteIndex" : 0 }, "schema" : "https://github.com/citation-style-language/schema/raw/master/csl-citation.json" }</w:instrText>
      </w:r>
      <w:r w:rsidR="00DC470E">
        <w:rPr>
          <w:lang w:eastAsia="en-GB"/>
        </w:rPr>
        <w:fldChar w:fldCharType="separate"/>
      </w:r>
      <w:r w:rsidR="00DC470E" w:rsidRPr="00DC470E">
        <w:rPr>
          <w:noProof/>
          <w:lang w:eastAsia="en-GB"/>
        </w:rPr>
        <w:t>(</w:t>
      </w:r>
      <w:r w:rsidR="00DC470E">
        <w:rPr>
          <w:noProof/>
          <w:lang w:eastAsia="en-GB"/>
        </w:rPr>
        <w:t xml:space="preserve">see </w:t>
      </w:r>
      <w:r w:rsidR="00DC470E" w:rsidRPr="00DC470E">
        <w:rPr>
          <w:noProof/>
          <w:lang w:eastAsia="en-GB"/>
        </w:rPr>
        <w:t>Natural England, 2016)</w:t>
      </w:r>
      <w:r w:rsidR="00DC470E">
        <w:rPr>
          <w:lang w:eastAsia="en-GB"/>
        </w:rPr>
        <w:fldChar w:fldCharType="end"/>
      </w:r>
      <w:r>
        <w:rPr>
          <w:lang w:eastAsia="en-GB"/>
        </w:rPr>
        <w:t>.</w:t>
      </w:r>
      <w:r w:rsidR="00DC470E">
        <w:rPr>
          <w:lang w:eastAsia="en-GB"/>
        </w:rPr>
        <w:t xml:space="preserve"> </w:t>
      </w:r>
      <w:r w:rsidR="0097053F">
        <w:rPr>
          <w:lang w:eastAsia="en-GB"/>
        </w:rPr>
        <w:t>Conservation p</w:t>
      </w:r>
      <w:r w:rsidR="00DC470E">
        <w:rPr>
          <w:lang w:eastAsia="en-GB"/>
        </w:rPr>
        <w:t xml:space="preserve">rogrammes that do not employ adequate monitoring are often judged less successful compared to those employing </w:t>
      </w:r>
      <w:r w:rsidR="0097053F">
        <w:rPr>
          <w:lang w:eastAsia="en-GB"/>
        </w:rPr>
        <w:t xml:space="preserve">periodic reviews </w:t>
      </w:r>
      <w:r w:rsidR="00DC470E">
        <w:rPr>
          <w:lang w:eastAsia="en-GB"/>
        </w:rPr>
        <w:fldChar w:fldCharType="begin" w:fldLock="1"/>
      </w:r>
      <w:r w:rsidR="0047486D">
        <w:rPr>
          <w:lang w:eastAsia="en-GB"/>
        </w:rPr>
        <w:instrText>ADDIN CSL_CITATION { "citationItems" : [ { "id" : "ITEM-1", "itemData" : { "ISSN" : "0305-750X", "author" : [ { "dropping-particle" : "", "family" : "B\u00f6rner", "given" : "Jan", "non-dropping-particle" : "", "parse-names" : false, "suffix" : "" }, { "dropping-particle" : "", "family" : "Baylis", "given" : "Kathy", "non-dropping-particle" : "", "parse-names" : false, "suffix" : "" }, { "dropping-particle" : "", "family" : "Corbera", "given" : "Esteve", "non-dropping-particle" : "", "parse-names" : false, "suffix" : "" }, { "dropping-particle" : "", "family" : "Ezzine-de-Blas", "given" : "Driss", "non-dropping-particle" : "", "parse-names" : false, "suffix" : "" }, { "dropping-particle" : "", "family" : "Honey-Ros\u00e9s", "given" : "Jordi", "non-dropping-particle" : "", "parse-names" : false, "suffix" : "" }, { "dropping-particle" : "", "family" : "Persson", "given" : "U Martin", "non-dropping-particle" : "", "parse-names" : false, "suffix" : "" }, { "dropping-particle" : "", "family" : "Wunder", "given" : "Sven", "non-dropping-particle" : "", "parse-names" : false, "suffix" : "" } ], "container-title" : "World Development", "id" : "ITEM-1", "issued" : { "date-parts" : [ [ "2017" ] ] }, "page" : "359-374", "publisher" : "Elsevier", "title" : "The effectiveness of payments for environmental services", "type" : "article-journal", "volume" : "96" }, "uris" : [ "http://www.mendeley.com/documents/?uuid=4a6373f0-27d2-46ad-8457-dc4b7ab679fe" ] } ], "mendeley" : { "formattedCitation" : "(B\u00f6rner et al., 2017)", "plainTextFormattedCitation" : "(B\u00f6rner et al., 2017)", "previouslyFormattedCitation" : "(B\u00f6rner et al., 2017)" }, "properties" : { "noteIndex" : 0 }, "schema" : "https://github.com/citation-style-language/schema/raw/master/csl-citation.json" }</w:instrText>
      </w:r>
      <w:r w:rsidR="00DC470E">
        <w:rPr>
          <w:lang w:eastAsia="en-GB"/>
        </w:rPr>
        <w:fldChar w:fldCharType="separate"/>
      </w:r>
      <w:r w:rsidR="00DC470E" w:rsidRPr="00DC470E">
        <w:rPr>
          <w:noProof/>
          <w:lang w:eastAsia="en-GB"/>
        </w:rPr>
        <w:t>(Börner et al., 2017)</w:t>
      </w:r>
      <w:r w:rsidR="00DC470E">
        <w:rPr>
          <w:lang w:eastAsia="en-GB"/>
        </w:rPr>
        <w:fldChar w:fldCharType="end"/>
      </w:r>
      <w:r w:rsidR="00DC470E">
        <w:rPr>
          <w:lang w:eastAsia="en-GB"/>
        </w:rPr>
        <w:t>.</w:t>
      </w:r>
      <w:r w:rsidR="0047486D">
        <w:rPr>
          <w:lang w:eastAsia="en-GB"/>
        </w:rPr>
        <w:t xml:space="preserve"> Work by </w:t>
      </w:r>
      <w:r w:rsidR="0047486D">
        <w:rPr>
          <w:lang w:eastAsia="en-GB"/>
        </w:rPr>
        <w:fldChar w:fldCharType="begin" w:fldLock="1"/>
      </w:r>
      <w:r w:rsidR="009A7A63">
        <w:rPr>
          <w:lang w:eastAsia="en-GB"/>
        </w:rPr>
        <w:instrText>ADDIN CSL_CITATION { "citationItems" : [ { "id" : "ITEM-1", "itemData" : { "author" : [ { "dropping-particle" : "", "family" : "Bioversity International", "given" : "", "non-dropping-particle" : "", "parse-names" : false, "suffix" : "" } ], "id" : "ITEM-1", "issued" : { "date-parts" : [ [ "2016" ] ] }, "publisher-place" : "Rome, Italy", "title" : "Mainstreaming Agrobiodiversity in Sustainable Food Systems: Scientific Foundations for an Agrobiodiversity Index \u2013 Summary.", "type" : "report" }, "uris" : [ "http://www.mendeley.com/documents/?uuid=5a64b65a-9782-4259-8d61-788baea96ba3" ] } ], "mendeley" : { "formattedCitation" : "(Bioversity International, 2016)", "manualFormatting" : "Bioversity International (2016)", "plainTextFormattedCitation" : "(Bioversity International, 2016)", "previouslyFormattedCitation" : "(Bioversity International, 2016)" }, "properties" : { "noteIndex" : 0 }, "schema" : "https://github.com/citation-style-language/schema/raw/master/csl-citation.json" }</w:instrText>
      </w:r>
      <w:r w:rsidR="0047486D">
        <w:rPr>
          <w:lang w:eastAsia="en-GB"/>
        </w:rPr>
        <w:fldChar w:fldCharType="separate"/>
      </w:r>
      <w:r w:rsidR="0047486D" w:rsidRPr="0047486D">
        <w:rPr>
          <w:noProof/>
          <w:lang w:eastAsia="en-GB"/>
        </w:rPr>
        <w:t xml:space="preserve">Bioversity International </w:t>
      </w:r>
      <w:r w:rsidR="0047486D">
        <w:rPr>
          <w:noProof/>
          <w:lang w:eastAsia="en-GB"/>
        </w:rPr>
        <w:t>(</w:t>
      </w:r>
      <w:r w:rsidR="0047486D" w:rsidRPr="0047486D">
        <w:rPr>
          <w:noProof/>
          <w:lang w:eastAsia="en-GB"/>
        </w:rPr>
        <w:t>2016)</w:t>
      </w:r>
      <w:r w:rsidR="0047486D">
        <w:rPr>
          <w:lang w:eastAsia="en-GB"/>
        </w:rPr>
        <w:fldChar w:fldCharType="end"/>
      </w:r>
      <w:r w:rsidR="0047486D">
        <w:rPr>
          <w:lang w:eastAsia="en-GB"/>
        </w:rPr>
        <w:t xml:space="preserve"> to construct an ‘agrobiodiveristy metric’ may provide a basis for better monitoring and benchmarking of incentive schemes. To this end, there is a need to develop “best practice principles” for PGR and FAnGR programmes, where currently little guidance exists to promote consistent conservation responses.     </w:t>
      </w:r>
      <w:r w:rsidR="00DC470E">
        <w:rPr>
          <w:lang w:eastAsia="en-GB"/>
        </w:rPr>
        <w:t xml:space="preserve"> </w:t>
      </w:r>
    </w:p>
    <w:p w:rsidR="00BD583D" w:rsidRDefault="00BD583D" w:rsidP="003C72FB">
      <w:pPr>
        <w:rPr>
          <w:lang w:eastAsia="en-GB"/>
        </w:rPr>
      </w:pPr>
    </w:p>
    <w:p w:rsidR="003C72FB" w:rsidRDefault="003C72FB" w:rsidP="003C72FB">
      <w:pPr>
        <w:pStyle w:val="Heading2"/>
        <w:keepLines w:val="0"/>
        <w:numPr>
          <w:ilvl w:val="1"/>
          <w:numId w:val="2"/>
        </w:numPr>
        <w:tabs>
          <w:tab w:val="left" w:pos="624"/>
        </w:tabs>
        <w:spacing w:before="300" w:after="120"/>
      </w:pPr>
      <w:bookmarkStart w:id="2" w:name="_Toc517708946"/>
      <w:r>
        <w:t>Further work</w:t>
      </w:r>
      <w:bookmarkEnd w:id="2"/>
      <w:r>
        <w:t xml:space="preserve"> </w:t>
      </w:r>
    </w:p>
    <w:p w:rsidR="003C72FB" w:rsidRDefault="003C72FB" w:rsidP="003C72FB"/>
    <w:p w:rsidR="003C72FB" w:rsidRPr="00706319" w:rsidRDefault="003C72FB" w:rsidP="003C72FB">
      <w:pPr>
        <w:numPr>
          <w:ilvl w:val="0"/>
          <w:numId w:val="3"/>
        </w:numPr>
        <w:shd w:val="clear" w:color="auto" w:fill="FFFFFF"/>
        <w:spacing w:line="351" w:lineRule="atLeast"/>
        <w:ind w:left="360"/>
        <w:textAlignment w:val="baseline"/>
        <w:rPr>
          <w:rFonts w:ascii="Verdana" w:hAnsi="Verdana"/>
          <w:color w:val="333333"/>
          <w:sz w:val="20"/>
          <w:szCs w:val="20"/>
          <w:lang w:eastAsia="en-GB"/>
        </w:rPr>
      </w:pPr>
      <w:r>
        <w:rPr>
          <w:rFonts w:ascii="Verdana" w:hAnsi="Verdana"/>
          <w:color w:val="333333"/>
          <w:sz w:val="20"/>
          <w:szCs w:val="20"/>
          <w:lang w:eastAsia="en-GB"/>
        </w:rPr>
        <w:t>R</w:t>
      </w:r>
      <w:r w:rsidRPr="00706319">
        <w:rPr>
          <w:rFonts w:ascii="Verdana" w:hAnsi="Verdana"/>
          <w:color w:val="333333"/>
          <w:sz w:val="20"/>
          <w:szCs w:val="20"/>
          <w:lang w:eastAsia="en-GB"/>
        </w:rPr>
        <w:t>efer to the limitations of the studies that may affect the validity or the generalisability of results</w:t>
      </w:r>
      <w:r>
        <w:rPr>
          <w:rFonts w:ascii="Verdana" w:hAnsi="Verdana"/>
          <w:color w:val="333333"/>
          <w:sz w:val="20"/>
          <w:szCs w:val="20"/>
          <w:lang w:eastAsia="en-GB"/>
        </w:rPr>
        <w:t>.</w:t>
      </w:r>
    </w:p>
    <w:p w:rsidR="003C72FB" w:rsidRDefault="003C72FB" w:rsidP="003C72FB"/>
    <w:p w:rsidR="00FD2E99" w:rsidRDefault="00A15E98" w:rsidP="003C72FB">
      <w:r>
        <w:lastRenderedPageBreak/>
        <w:t>Much of this work has focused on cou</w:t>
      </w:r>
      <w:r w:rsidR="000D59D5">
        <w:t>ntry-specific case studies. There</w:t>
      </w:r>
      <w:r>
        <w:t xml:space="preserve"> is a recognisable </w:t>
      </w:r>
      <w:r w:rsidR="00734AFD">
        <w:t>need</w:t>
      </w:r>
      <w:r>
        <w:t xml:space="preserve"> to extrapolate these findings more broadly</w:t>
      </w:r>
      <w:r w:rsidR="00734AFD">
        <w:t xml:space="preserve"> to other country contexts</w:t>
      </w:r>
      <w:r w:rsidR="00F60D69">
        <w:t>, where differences between developed and developing countries may be more acute</w:t>
      </w:r>
      <w:r w:rsidR="00734AFD">
        <w:t>.</w:t>
      </w:r>
      <w:r w:rsidR="00F60D69">
        <w:t xml:space="preserve"> </w:t>
      </w:r>
      <w:r w:rsidR="00BA181A">
        <w:t>Where</w:t>
      </w:r>
      <w:r w:rsidR="00BA4E85">
        <w:t xml:space="preserve"> the drivers of genetic erosion </w:t>
      </w:r>
      <w:r w:rsidR="00BA181A">
        <w:t>vary</w:t>
      </w:r>
      <w:r w:rsidR="00BA4E85">
        <w:t xml:space="preserve"> across </w:t>
      </w:r>
      <w:r w:rsidR="00BA181A">
        <w:t>regions/</w:t>
      </w:r>
      <w:r w:rsidR="00BA4E85">
        <w:t xml:space="preserve">countries alternate policy interventions may be </w:t>
      </w:r>
      <w:r w:rsidR="003079C9">
        <w:t>necessary.</w:t>
      </w:r>
    </w:p>
    <w:p w:rsidR="00A15E98" w:rsidRDefault="00A15E98" w:rsidP="003C72FB"/>
    <w:p w:rsidR="001940BC" w:rsidRDefault="00A15E98" w:rsidP="003C72FB">
      <w:r>
        <w:t>Some chapter</w:t>
      </w:r>
      <w:r w:rsidR="00F60D69">
        <w:t>s here</w:t>
      </w:r>
      <w:r>
        <w:t xml:space="preserve"> use proximate variables </w:t>
      </w:r>
      <w:r w:rsidR="00F60D69">
        <w:t>to denote</w:t>
      </w:r>
      <w:r>
        <w:t xml:space="preserve"> conservation benefit</w:t>
      </w:r>
      <w:r w:rsidR="00F60D69">
        <w:t xml:space="preserve"> from investments in diversity</w:t>
      </w:r>
      <w:r>
        <w:t>. While these proxies are based on sound scientific reasoning</w:t>
      </w:r>
      <w:r w:rsidR="00F60D69">
        <w:t>,</w:t>
      </w:r>
      <w:r>
        <w:t xml:space="preserve"> we suggest further work to determine whether such proximate measures are indeed vectors of conservation benefit needs empirical</w:t>
      </w:r>
      <w:r w:rsidR="00F60D69">
        <w:t>ly</w:t>
      </w:r>
      <w:r>
        <w:t xml:space="preserve"> testing. For instance, in Chapter </w:t>
      </w:r>
      <w:proofErr w:type="gramStart"/>
      <w:r w:rsidR="00992294">
        <w:t>Four</w:t>
      </w:r>
      <w:proofErr w:type="gramEnd"/>
      <w:r w:rsidR="00992294">
        <w:t xml:space="preserve">, diversity is </w:t>
      </w:r>
      <w:r w:rsidR="0086590A">
        <w:t>approximated by</w:t>
      </w:r>
      <w:r w:rsidR="00992294">
        <w:t xml:space="preserve"> distribution of conservation sites across different </w:t>
      </w:r>
      <w:proofErr w:type="spellStart"/>
      <w:r w:rsidR="00992294">
        <w:t>ecogeographic</w:t>
      </w:r>
      <w:proofErr w:type="spellEnd"/>
      <w:r w:rsidR="00992294">
        <w:t xml:space="preserve"> regions while in Chapter Five, diversity is denoted by geographic origin (among other factors).</w:t>
      </w:r>
      <w:r w:rsidR="00F60D69">
        <w:t xml:space="preserve"> Work to verify such proxies would provide a useful grounding to formulate cost benefit analysis</w:t>
      </w:r>
      <w:r w:rsidR="00A23B1C">
        <w:t xml:space="preserve"> frameworks.</w:t>
      </w:r>
    </w:p>
    <w:p w:rsidR="001940BC" w:rsidRDefault="001940BC" w:rsidP="003C72FB"/>
    <w:p w:rsidR="00A15E98" w:rsidRDefault="001940BC" w:rsidP="003C72FB">
      <w:r>
        <w:t>Although this work explores agrobiodiveristy conservation in the context of PGR and FAnGR, a limited number of synergies are explored between the two</w:t>
      </w:r>
      <w:r w:rsidR="0016663A">
        <w:t xml:space="preserve"> (although I suggest many of our findings in chapters may overlap). M</w:t>
      </w:r>
      <w:r w:rsidR="00160F5F">
        <w:t xml:space="preserve">ore work is needed to explore what PGR can learn from FAnGR conservation approaches and vice versa </w:t>
      </w:r>
      <w:r w:rsidR="00160F5F">
        <w:fldChar w:fldCharType="begin" w:fldLock="1"/>
      </w:r>
      <w:r w:rsidR="00160F5F">
        <w:instrText>ADDIN CSL_CITATION { "citationItems" : [ { "id" : "ITEM-1", "itemData" : { "DOI" : "10.1016/S0921-8009(03)00090-9", "ISSN" : "0921-8009", "abstract" : "A growing body of theoretical and empirical studies has examined issues relating to the valuation, utilization, and management of plant genetic resources (PGRs). This paper attempts to summarize relevant lessons from this literature for animal genetic resources. Conceptually and methodologically, there are strong similarities between plant and animal genetic resources. However, the literature on PGRs makes it clear that most of the important policy questions require empirical information-about costs of collection and storage; about the \"uniqueness\" of desirable traits; about the technologies for in situ and ex situ conservation, etc. In these respects, there are big differences between plant and animal genetic resources. Improving the empirical understanding of animal genetic resource conservation should be a focus of future research. (C) 2003 Elsevier Science B.V. All rights reserved", "author" : [ { "dropping-particle" : "", "family" : "Gollin", "given" : "D", "non-dropping-particle" : "", "parse-names" : false, "suffix" : "" }, { "dropping-particle" : "", "family" : "Evenson", "given" : "R", "non-dropping-particle" : "", "parse-names" : false, "suffix" : "" } ], "container-title" : "Ecological Economics", "id" : "ITEM-1", "issue" : "3", "issued" : { "date-parts" : [ [ "2003" ] ] }, "page" : "353-363", "title" : "Valuing animal genetic resources: lessons from plant genetic resources", "type" : "article-journal", "volume" : "45" }, "uris" : [ "http://www.mendeley.com/documents/?uuid=a577e022-e654-46d8-a844-a82b5617223c" ] } ], "mendeley" : { "formattedCitation" : "(Gollin and Evenson, 2003)", "plainTextFormattedCitation" : "(Gollin and Evenson, 2003)", "previouslyFormattedCitation" : "(Gollin and Evenson, 2003)" }, "properties" : { "noteIndex" : 0 }, "schema" : "https://github.com/citation-style-language/schema/raw/master/csl-citation.json" }</w:instrText>
      </w:r>
      <w:r w:rsidR="00160F5F">
        <w:fldChar w:fldCharType="separate"/>
      </w:r>
      <w:r w:rsidR="00160F5F" w:rsidRPr="00160F5F">
        <w:rPr>
          <w:noProof/>
        </w:rPr>
        <w:t>(Gollin and Evenson, 2003)</w:t>
      </w:r>
      <w:r w:rsidR="00160F5F">
        <w:fldChar w:fldCharType="end"/>
      </w:r>
      <w:r w:rsidR="00160F5F">
        <w:t>. For instance, as formerly noted gap analysis</w:t>
      </w:r>
      <w:r w:rsidR="0086590A">
        <w:t xml:space="preserve"> employed to establish PGR conservation priorities</w:t>
      </w:r>
      <w:r w:rsidR="00160F5F">
        <w:t xml:space="preserve"> </w:t>
      </w:r>
      <w:r w:rsidR="00160F5F">
        <w:fldChar w:fldCharType="begin" w:fldLock="1"/>
      </w:r>
      <w:r w:rsidR="006F0916">
        <w:instrText>ADDIN CSL_CITATION { "citationItems" : [ { "id" : "ITEM-1", "itemData" : { "ISSN" : "1472-4642", "author" : [ { "dropping-particle" : "", "family" : "Maxted", "given" : "Nigel", "non-dropping-particle" : "", "parse-names" : false, "suffix" : "" }, { "dropping-particle" : "", "family" : "Dulloo", "given" : "Ehsan", "non-dropping-particle" : "", "parse-names" : false, "suffix" : "" }, { "dropping-particle" : "", "family" : "Ford\u2010Lloyd", "given" : "Brian", "non-dropping-particle" : "V", "parse-names" : false, "suffix" : "" }, { "dropping-particle" : "", "family" : "Iriondo", "given" : "Jose M", "non-dropping-particle" : "", "parse-names" : false, "suffix" : "" }, { "dropping-particle" : "", "family" : "Jarvis", "given" : "Andy", "non-dropping-particle" : "", "parse-names" : false, "suffix" : "" } ], "container-title" : "Diversity and Distributions", "id" : "ITEM-1", "issue" : "6", "issued" : { "date-parts" : [ [ "2008" ] ] }, "page" : "1018-1030", "publisher" : "Wiley Online Library", "title" : "Gap analysis: a tool for complementary genetic conservation assessment", "type" : "article-journal", "volume" : "14" }, "uris" : [ "http://www.mendeley.com/documents/?uuid=5a902dca-a9a9-46ad-98d1-1a44635644ea" ] } ], "mendeley" : { "formattedCitation" : "(Nigel Maxted et al., 2008)", "manualFormatting" : "(see Maxted et al., 2008)", "plainTextFormattedCitation" : "(Nigel Maxted et al., 2008)", "previouslyFormattedCitation" : "(Nigel Maxted et al., 2008)" }, "properties" : { "noteIndex" : 0 }, "schema" : "https://github.com/citation-style-language/schema/raw/master/csl-citation.json" }</w:instrText>
      </w:r>
      <w:r w:rsidR="00160F5F">
        <w:fldChar w:fldCharType="separate"/>
      </w:r>
      <w:r w:rsidR="00160F5F">
        <w:rPr>
          <w:noProof/>
        </w:rPr>
        <w:t xml:space="preserve">(see </w:t>
      </w:r>
      <w:r w:rsidR="00160F5F" w:rsidRPr="00160F5F">
        <w:rPr>
          <w:noProof/>
        </w:rPr>
        <w:t>Maxted et al., 2008)</w:t>
      </w:r>
      <w:r w:rsidR="00160F5F">
        <w:fldChar w:fldCharType="end"/>
      </w:r>
      <w:r w:rsidR="00160F5F">
        <w:t xml:space="preserve"> may provide useful framing for FAnGR </w:t>
      </w:r>
      <w:r w:rsidR="0016663A">
        <w:t xml:space="preserve">priority setting. </w:t>
      </w:r>
    </w:p>
    <w:p w:rsidR="00842034" w:rsidRDefault="00842034" w:rsidP="003C72FB"/>
    <w:p w:rsidR="00216473" w:rsidRDefault="00842034" w:rsidP="003C72FB">
      <w:r>
        <w:t xml:space="preserve">This work has largely focused on </w:t>
      </w:r>
      <w:r w:rsidRPr="00DE40B2">
        <w:rPr>
          <w:i/>
        </w:rPr>
        <w:t>in-situ</w:t>
      </w:r>
      <w:r>
        <w:t xml:space="preserve"> conservation measures, whilst acknowledging the important role of </w:t>
      </w:r>
      <w:r w:rsidRPr="00DE40B2">
        <w:rPr>
          <w:i/>
        </w:rPr>
        <w:t>ex situ</w:t>
      </w:r>
      <w:r>
        <w:t xml:space="preserve"> approaches</w:t>
      </w:r>
      <w:r w:rsidR="00DE40B2">
        <w:t xml:space="preserve"> as </w:t>
      </w:r>
      <w:r w:rsidR="00D77535">
        <w:t xml:space="preserve">an </w:t>
      </w:r>
      <w:r w:rsidR="00DE40B2">
        <w:t>insurance mechanism</w:t>
      </w:r>
      <w:r>
        <w:t>. While both approaches are complimentary, there has been little exploration of the</w:t>
      </w:r>
      <w:r w:rsidR="00216473">
        <w:t>ir</w:t>
      </w:r>
      <w:r>
        <w:t xml:space="preserve"> </w:t>
      </w:r>
      <w:r w:rsidR="009F3125">
        <w:t xml:space="preserve">optimal contributions, particularly where funds are constrained and </w:t>
      </w:r>
      <w:r w:rsidR="00DE40B2">
        <w:t>alternate</w:t>
      </w:r>
      <w:r w:rsidR="009F3125">
        <w:t xml:space="preserve"> conservation appro</w:t>
      </w:r>
      <w:r w:rsidR="00216473">
        <w:t xml:space="preserve">aches </w:t>
      </w:r>
      <w:r w:rsidR="009F3125">
        <w:t xml:space="preserve">possess </w:t>
      </w:r>
      <w:r w:rsidR="00DE40B2">
        <w:t>different</w:t>
      </w:r>
      <w:r w:rsidR="009F3125">
        <w:t xml:space="preserve"> cost curves</w:t>
      </w:r>
      <w:r w:rsidR="00216473">
        <w:t xml:space="preserve"> </w:t>
      </w:r>
      <w:r w:rsidR="00D77535">
        <w:t>and</w:t>
      </w:r>
      <w:r w:rsidR="00216473">
        <w:t xml:space="preserve"> supply different benefits</w:t>
      </w:r>
      <w:r w:rsidR="009F3125">
        <w:t>.</w:t>
      </w:r>
      <w:r w:rsidR="00216473">
        <w:t xml:space="preserve"> </w:t>
      </w:r>
      <w:r w:rsidR="00A23B1C">
        <w:t>F</w:t>
      </w:r>
      <w:r w:rsidR="00216473">
        <w:t xml:space="preserve">urther work should </w:t>
      </w:r>
      <w:r w:rsidR="00A23B1C">
        <w:t>explore</w:t>
      </w:r>
      <w:r w:rsidR="00216473">
        <w:t xml:space="preserve"> the optimal contributions of different conservation approaches under </w:t>
      </w:r>
      <w:r w:rsidR="00A23B1C">
        <w:t>varying</w:t>
      </w:r>
      <w:r w:rsidR="00216473">
        <w:t xml:space="preserve"> conservation goals and budgets, with particular relation to </w:t>
      </w:r>
      <w:r w:rsidR="00216473" w:rsidRPr="00216473">
        <w:rPr>
          <w:i/>
        </w:rPr>
        <w:t>in situ</w:t>
      </w:r>
      <w:r w:rsidR="00216473">
        <w:t xml:space="preserve"> risks and </w:t>
      </w:r>
      <w:r w:rsidR="00216473" w:rsidRPr="00216473">
        <w:rPr>
          <w:i/>
        </w:rPr>
        <w:t>ex situ</w:t>
      </w:r>
      <w:r w:rsidR="00216473">
        <w:t xml:space="preserve"> vulnerabilities. </w:t>
      </w:r>
      <w:r w:rsidR="00A23B1C">
        <w:t>Developing conservation frameworks based on such information may further improve the cost effectiveness of conservation policy.</w:t>
      </w:r>
    </w:p>
    <w:p w:rsidR="003C72FB" w:rsidRDefault="003C72FB" w:rsidP="003C72FB"/>
    <w:p w:rsidR="003C72FB" w:rsidRPr="00706319" w:rsidRDefault="003C72FB" w:rsidP="003C72FB">
      <w:pPr>
        <w:numPr>
          <w:ilvl w:val="0"/>
          <w:numId w:val="3"/>
        </w:numPr>
        <w:shd w:val="clear" w:color="auto" w:fill="FFFFFF"/>
        <w:spacing w:line="351" w:lineRule="atLeast"/>
        <w:ind w:left="360"/>
        <w:textAlignment w:val="baseline"/>
        <w:rPr>
          <w:rFonts w:ascii="Verdana" w:hAnsi="Verdana"/>
          <w:color w:val="333333"/>
          <w:sz w:val="20"/>
          <w:szCs w:val="20"/>
          <w:lang w:eastAsia="en-GB"/>
        </w:rPr>
      </w:pPr>
      <w:r>
        <w:rPr>
          <w:rFonts w:ascii="Verdana" w:hAnsi="Verdana"/>
          <w:color w:val="333333"/>
          <w:sz w:val="20"/>
          <w:szCs w:val="20"/>
          <w:lang w:eastAsia="en-GB"/>
        </w:rPr>
        <w:t>M</w:t>
      </w:r>
      <w:r w:rsidRPr="00706319">
        <w:rPr>
          <w:rFonts w:ascii="Verdana" w:hAnsi="Verdana"/>
          <w:color w:val="333333"/>
          <w:sz w:val="20"/>
          <w:szCs w:val="20"/>
          <w:lang w:eastAsia="en-GB"/>
        </w:rPr>
        <w:t>ake recommendations for further research</w:t>
      </w:r>
      <w:r>
        <w:rPr>
          <w:rFonts w:ascii="Verdana" w:hAnsi="Verdana"/>
          <w:color w:val="333333"/>
          <w:sz w:val="20"/>
          <w:szCs w:val="20"/>
          <w:lang w:eastAsia="en-GB"/>
        </w:rPr>
        <w:t>.</w:t>
      </w:r>
    </w:p>
    <w:p w:rsidR="003C72FB" w:rsidRDefault="003C72FB" w:rsidP="003C72FB"/>
    <w:p w:rsidR="000D59D5" w:rsidRDefault="001069EA" w:rsidP="000D59D5">
      <w:pPr>
        <w:rPr>
          <w:lang w:eastAsia="en-GB"/>
        </w:rPr>
      </w:pPr>
      <w:r w:rsidRPr="001069EA">
        <w:rPr>
          <w:lang w:eastAsia="en-GB"/>
        </w:rPr>
        <w:t xml:space="preserve">A recent review of the Aichi biodiversity targets suggests they are unlikely to be met by 2020 </w:t>
      </w:r>
      <w:r w:rsidRPr="001069EA">
        <w:rPr>
          <w:lang w:eastAsia="en-GB"/>
        </w:rPr>
        <w:fldChar w:fldCharType="begin" w:fldLock="1"/>
      </w:r>
      <w:r w:rsidRPr="001069EA">
        <w:rPr>
          <w:lang w:eastAsia="en-GB"/>
        </w:rPr>
        <w:instrText>ADDIN CSL_CITATION { "citationItems" : [ { "id" : "ITEM-1", "itemData" : { "ISSN" : "0036-8075", "author" : [ { "dropping-particle" : "", "family" : "Tittensor", "given" : "Derek P", "non-dropping-particle" : "", "parse-names" : false, "suffix" : "" }, { "dropping-particle" : "", "family" : "Walpole", "given" : "Matt", "non-dropping-particle" : "", "parse-names" : false, "suffix" : "" }, { "dropping-particle" : "", "family" : "Hill", "given" : "Samantha L L", "non-dropping-particle" : "", "parse-names" : false, "suffix" : "" }, { "dropping-particle" : "", "family" : "Boyce", "given" : "Daniel G", "non-dropping-particle" : "", "parse-names" : false, "suffix" : "" }, { "dropping-particle" : "", "family" : "Britten", "given" : "Gregory L", "non-dropping-particle" : "", "parse-names" : false, "suffix" : "" }, { "dropping-particle" : "", "family" : "Burgess", "given" : "Neil D", "non-dropping-particle" : "", "parse-names" : false, "suffix" : "" }, { "dropping-particle" : "", "family" : "Butchart", "given" : "Stuart H M", "non-dropping-particle" : "", "parse-names" : false, "suffix" : "" }, { "dropping-particle" : "", "family" : "Leadley", "given" : "Paul W", "non-dropping-particle" : "", "parse-names" : false, "suffix" : "" }, { "dropping-particle" : "", "family" : "Regan", "given" : "Eugenie C", "non-dropping-particle" : "", "parse-names" : false, "suffix" : "" }, { "dropping-particle" : "", "family" : "Alkemade", "given" : "Rob", "non-dropping-particle" : "", "parse-names" : false, "suffix" : "" } ], "container-title" : "Science", "id" : "ITEM-1", "issue" : "6206", "issued" : { "date-parts" : [ [ "2014" ] ] }, "page" : "241-244", "publisher" : "American Association for the Advancement of Science", "title" : "A mid-term analysis of progress toward international biodiversity targets", "type" : "article-journal", "volume" : "346" }, "uris" : [ "http://www.mendeley.com/documents/?uuid=33499fa4-cb2f-4aa3-ac2a-f7b585f79398" ] } ], "mendeley" : { "formattedCitation" : "(Tittensor et al., 2014)", "plainTextFormattedCitation" : "(Tittensor et al., 2014)", "previouslyFormattedCitation" : "(Tittensor et al., 2014)" }, "properties" : { "noteIndex" : 0 }, "schema" : "https://github.com/citation-style-language/schema/raw/master/csl-citation.json" }</w:instrText>
      </w:r>
      <w:r w:rsidRPr="001069EA">
        <w:rPr>
          <w:lang w:eastAsia="en-GB"/>
        </w:rPr>
        <w:fldChar w:fldCharType="separate"/>
      </w:r>
      <w:r w:rsidRPr="001069EA">
        <w:rPr>
          <w:noProof/>
          <w:lang w:eastAsia="en-GB"/>
        </w:rPr>
        <w:t>(Tittensor et al., 2014)</w:t>
      </w:r>
      <w:r w:rsidRPr="001069EA">
        <w:rPr>
          <w:lang w:eastAsia="en-GB"/>
        </w:rPr>
        <w:fldChar w:fldCharType="end"/>
      </w:r>
      <w:r w:rsidRPr="001069EA">
        <w:rPr>
          <w:lang w:eastAsia="en-GB"/>
        </w:rPr>
        <w:t xml:space="preserve">. Better conservation approaches </w:t>
      </w:r>
      <w:proofErr w:type="gramStart"/>
      <w:r w:rsidRPr="001069EA">
        <w:rPr>
          <w:lang w:eastAsia="en-GB"/>
        </w:rPr>
        <w:t>are needed</w:t>
      </w:r>
      <w:proofErr w:type="gramEnd"/>
      <w:r w:rsidRPr="001069EA">
        <w:rPr>
          <w:lang w:eastAsia="en-GB"/>
        </w:rPr>
        <w:t xml:space="preserve"> and this work suggests incentive mechanisms can be optimised to improve cost effectiveness. In this context, there is a need to enhance the </w:t>
      </w:r>
      <w:r w:rsidRPr="001069EA">
        <w:rPr>
          <w:lang w:eastAsia="en-GB"/>
        </w:rPr>
        <w:lastRenderedPageBreak/>
        <w:t>scientific foundations of incentive instruments, specifically through the inclusion of metrics reporting risks and opportunities for managing agrobiodiveristy</w:t>
      </w:r>
      <w:r w:rsidR="00D77535">
        <w:rPr>
          <w:lang w:eastAsia="en-GB"/>
        </w:rPr>
        <w:t xml:space="preserve"> </w:t>
      </w:r>
      <w:r w:rsidR="00D77535">
        <w:rPr>
          <w:lang w:eastAsia="en-GB"/>
        </w:rPr>
        <w:fldChar w:fldCharType="begin" w:fldLock="1"/>
      </w:r>
      <w:r w:rsidR="00436A7B">
        <w:rPr>
          <w:lang w:eastAsia="en-GB"/>
        </w:rPr>
        <w:instrText>ADDIN CSL_CITATION { "citationItems" : [ { "id" : "ITEM-1", "itemData" : { "author" : [ { "dropping-particle" : "", "family" : "Bioversity International", "given" : "", "non-dropping-particle" : "", "parse-names" : false, "suffix" : "" } ], "id" : "ITEM-1", "issued" : { "date-parts" : [ [ "2016" ] ] }, "publisher-place" : "Rome, Italy", "title" : "Mainstreaming Agrobiodiversity in Sustainable Food Systems: Scientific Foundations for an Agrobiodiversity Index \u2013 Summary.", "type" : "report" }, "uris" : [ "http://www.mendeley.com/documents/?uuid=5a64b65a-9782-4259-8d61-788baea96ba3" ] } ], "mendeley" : { "formattedCitation" : "(Bioversity International, 2016)", "plainTextFormattedCitation" : "(Bioversity International, 2016)", "previouslyFormattedCitation" : "(Bioversity International, 2016)" }, "properties" : { "noteIndex" : 0 }, "schema" : "https://github.com/citation-style-language/schema/raw/master/csl-citation.json" }</w:instrText>
      </w:r>
      <w:r w:rsidR="00D77535">
        <w:rPr>
          <w:lang w:eastAsia="en-GB"/>
        </w:rPr>
        <w:fldChar w:fldCharType="separate"/>
      </w:r>
      <w:r w:rsidR="00D77535" w:rsidRPr="00D77535">
        <w:rPr>
          <w:noProof/>
          <w:lang w:eastAsia="en-GB"/>
        </w:rPr>
        <w:t>(Bioversity International, 2016)</w:t>
      </w:r>
      <w:r w:rsidR="00D77535">
        <w:rPr>
          <w:lang w:eastAsia="en-GB"/>
        </w:rPr>
        <w:fldChar w:fldCharType="end"/>
      </w:r>
      <w:r w:rsidRPr="001069EA">
        <w:rPr>
          <w:lang w:eastAsia="en-GB"/>
        </w:rPr>
        <w:t xml:space="preserve">. </w:t>
      </w:r>
    </w:p>
    <w:p w:rsidR="002A4A9A" w:rsidRDefault="002A4A9A" w:rsidP="000D59D5">
      <w:pPr>
        <w:rPr>
          <w:lang w:eastAsia="en-GB"/>
        </w:rPr>
      </w:pPr>
    </w:p>
    <w:p w:rsidR="002A4A9A" w:rsidRDefault="002A4A9A" w:rsidP="000D59D5">
      <w:pPr>
        <w:rPr>
          <w:lang w:eastAsia="en-GB"/>
        </w:rPr>
      </w:pPr>
      <w:r>
        <w:rPr>
          <w:lang w:eastAsia="en-GB"/>
        </w:rPr>
        <w:t xml:space="preserve">There is a distinct lack of studies developing cost benefit analysis frameworks for </w:t>
      </w:r>
      <w:r w:rsidR="00A62223">
        <w:rPr>
          <w:lang w:eastAsia="en-GB"/>
        </w:rPr>
        <w:t>establishing</w:t>
      </w:r>
      <w:r w:rsidR="006F54B6">
        <w:rPr>
          <w:lang w:eastAsia="en-GB"/>
        </w:rPr>
        <w:t xml:space="preserve"> investment priorities in </w:t>
      </w:r>
      <w:r>
        <w:rPr>
          <w:lang w:eastAsia="en-GB"/>
        </w:rPr>
        <w:t xml:space="preserve">agrobiodiveristy conservation. </w:t>
      </w:r>
      <w:proofErr w:type="gramStart"/>
      <w:r>
        <w:rPr>
          <w:lang w:eastAsia="en-GB"/>
        </w:rPr>
        <w:t xml:space="preserve">This is a defining limitation for approaches that seek to explore the cost effectiveness of different policy interventions </w:t>
      </w:r>
      <w:r w:rsidR="006F54B6">
        <w:rPr>
          <w:lang w:eastAsia="en-GB"/>
        </w:rPr>
        <w:t>aiming to conserve PGR and FAnGR.</w:t>
      </w:r>
      <w:proofErr w:type="gramEnd"/>
      <w:r w:rsidR="006F54B6">
        <w:rPr>
          <w:lang w:eastAsia="en-GB"/>
        </w:rPr>
        <w:t xml:space="preserve"> While this work has attempted to consider both costs and benefits in conservation decisions for rare breeds (Chapter Five) more work is</w:t>
      </w:r>
      <w:r w:rsidR="00842034">
        <w:rPr>
          <w:lang w:eastAsia="en-GB"/>
        </w:rPr>
        <w:t xml:space="preserve"> needed to</w:t>
      </w:r>
      <w:r w:rsidR="006F54B6">
        <w:rPr>
          <w:lang w:eastAsia="en-GB"/>
        </w:rPr>
        <w:t xml:space="preserve"> quantity the monetary benefits </w:t>
      </w:r>
      <w:r w:rsidR="00842034">
        <w:rPr>
          <w:lang w:eastAsia="en-GB"/>
        </w:rPr>
        <w:t>arising from</w:t>
      </w:r>
      <w:r w:rsidR="006F54B6">
        <w:rPr>
          <w:lang w:eastAsia="en-GB"/>
        </w:rPr>
        <w:t xml:space="preserve"> diversity that accord to different value attributes located on the TEV spectrum.   </w:t>
      </w:r>
    </w:p>
    <w:p w:rsidR="000D59D5" w:rsidRDefault="000D59D5" w:rsidP="000D59D5">
      <w:pPr>
        <w:rPr>
          <w:lang w:eastAsia="en-GB"/>
        </w:rPr>
      </w:pPr>
    </w:p>
    <w:p w:rsidR="00C145AC" w:rsidRDefault="00C145AC" w:rsidP="000D59D5">
      <w:pPr>
        <w:rPr>
          <w:lang w:eastAsia="en-GB"/>
        </w:rPr>
      </w:pPr>
      <w:r>
        <w:rPr>
          <w:lang w:eastAsia="en-GB"/>
        </w:rPr>
        <w:t xml:space="preserve">A growing arsenal of technologies are changing how the breeding sector operates, for both crops and livestock. Disruptive technologies, such as GE, </w:t>
      </w:r>
      <w:r w:rsidR="00436A7B">
        <w:rPr>
          <w:lang w:eastAsia="en-GB"/>
        </w:rPr>
        <w:t>may affect</w:t>
      </w:r>
      <w:r>
        <w:rPr>
          <w:lang w:eastAsia="en-GB"/>
        </w:rPr>
        <w:t xml:space="preserve"> how diversity is sourced for breeding decisions and ultimately the role of PGR and FAnGR for</w:t>
      </w:r>
      <w:r w:rsidR="00274A3C">
        <w:rPr>
          <w:lang w:eastAsia="en-GB"/>
        </w:rPr>
        <w:t xml:space="preserve"> agricultural resilience</w:t>
      </w:r>
      <w:r w:rsidR="00436A7B">
        <w:rPr>
          <w:lang w:eastAsia="en-GB"/>
        </w:rPr>
        <w:t xml:space="preserve"> </w:t>
      </w:r>
      <w:r w:rsidR="00436A7B">
        <w:rPr>
          <w:lang w:eastAsia="en-GB"/>
        </w:rPr>
        <w:fldChar w:fldCharType="begin" w:fldLock="1"/>
      </w:r>
      <w:r w:rsidR="00436A7B">
        <w:rPr>
          <w:lang w:eastAsia="en-GB"/>
        </w:rPr>
        <w:instrText>ADDIN CSL_CITATION { "citationItems" : [ { "id" : "ITEM-1", "itemData" : { "ISSN" : "1664-8021", "author" : [ { "dropping-particle" : "", "family" : "Tixier-Boichard", "given" : "Mich\u00e8le", "non-dropping-particle" : "", "parse-names" : false, "suffix" : "" }, { "dropping-particle" : "", "family" : "Verrier", "given" : "Etienne", "non-dropping-particle" : "", "parse-names" : false, "suffix" : "" }, { "dropping-particle" : "", "family" : "Rognon", "given" : "Xavier", "non-dropping-particle" : "", "parse-names" : false, "suffix" : "" }, { "dropping-particle" : "", "family" : "Zerjal", "given" : "Tatiana", "non-dropping-particle" : "", "parse-names" : false, "suffix" : "" } ], "container-title" : "Frontiers in genetics", "id" : "ITEM-1", "issued" : { "date-parts" : [ [ "2015" ] ] }, "page" : "153", "publisher" : "Frontiers", "title" : "Farm animal genetic and genomic resources from an agroecological perspective", "type" : "article-journal", "volume" : "6" }, "uris" : [ "http://www.mendeley.com/documents/?uuid=837518da-ccfd-489b-ab34-531d4ae5b4dd" ] } ], "mendeley" : { "formattedCitation" : "(Tixier-Boichard et al., 2015)", "plainTextFormattedCitation" : "(Tixier-Boichard et al., 2015)" }, "properties" : { "noteIndex" : 0 }, "schema" : "https://github.com/citation-style-language/schema/raw/master/csl-citation.json" }</w:instrText>
      </w:r>
      <w:r w:rsidR="00436A7B">
        <w:rPr>
          <w:lang w:eastAsia="en-GB"/>
        </w:rPr>
        <w:fldChar w:fldCharType="separate"/>
      </w:r>
      <w:r w:rsidR="00436A7B" w:rsidRPr="00436A7B">
        <w:rPr>
          <w:noProof/>
          <w:lang w:eastAsia="en-GB"/>
        </w:rPr>
        <w:t>(Tixier-Boichard et al., 2015)</w:t>
      </w:r>
      <w:r w:rsidR="00436A7B">
        <w:rPr>
          <w:lang w:eastAsia="en-GB"/>
        </w:rPr>
        <w:fldChar w:fldCharType="end"/>
      </w:r>
      <w:r w:rsidR="00274A3C">
        <w:rPr>
          <w:lang w:eastAsia="en-GB"/>
        </w:rPr>
        <w:t xml:space="preserve">. Work is needed to explore how the option value components of diversity may be impacted and </w:t>
      </w:r>
      <w:r w:rsidR="006F54B6">
        <w:rPr>
          <w:lang w:eastAsia="en-GB"/>
        </w:rPr>
        <w:t xml:space="preserve">the </w:t>
      </w:r>
      <w:r w:rsidR="00274A3C">
        <w:rPr>
          <w:lang w:eastAsia="en-GB"/>
        </w:rPr>
        <w:t xml:space="preserve">associated implications for supply-side mechanisms attempting to supply diversity. </w:t>
      </w:r>
    </w:p>
    <w:p w:rsidR="0005248E" w:rsidRDefault="0005248E" w:rsidP="000D59D5">
      <w:pPr>
        <w:rPr>
          <w:lang w:eastAsia="en-GB"/>
        </w:rPr>
      </w:pPr>
      <w:bookmarkStart w:id="3" w:name="_GoBack"/>
      <w:bookmarkEnd w:id="3"/>
    </w:p>
    <w:p w:rsidR="00C145AC" w:rsidRDefault="00C145AC" w:rsidP="000D59D5">
      <w:pPr>
        <w:rPr>
          <w:lang w:eastAsia="en-GB"/>
        </w:rPr>
      </w:pPr>
    </w:p>
    <w:p w:rsidR="0047486D" w:rsidRDefault="0047486D" w:rsidP="001069EA">
      <w:pPr>
        <w:rPr>
          <w:lang w:eastAsia="en-GB"/>
        </w:rPr>
      </w:pPr>
    </w:p>
    <w:p w:rsidR="003C72FB" w:rsidRDefault="003C72FB" w:rsidP="003C72FB"/>
    <w:p w:rsidR="003C72FB" w:rsidRDefault="003C72FB" w:rsidP="003C72FB"/>
    <w:p w:rsidR="003C72FB" w:rsidRDefault="003C72FB" w:rsidP="003C72FB"/>
    <w:p w:rsidR="003C72FB" w:rsidRDefault="003C72FB" w:rsidP="003C72FB"/>
    <w:p w:rsidR="003C72FB" w:rsidRDefault="003C72FB" w:rsidP="003C72FB"/>
    <w:p w:rsidR="003C72FB" w:rsidRDefault="003C72FB" w:rsidP="003C72FB"/>
    <w:p w:rsidR="00EE71BE" w:rsidRDefault="00EE71BE"/>
    <w:sectPr w:rsidR="00EE71BE" w:rsidSect="00774CA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arwick Wainwright" w:date="2018-07-08T11:22:00Z" w:initials="WW">
    <w:p w:rsidR="003C72FB" w:rsidRPr="00706319" w:rsidRDefault="003C72FB" w:rsidP="003C72FB">
      <w:pPr>
        <w:shd w:val="clear" w:color="auto" w:fill="FFFFFF"/>
        <w:spacing w:line="351" w:lineRule="atLeast"/>
        <w:ind w:firstLine="0"/>
        <w:textAlignment w:val="baseline"/>
        <w:rPr>
          <w:rFonts w:ascii="Verdana" w:hAnsi="Verdana"/>
          <w:color w:val="333333"/>
          <w:sz w:val="20"/>
          <w:szCs w:val="20"/>
          <w:lang w:eastAsia="en-GB"/>
        </w:rPr>
      </w:pPr>
      <w:r>
        <w:rPr>
          <w:rStyle w:val="CommentReference"/>
          <w:b/>
          <w:bCs/>
          <w:iCs/>
        </w:rPr>
        <w:annotationRef/>
      </w:r>
      <w:r>
        <w:rPr>
          <w:rFonts w:ascii="Verdana" w:hAnsi="Verdana"/>
          <w:color w:val="333333"/>
          <w:sz w:val="20"/>
          <w:szCs w:val="20"/>
          <w:lang w:eastAsia="en-GB"/>
        </w:rPr>
        <w:t>C</w:t>
      </w:r>
      <w:r w:rsidRPr="00706319">
        <w:rPr>
          <w:rFonts w:ascii="Verdana" w:hAnsi="Verdana"/>
          <w:color w:val="333333"/>
          <w:sz w:val="20"/>
          <w:szCs w:val="20"/>
          <w:lang w:eastAsia="en-GB"/>
        </w:rPr>
        <w:t>omment on the findings that failed to support or only partially support the hypothesis or research questions directing the study</w:t>
      </w:r>
    </w:p>
    <w:p w:rsidR="003C72FB" w:rsidRDefault="003C72FB" w:rsidP="003C72FB">
      <w:pPr>
        <w:shd w:val="clear" w:color="auto" w:fill="FFFFFF"/>
        <w:spacing w:line="351" w:lineRule="atLeast"/>
        <w:ind w:firstLine="0"/>
        <w:textAlignment w:val="baseline"/>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LancetPro">
    <w:altName w:val="ScalaLancetPro"/>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F1A49"/>
    <w:multiLevelType w:val="multilevel"/>
    <w:tmpl w:val="12188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615867"/>
    <w:multiLevelType w:val="multilevel"/>
    <w:tmpl w:val="3132A82C"/>
    <w:lvl w:ilvl="0">
      <w:start w:val="1"/>
      <w:numFmt w:val="decimal"/>
      <w:suff w:val="nothing"/>
      <w:lvlText w:val="%1"/>
      <w:lvlJc w:val="left"/>
      <w:pPr>
        <w:ind w:left="432" w:hanging="432"/>
      </w:pPr>
      <w:rPr>
        <w:rFonts w:cs="Times New Roman" w:hint="default"/>
        <w:vanish/>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
    <w:nsid w:val="4C826F43"/>
    <w:multiLevelType w:val="hybridMultilevel"/>
    <w:tmpl w:val="556EC1D6"/>
    <w:lvl w:ilvl="0" w:tplc="6AC467F4">
      <w:start w:val="1"/>
      <w:numFmt w:val="decimal"/>
      <w:pStyle w:val="Heading2"/>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77BA6F19"/>
    <w:multiLevelType w:val="hybridMultilevel"/>
    <w:tmpl w:val="AF4ED2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2FB"/>
    <w:rsid w:val="00007D80"/>
    <w:rsid w:val="00017A34"/>
    <w:rsid w:val="00026858"/>
    <w:rsid w:val="00036624"/>
    <w:rsid w:val="0005248E"/>
    <w:rsid w:val="0006206A"/>
    <w:rsid w:val="00063758"/>
    <w:rsid w:val="00065688"/>
    <w:rsid w:val="00072BDB"/>
    <w:rsid w:val="00096366"/>
    <w:rsid w:val="000D59D5"/>
    <w:rsid w:val="000F52DA"/>
    <w:rsid w:val="0010166C"/>
    <w:rsid w:val="001069EA"/>
    <w:rsid w:val="00112771"/>
    <w:rsid w:val="00115FBE"/>
    <w:rsid w:val="0013704A"/>
    <w:rsid w:val="00157649"/>
    <w:rsid w:val="00160F5F"/>
    <w:rsid w:val="001649F0"/>
    <w:rsid w:val="0016663A"/>
    <w:rsid w:val="00174673"/>
    <w:rsid w:val="00183AB5"/>
    <w:rsid w:val="001940BC"/>
    <w:rsid w:val="001A0FF4"/>
    <w:rsid w:val="001E53EB"/>
    <w:rsid w:val="00216473"/>
    <w:rsid w:val="00243FF3"/>
    <w:rsid w:val="00274A3C"/>
    <w:rsid w:val="002A2CBC"/>
    <w:rsid w:val="002A39A4"/>
    <w:rsid w:val="002A4A9A"/>
    <w:rsid w:val="002B21BA"/>
    <w:rsid w:val="00300F43"/>
    <w:rsid w:val="003079C9"/>
    <w:rsid w:val="0033250B"/>
    <w:rsid w:val="0033287F"/>
    <w:rsid w:val="00355009"/>
    <w:rsid w:val="003A6028"/>
    <w:rsid w:val="003A6448"/>
    <w:rsid w:val="003A6F9A"/>
    <w:rsid w:val="003C60FE"/>
    <w:rsid w:val="003C72FB"/>
    <w:rsid w:val="003D7EC9"/>
    <w:rsid w:val="004119F6"/>
    <w:rsid w:val="00436A7B"/>
    <w:rsid w:val="00444A6F"/>
    <w:rsid w:val="00464974"/>
    <w:rsid w:val="0047486D"/>
    <w:rsid w:val="00481BCA"/>
    <w:rsid w:val="00487AD6"/>
    <w:rsid w:val="00495FB7"/>
    <w:rsid w:val="004B7BDE"/>
    <w:rsid w:val="004C5AB2"/>
    <w:rsid w:val="0051230E"/>
    <w:rsid w:val="005479D0"/>
    <w:rsid w:val="00586FF0"/>
    <w:rsid w:val="005955DF"/>
    <w:rsid w:val="005A21ED"/>
    <w:rsid w:val="005F23F0"/>
    <w:rsid w:val="00605A18"/>
    <w:rsid w:val="00630D4E"/>
    <w:rsid w:val="006326C9"/>
    <w:rsid w:val="006467E9"/>
    <w:rsid w:val="00654C0F"/>
    <w:rsid w:val="00687B5A"/>
    <w:rsid w:val="006B7EAB"/>
    <w:rsid w:val="006D55DE"/>
    <w:rsid w:val="006E292B"/>
    <w:rsid w:val="006F0916"/>
    <w:rsid w:val="006F54B6"/>
    <w:rsid w:val="00707CA9"/>
    <w:rsid w:val="00717498"/>
    <w:rsid w:val="0073475E"/>
    <w:rsid w:val="00734AFD"/>
    <w:rsid w:val="0074425E"/>
    <w:rsid w:val="007879DB"/>
    <w:rsid w:val="007E04DC"/>
    <w:rsid w:val="007F13EA"/>
    <w:rsid w:val="00804DCD"/>
    <w:rsid w:val="008114F2"/>
    <w:rsid w:val="00842034"/>
    <w:rsid w:val="0086590A"/>
    <w:rsid w:val="00875679"/>
    <w:rsid w:val="008964A2"/>
    <w:rsid w:val="008A2F6B"/>
    <w:rsid w:val="008E54F6"/>
    <w:rsid w:val="008F44F0"/>
    <w:rsid w:val="009175A6"/>
    <w:rsid w:val="0096059F"/>
    <w:rsid w:val="0096429B"/>
    <w:rsid w:val="0097053F"/>
    <w:rsid w:val="009821E9"/>
    <w:rsid w:val="009845E6"/>
    <w:rsid w:val="00992294"/>
    <w:rsid w:val="009A7A63"/>
    <w:rsid w:val="009E24B9"/>
    <w:rsid w:val="009F3125"/>
    <w:rsid w:val="00A03412"/>
    <w:rsid w:val="00A06D5A"/>
    <w:rsid w:val="00A15E98"/>
    <w:rsid w:val="00A23B1C"/>
    <w:rsid w:val="00A252D6"/>
    <w:rsid w:val="00A26A11"/>
    <w:rsid w:val="00A46615"/>
    <w:rsid w:val="00A62223"/>
    <w:rsid w:val="00A67B53"/>
    <w:rsid w:val="00A7327C"/>
    <w:rsid w:val="00A96A5B"/>
    <w:rsid w:val="00AA1DFC"/>
    <w:rsid w:val="00AA387C"/>
    <w:rsid w:val="00AA7E85"/>
    <w:rsid w:val="00AC0813"/>
    <w:rsid w:val="00AD0085"/>
    <w:rsid w:val="00AD2C39"/>
    <w:rsid w:val="00AD3CC5"/>
    <w:rsid w:val="00AD7145"/>
    <w:rsid w:val="00AE0B12"/>
    <w:rsid w:val="00AE60D2"/>
    <w:rsid w:val="00B40DFA"/>
    <w:rsid w:val="00B43D75"/>
    <w:rsid w:val="00B53C3E"/>
    <w:rsid w:val="00B633EC"/>
    <w:rsid w:val="00B72872"/>
    <w:rsid w:val="00BA181A"/>
    <w:rsid w:val="00BA4E85"/>
    <w:rsid w:val="00BB0AF5"/>
    <w:rsid w:val="00BC42AC"/>
    <w:rsid w:val="00BD583D"/>
    <w:rsid w:val="00C00A00"/>
    <w:rsid w:val="00C10311"/>
    <w:rsid w:val="00C145AC"/>
    <w:rsid w:val="00C164A6"/>
    <w:rsid w:val="00C3428F"/>
    <w:rsid w:val="00C4046B"/>
    <w:rsid w:val="00C4565F"/>
    <w:rsid w:val="00C52EFA"/>
    <w:rsid w:val="00C712DD"/>
    <w:rsid w:val="00C72151"/>
    <w:rsid w:val="00C85597"/>
    <w:rsid w:val="00CC4F76"/>
    <w:rsid w:val="00CC71AD"/>
    <w:rsid w:val="00CE1910"/>
    <w:rsid w:val="00D34689"/>
    <w:rsid w:val="00D77535"/>
    <w:rsid w:val="00D871F8"/>
    <w:rsid w:val="00D90407"/>
    <w:rsid w:val="00DB2FFB"/>
    <w:rsid w:val="00DB7EFC"/>
    <w:rsid w:val="00DC470E"/>
    <w:rsid w:val="00DD7B0A"/>
    <w:rsid w:val="00DE1DD6"/>
    <w:rsid w:val="00DE40B2"/>
    <w:rsid w:val="00E02BE7"/>
    <w:rsid w:val="00E15B01"/>
    <w:rsid w:val="00E15ED4"/>
    <w:rsid w:val="00E50C83"/>
    <w:rsid w:val="00E534BD"/>
    <w:rsid w:val="00E75BC5"/>
    <w:rsid w:val="00E81A7D"/>
    <w:rsid w:val="00E82F76"/>
    <w:rsid w:val="00E9059C"/>
    <w:rsid w:val="00E94067"/>
    <w:rsid w:val="00EC394A"/>
    <w:rsid w:val="00EC43ED"/>
    <w:rsid w:val="00EE71BE"/>
    <w:rsid w:val="00F20AD9"/>
    <w:rsid w:val="00F22C77"/>
    <w:rsid w:val="00F33EF1"/>
    <w:rsid w:val="00F34A2A"/>
    <w:rsid w:val="00F36729"/>
    <w:rsid w:val="00F46C33"/>
    <w:rsid w:val="00F51FFE"/>
    <w:rsid w:val="00F60D69"/>
    <w:rsid w:val="00F70E36"/>
    <w:rsid w:val="00F80282"/>
    <w:rsid w:val="00F82F95"/>
    <w:rsid w:val="00F859F7"/>
    <w:rsid w:val="00FD2E99"/>
    <w:rsid w:val="00FF663C"/>
    <w:rsid w:val="00FF7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2FB"/>
    <w:pPr>
      <w:spacing w:after="0" w:line="36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qFormat/>
    <w:rsid w:val="003C72FB"/>
    <w:pPr>
      <w:keepNext/>
      <w:tabs>
        <w:tab w:val="left" w:pos="765"/>
      </w:tabs>
      <w:spacing w:before="300" w:after="12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3C72FB"/>
    <w:pPr>
      <w:keepNext/>
      <w:spacing w:before="240" w:after="60"/>
      <w:ind w:left="864" w:hanging="864"/>
      <w:outlineLvl w:val="3"/>
    </w:pPr>
    <w:rPr>
      <w:rFonts w:asciiTheme="minorHAnsi" w:eastAsiaTheme="minorEastAsia" w:hAnsiTheme="minorHAnsi"/>
      <w:b/>
      <w:bCs/>
      <w:sz w:val="28"/>
      <w:szCs w:val="28"/>
    </w:rPr>
  </w:style>
  <w:style w:type="paragraph" w:styleId="Heading5">
    <w:name w:val="heading 5"/>
    <w:aliases w:val="Chapter Under Title"/>
    <w:basedOn w:val="Normal"/>
    <w:next w:val="Heading2"/>
    <w:link w:val="Heading5Char"/>
    <w:uiPriority w:val="9"/>
    <w:unhideWhenUsed/>
    <w:rsid w:val="003C72FB"/>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3C72FB"/>
    <w:pPr>
      <w:keepNext/>
      <w:keepLines/>
      <w:spacing w:before="200"/>
      <w:ind w:left="1296" w:hanging="1296"/>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C72FB"/>
    <w:pPr>
      <w:keepNext/>
      <w:keepLines/>
      <w:spacing w:before="200"/>
      <w:ind w:left="1440" w:hanging="144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3C72FB"/>
    <w:pPr>
      <w:keepNext/>
      <w:keepLines/>
      <w:spacing w:before="200"/>
      <w:ind w:left="1584" w:hanging="1584"/>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3C72FB"/>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3C72FB"/>
    <w:rPr>
      <w:rFonts w:eastAsiaTheme="minorEastAsia" w:cs="Times New Roman"/>
      <w:b/>
      <w:bCs/>
      <w:sz w:val="28"/>
      <w:szCs w:val="28"/>
    </w:rPr>
  </w:style>
  <w:style w:type="character" w:customStyle="1" w:styleId="Heading5Char">
    <w:name w:val="Heading 5 Char"/>
    <w:aliases w:val="Chapter Under Title Char"/>
    <w:basedOn w:val="DefaultParagraphFont"/>
    <w:link w:val="Heading5"/>
    <w:uiPriority w:val="9"/>
    <w:rsid w:val="003C72FB"/>
    <w:rPr>
      <w:rFonts w:asciiTheme="majorHAnsi" w:eastAsiaTheme="minorEastAsia" w:hAnsiTheme="majorHAnsi" w:cs="Times New Roman"/>
      <w:bCs/>
      <w:iCs/>
      <w:sz w:val="32"/>
      <w:szCs w:val="26"/>
    </w:rPr>
  </w:style>
  <w:style w:type="character" w:customStyle="1" w:styleId="Heading7Char">
    <w:name w:val="Heading 7 Char"/>
    <w:basedOn w:val="DefaultParagraphFont"/>
    <w:link w:val="Heading7"/>
    <w:uiPriority w:val="9"/>
    <w:semiHidden/>
    <w:rsid w:val="003C72FB"/>
    <w:rPr>
      <w:rFonts w:asciiTheme="majorHAnsi" w:eastAsiaTheme="majorEastAsia" w:hAnsiTheme="majorHAnsi" w:cs="Times New Roman"/>
      <w:i/>
      <w:iCs/>
      <w:color w:val="404040" w:themeColor="text1" w:themeTint="BF"/>
      <w:szCs w:val="24"/>
    </w:rPr>
  </w:style>
  <w:style w:type="character" w:customStyle="1" w:styleId="Heading8Char">
    <w:name w:val="Heading 8 Char"/>
    <w:basedOn w:val="DefaultParagraphFont"/>
    <w:link w:val="Heading8"/>
    <w:uiPriority w:val="9"/>
    <w:semiHidden/>
    <w:rsid w:val="003C72FB"/>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rsid w:val="003C72FB"/>
    <w:rPr>
      <w:rFonts w:asciiTheme="majorHAnsi" w:eastAsiaTheme="majorEastAsia" w:hAnsiTheme="majorHAnsi" w:cs="Times New Roman"/>
      <w:i/>
      <w:iCs/>
      <w:color w:val="404040" w:themeColor="text1" w:themeTint="BF"/>
      <w:sz w:val="20"/>
      <w:szCs w:val="20"/>
    </w:rPr>
  </w:style>
  <w:style w:type="character" w:styleId="CommentReference">
    <w:name w:val="annotation reference"/>
    <w:basedOn w:val="DefaultParagraphFont"/>
    <w:uiPriority w:val="99"/>
    <w:semiHidden/>
    <w:unhideWhenUsed/>
    <w:rsid w:val="003C72FB"/>
    <w:rPr>
      <w:rFonts w:cs="Times New Roman"/>
      <w:sz w:val="16"/>
      <w:szCs w:val="16"/>
    </w:rPr>
  </w:style>
  <w:style w:type="paragraph" w:styleId="BalloonText">
    <w:name w:val="Balloon Text"/>
    <w:basedOn w:val="Normal"/>
    <w:link w:val="BalloonTextChar"/>
    <w:uiPriority w:val="99"/>
    <w:semiHidden/>
    <w:unhideWhenUsed/>
    <w:rsid w:val="003C72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FB"/>
    <w:rPr>
      <w:rFonts w:ascii="Tahoma" w:eastAsia="Times New Roman" w:hAnsi="Tahoma" w:cs="Tahoma"/>
      <w:sz w:val="16"/>
      <w:szCs w:val="16"/>
    </w:rPr>
  </w:style>
  <w:style w:type="character" w:styleId="Hyperlink">
    <w:name w:val="Hyperlink"/>
    <w:basedOn w:val="DefaultParagraphFont"/>
    <w:uiPriority w:val="99"/>
    <w:unhideWhenUsed/>
    <w:rsid w:val="00444A6F"/>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688"/>
    <w:rPr>
      <w:b/>
      <w:bCs/>
    </w:rPr>
  </w:style>
  <w:style w:type="character" w:customStyle="1" w:styleId="CommentSubjectChar">
    <w:name w:val="Comment Subject Char"/>
    <w:basedOn w:val="CommentTextChar"/>
    <w:link w:val="CommentSubject"/>
    <w:uiPriority w:val="99"/>
    <w:semiHidden/>
    <w:rsid w:val="00065688"/>
    <w:rPr>
      <w:rFonts w:ascii="Times New Roman" w:eastAsia="Times New Roman" w:hAnsi="Times New Roman" w:cs="Times New Roman"/>
      <w:b/>
      <w:bCs/>
      <w:sz w:val="20"/>
      <w:szCs w:val="20"/>
    </w:rPr>
  </w:style>
  <w:style w:type="character" w:customStyle="1" w:styleId="A6">
    <w:name w:val="A6"/>
    <w:uiPriority w:val="99"/>
    <w:rsid w:val="009845E6"/>
    <w:rPr>
      <w:rFonts w:cs="ScalaLancetPro"/>
      <w:color w:val="000000"/>
      <w:sz w:val="9"/>
      <w:szCs w:val="9"/>
    </w:rPr>
  </w:style>
  <w:style w:type="paragraph" w:styleId="ListParagraph">
    <w:name w:val="List Paragraph"/>
    <w:basedOn w:val="Normal"/>
    <w:uiPriority w:val="34"/>
    <w:qFormat/>
    <w:rsid w:val="003550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2FB"/>
    <w:pPr>
      <w:spacing w:after="0" w:line="36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qFormat/>
    <w:rsid w:val="003C72FB"/>
    <w:pPr>
      <w:keepNext/>
      <w:tabs>
        <w:tab w:val="left" w:pos="765"/>
      </w:tabs>
      <w:spacing w:before="300" w:after="12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3C72FB"/>
    <w:pPr>
      <w:keepNext/>
      <w:spacing w:before="240" w:after="60"/>
      <w:ind w:left="864" w:hanging="864"/>
      <w:outlineLvl w:val="3"/>
    </w:pPr>
    <w:rPr>
      <w:rFonts w:asciiTheme="minorHAnsi" w:eastAsiaTheme="minorEastAsia" w:hAnsiTheme="minorHAnsi"/>
      <w:b/>
      <w:bCs/>
      <w:sz w:val="28"/>
      <w:szCs w:val="28"/>
    </w:rPr>
  </w:style>
  <w:style w:type="paragraph" w:styleId="Heading5">
    <w:name w:val="heading 5"/>
    <w:aliases w:val="Chapter Under Title"/>
    <w:basedOn w:val="Normal"/>
    <w:next w:val="Heading2"/>
    <w:link w:val="Heading5Char"/>
    <w:uiPriority w:val="9"/>
    <w:unhideWhenUsed/>
    <w:rsid w:val="003C72FB"/>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3C72FB"/>
    <w:pPr>
      <w:keepNext/>
      <w:keepLines/>
      <w:spacing w:before="200"/>
      <w:ind w:left="1296" w:hanging="1296"/>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C72FB"/>
    <w:pPr>
      <w:keepNext/>
      <w:keepLines/>
      <w:spacing w:before="200"/>
      <w:ind w:left="1440" w:hanging="144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3C72FB"/>
    <w:pPr>
      <w:keepNext/>
      <w:keepLines/>
      <w:spacing w:before="200"/>
      <w:ind w:left="1584" w:hanging="1584"/>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3C72FB"/>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3C72FB"/>
    <w:rPr>
      <w:rFonts w:eastAsiaTheme="minorEastAsia" w:cs="Times New Roman"/>
      <w:b/>
      <w:bCs/>
      <w:sz w:val="28"/>
      <w:szCs w:val="28"/>
    </w:rPr>
  </w:style>
  <w:style w:type="character" w:customStyle="1" w:styleId="Heading5Char">
    <w:name w:val="Heading 5 Char"/>
    <w:aliases w:val="Chapter Under Title Char"/>
    <w:basedOn w:val="DefaultParagraphFont"/>
    <w:link w:val="Heading5"/>
    <w:uiPriority w:val="9"/>
    <w:rsid w:val="003C72FB"/>
    <w:rPr>
      <w:rFonts w:asciiTheme="majorHAnsi" w:eastAsiaTheme="minorEastAsia" w:hAnsiTheme="majorHAnsi" w:cs="Times New Roman"/>
      <w:bCs/>
      <w:iCs/>
      <w:sz w:val="32"/>
      <w:szCs w:val="26"/>
    </w:rPr>
  </w:style>
  <w:style w:type="character" w:customStyle="1" w:styleId="Heading7Char">
    <w:name w:val="Heading 7 Char"/>
    <w:basedOn w:val="DefaultParagraphFont"/>
    <w:link w:val="Heading7"/>
    <w:uiPriority w:val="9"/>
    <w:semiHidden/>
    <w:rsid w:val="003C72FB"/>
    <w:rPr>
      <w:rFonts w:asciiTheme="majorHAnsi" w:eastAsiaTheme="majorEastAsia" w:hAnsiTheme="majorHAnsi" w:cs="Times New Roman"/>
      <w:i/>
      <w:iCs/>
      <w:color w:val="404040" w:themeColor="text1" w:themeTint="BF"/>
      <w:szCs w:val="24"/>
    </w:rPr>
  </w:style>
  <w:style w:type="character" w:customStyle="1" w:styleId="Heading8Char">
    <w:name w:val="Heading 8 Char"/>
    <w:basedOn w:val="DefaultParagraphFont"/>
    <w:link w:val="Heading8"/>
    <w:uiPriority w:val="9"/>
    <w:semiHidden/>
    <w:rsid w:val="003C72FB"/>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rsid w:val="003C72FB"/>
    <w:rPr>
      <w:rFonts w:asciiTheme="majorHAnsi" w:eastAsiaTheme="majorEastAsia" w:hAnsiTheme="majorHAnsi" w:cs="Times New Roman"/>
      <w:i/>
      <w:iCs/>
      <w:color w:val="404040" w:themeColor="text1" w:themeTint="BF"/>
      <w:sz w:val="20"/>
      <w:szCs w:val="20"/>
    </w:rPr>
  </w:style>
  <w:style w:type="character" w:styleId="CommentReference">
    <w:name w:val="annotation reference"/>
    <w:basedOn w:val="DefaultParagraphFont"/>
    <w:uiPriority w:val="99"/>
    <w:semiHidden/>
    <w:unhideWhenUsed/>
    <w:rsid w:val="003C72FB"/>
    <w:rPr>
      <w:rFonts w:cs="Times New Roman"/>
      <w:sz w:val="16"/>
      <w:szCs w:val="16"/>
    </w:rPr>
  </w:style>
  <w:style w:type="paragraph" w:styleId="BalloonText">
    <w:name w:val="Balloon Text"/>
    <w:basedOn w:val="Normal"/>
    <w:link w:val="BalloonTextChar"/>
    <w:uiPriority w:val="99"/>
    <w:semiHidden/>
    <w:unhideWhenUsed/>
    <w:rsid w:val="003C72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FB"/>
    <w:rPr>
      <w:rFonts w:ascii="Tahoma" w:eastAsia="Times New Roman" w:hAnsi="Tahoma" w:cs="Tahoma"/>
      <w:sz w:val="16"/>
      <w:szCs w:val="16"/>
    </w:rPr>
  </w:style>
  <w:style w:type="character" w:styleId="Hyperlink">
    <w:name w:val="Hyperlink"/>
    <w:basedOn w:val="DefaultParagraphFont"/>
    <w:uiPriority w:val="99"/>
    <w:unhideWhenUsed/>
    <w:rsid w:val="00444A6F"/>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688"/>
    <w:rPr>
      <w:b/>
      <w:bCs/>
    </w:rPr>
  </w:style>
  <w:style w:type="character" w:customStyle="1" w:styleId="CommentSubjectChar">
    <w:name w:val="Comment Subject Char"/>
    <w:basedOn w:val="CommentTextChar"/>
    <w:link w:val="CommentSubject"/>
    <w:uiPriority w:val="99"/>
    <w:semiHidden/>
    <w:rsid w:val="00065688"/>
    <w:rPr>
      <w:rFonts w:ascii="Times New Roman" w:eastAsia="Times New Roman" w:hAnsi="Times New Roman" w:cs="Times New Roman"/>
      <w:b/>
      <w:bCs/>
      <w:sz w:val="20"/>
      <w:szCs w:val="20"/>
    </w:rPr>
  </w:style>
  <w:style w:type="character" w:customStyle="1" w:styleId="A6">
    <w:name w:val="A6"/>
    <w:uiPriority w:val="99"/>
    <w:rsid w:val="009845E6"/>
    <w:rPr>
      <w:rFonts w:cs="ScalaLancetPro"/>
      <w:color w:val="000000"/>
      <w:sz w:val="9"/>
      <w:szCs w:val="9"/>
    </w:rPr>
  </w:style>
  <w:style w:type="paragraph" w:styleId="ListParagraph">
    <w:name w:val="List Paragraph"/>
    <w:basedOn w:val="Normal"/>
    <w:uiPriority w:val="34"/>
    <w:qFormat/>
    <w:rsid w:val="00355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FB615-0B96-4270-8B22-2A5E95ABE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8</Pages>
  <Words>11492</Words>
  <Characters>65511</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76850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Warwick Wainwright</cp:lastModifiedBy>
  <cp:revision>45</cp:revision>
  <dcterms:created xsi:type="dcterms:W3CDTF">2018-07-10T12:29:00Z</dcterms:created>
  <dcterms:modified xsi:type="dcterms:W3CDTF">2018-07-12T11:07:00Z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http://csl.mendeley.com/styles/193037751/apa</vt:lpwstr>
  </property>
  <property fmtid="{D5CDD505-2E9C-101B-9397-08002B2CF9AE}" pid="3" name="Mendeley Recent Style Name 0_1">
    <vt:lpwstr>American Psychological Association 6th edition - Warwick Wainwright, MSc Environmental Management</vt:lpwstr>
  </property>
  <property fmtid="{D5CDD505-2E9C-101B-9397-08002B2CF9AE}" pid="4" name="Mendeley Recent Style Id 1_1">
    <vt:lpwstr>http://www.zotero.org/styles/ecosystem-services</vt:lpwstr>
  </property>
  <property fmtid="{D5CDD505-2E9C-101B-9397-08002B2CF9AE}" pid="5" name="Mendeley Recent Style Name 1_1">
    <vt:lpwstr>Ecosystem Services</vt:lpwstr>
  </property>
  <property fmtid="{D5CDD505-2E9C-101B-9397-08002B2CF9AE}" pid="6" name="Mendeley Recent Style Id 2_1">
    <vt:lpwstr>http://www.zotero.org/styles/ecosystems</vt:lpwstr>
  </property>
  <property fmtid="{D5CDD505-2E9C-101B-9397-08002B2CF9AE}" pid="7" name="Mendeley Recent Style Name 2_1">
    <vt:lpwstr>Ecosystems</vt:lpwstr>
  </property>
  <property fmtid="{D5CDD505-2E9C-101B-9397-08002B2CF9AE}" pid="8" name="Mendeley Recent Style Id 3_1">
    <vt:lpwstr>http://csl.mendeley.com/styles/193037751/elsevier-harvard</vt:lpwstr>
  </property>
  <property fmtid="{D5CDD505-2E9C-101B-9397-08002B2CF9AE}" pid="9" name="Mendeley Recent Style Name 3_1">
    <vt:lpwstr>Elsevier - Harvard (with titles) - Warwick Wainwright, MSc Environmental Management</vt:lpwstr>
  </property>
  <property fmtid="{D5CDD505-2E9C-101B-9397-08002B2CF9AE}" pid="10" name="Mendeley Recent Style Id 4_1">
    <vt:lpwstr>http://www.zotero.org/styles/land-use-policy</vt:lpwstr>
  </property>
  <property fmtid="{D5CDD505-2E9C-101B-9397-08002B2CF9AE}" pid="11" name="Mendeley Recent Style Name 4_1">
    <vt:lpwstr>Land Use Policy</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http://www.zotero.org/styles/oxford-art-journal</vt:lpwstr>
  </property>
  <property fmtid="{D5CDD505-2E9C-101B-9397-08002B2CF9AE}" pid="19" name="Mendeley Recent Style Name 8_1">
    <vt:lpwstr>Oxford Art Journal</vt:lpwstr>
  </property>
  <property fmtid="{D5CDD505-2E9C-101B-9397-08002B2CF9AE}" pid="20" name="Mendeley Recent Style Id 9_1">
    <vt:lpwstr>http://www.zotero.org/styles/plos-one</vt:lpwstr>
  </property>
  <property fmtid="{D5CDD505-2E9C-101B-9397-08002B2CF9AE}" pid="21" name="Mendeley Recent Style Name 9_1">
    <vt:lpwstr>PLOS ONE</vt:lpwstr>
  </property>
  <property fmtid="{D5CDD505-2E9C-101B-9397-08002B2CF9AE}" pid="22" name="Mendeley Document_1">
    <vt:lpwstr>True</vt:lpwstr>
  </property>
  <property fmtid="{D5CDD505-2E9C-101B-9397-08002B2CF9AE}" pid="23" name="Mendeley Unique User Id_1">
    <vt:lpwstr>503198de-b242-3ff6-b753-aba7beb89282</vt:lpwstr>
  </property>
  <property fmtid="{D5CDD505-2E9C-101B-9397-08002B2CF9AE}" pid="24" name="Mendeley Citation Style_1">
    <vt:lpwstr>http://csl.mendeley.com/styles/193037751/elsevier-harvard</vt:lpwstr>
  </property>
</Properties>
</file>