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55" w:rsidRDefault="00F40F55" w:rsidP="00E74BEF">
      <w:bookmarkStart w:id="0" w:name="_GoBack"/>
      <w:bookmarkEnd w:id="0"/>
    </w:p>
    <w:p w:rsidR="00E74BEF" w:rsidRDefault="00E74BEF" w:rsidP="00E74BEF">
      <w:r w:rsidRPr="00F32089">
        <w:t xml:space="preserve">In the RPL model, </w:t>
      </w:r>
      <w:r w:rsidR="007B7F02">
        <w:t xml:space="preserve">conditional on the individual specific parameters </w:t>
      </w:r>
      <w:r w:rsidR="007B7F02" w:rsidRPr="007B7F02">
        <w:t>β</w:t>
      </w:r>
      <w:proofErr w:type="spellStart"/>
      <w:r w:rsidR="007B7F02">
        <w:rPr>
          <w:vertAlign w:val="subscript"/>
        </w:rPr>
        <w:t>i</w:t>
      </w:r>
      <w:proofErr w:type="spellEnd"/>
      <w:r w:rsidR="007B7F02">
        <w:t xml:space="preserve"> and error components </w:t>
      </w:r>
      <w:proofErr w:type="spellStart"/>
      <w:r w:rsidR="007B7F02">
        <w:t>ε</w:t>
      </w:r>
      <w:r w:rsidR="007B7F02">
        <w:rPr>
          <w:vertAlign w:val="subscript"/>
        </w:rPr>
        <w:t>i</w:t>
      </w:r>
      <w:proofErr w:type="spellEnd"/>
      <w:r w:rsidR="007B7F02">
        <w:t xml:space="preserve"> </w:t>
      </w:r>
      <w:r w:rsidRPr="007B7F02">
        <w:t>the</w:t>
      </w:r>
      <w:r w:rsidR="007E744E">
        <w:t xml:space="preserve"> </w:t>
      </w:r>
      <w:r w:rsidRPr="00F32089">
        <w:t xml:space="preserve">probability that individual </w:t>
      </w:r>
      <w:proofErr w:type="spellStart"/>
      <w:r w:rsidRPr="00F32089">
        <w:rPr>
          <w:i/>
        </w:rPr>
        <w:t>i</w:t>
      </w:r>
      <w:proofErr w:type="spellEnd"/>
      <w:r w:rsidRPr="00F32089">
        <w:rPr>
          <w:i/>
        </w:rPr>
        <w:t xml:space="preserve"> </w:t>
      </w:r>
      <w:r w:rsidRPr="00F32089">
        <w:t xml:space="preserve">chooses alternative </w:t>
      </w:r>
      <w:r w:rsidRPr="00F32089">
        <w:rPr>
          <w:i/>
        </w:rPr>
        <w:t>j</w:t>
      </w:r>
      <w:r w:rsidRPr="00F32089">
        <w:t xml:space="preserve"> in a particular choice </w:t>
      </w:r>
      <w:r w:rsidR="007B7F02">
        <w:t xml:space="preserve">task </w:t>
      </w:r>
      <w:r w:rsidR="007B7F02" w:rsidRPr="007B7F02">
        <w:rPr>
          <w:i/>
        </w:rPr>
        <w:t>n</w:t>
      </w:r>
      <w:r w:rsidR="007B7F02">
        <w:t xml:space="preserve"> </w:t>
      </w:r>
      <w:r w:rsidRPr="007B7F02">
        <w:t>is</w:t>
      </w:r>
      <w:r w:rsidRPr="00F32089">
        <w:t xml:space="preserve"> represented as:</w:t>
      </w:r>
    </w:p>
    <w:p w:rsidR="003F1774" w:rsidRDefault="003F1774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3F1774" w:rsidTr="009C5902">
        <w:tc>
          <w:tcPr>
            <w:tcW w:w="350" w:type="pct"/>
          </w:tcPr>
          <w:p w:rsidR="003F1774" w:rsidRDefault="003F1774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3F1774" w:rsidRDefault="006775EE" w:rsidP="006775EE">
            <w:pPr>
              <w:pStyle w:val="Caption"/>
              <w:jc w:val="center"/>
              <w:rPr>
                <w:lang w:eastAsia="zh-CN" w:bidi="ta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, 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ijt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J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 xml:space="preserve">exp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ikt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0" w:type="pct"/>
          </w:tcPr>
          <w:p w:rsidR="003F1774" w:rsidRDefault="003F1774" w:rsidP="0089764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2</w:t>
            </w:r>
            <w:r w:rsidRPr="00B87F2B">
              <w:rPr>
                <w:lang w:eastAsia="zh-CN" w:bidi="ta-IN"/>
              </w:rPr>
              <w:t>)</w:t>
            </w:r>
          </w:p>
        </w:tc>
      </w:tr>
      <w:tr w:rsidR="003F1774" w:rsidTr="009C5902">
        <w:tc>
          <w:tcPr>
            <w:tcW w:w="350" w:type="pct"/>
          </w:tcPr>
          <w:p w:rsidR="003F1774" w:rsidRDefault="003F1774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3F1774" w:rsidRDefault="003F1774" w:rsidP="009C5902">
            <w:pPr>
              <w:pStyle w:val="Caption"/>
              <w:jc w:val="center"/>
              <w:rPr>
                <w:rFonts w:ascii="Times New Roman" w:eastAsia="Times New Roman" w:hAnsi="Times New Roman"/>
                <w:color w:val="auto"/>
              </w:rPr>
            </w:pPr>
          </w:p>
        </w:tc>
        <w:tc>
          <w:tcPr>
            <w:tcW w:w="350" w:type="pct"/>
          </w:tcPr>
          <w:p w:rsidR="003F1774" w:rsidRPr="00B87F2B" w:rsidRDefault="003F1774" w:rsidP="009C5902">
            <w:pPr>
              <w:ind w:firstLine="0"/>
              <w:jc w:val="right"/>
              <w:rPr>
                <w:lang w:eastAsia="zh-CN" w:bidi="ta-IN"/>
              </w:rPr>
            </w:pPr>
          </w:p>
        </w:tc>
      </w:tr>
    </w:tbl>
    <w:p w:rsidR="007E744E" w:rsidRDefault="00F40F55" w:rsidP="00E74BEF">
      <w:r>
        <w:t>Note</w:t>
      </w:r>
      <w:proofErr w:type="gramStart"/>
      <w:r>
        <w:t>,</w:t>
      </w:r>
      <w:proofErr w:type="gramEnd"/>
      <w:r>
        <w:t xml:space="preserve"> choices for bovine and ovine farmers were modelled separately to explore preference heterogeneity between both groups. </w:t>
      </w:r>
      <w:r w:rsidR="007E744E">
        <w:t>The unconditional choice probability</w:t>
      </w:r>
      <w:r w:rsidR="00370E21">
        <w:t xml:space="preserve"> is t</w:t>
      </w:r>
      <w:r w:rsidR="007E744E">
        <w:t>he expected value of the logit probability over all possible values of β weighted by the density of β</w:t>
      </w:r>
      <w:r w:rsidR="007E744E">
        <w:rPr>
          <w:vertAlign w:val="subscript"/>
        </w:rPr>
        <w:t xml:space="preserve">. </w:t>
      </w:r>
      <w:r w:rsidR="00370E21">
        <w:t xml:space="preserve">The marginal probability of choice can be derived from integrating the distribution functions for the random parameters β. </w:t>
      </w:r>
      <w:r w:rsidR="007E744E">
        <w:t xml:space="preserve">The </w:t>
      </w:r>
      <w:r w:rsidR="00E35D08">
        <w:t xml:space="preserve">probability of choosing alternative </w:t>
      </w:r>
      <w:r w:rsidR="00E35D08">
        <w:rPr>
          <w:i/>
        </w:rPr>
        <w:t>j</w:t>
      </w:r>
      <w:r w:rsidR="00E35D08">
        <w:t xml:space="preserve"> </w:t>
      </w:r>
      <w:r w:rsidR="00D32BF7">
        <w:t xml:space="preserve">over </w:t>
      </w:r>
      <w:r w:rsidR="00D32BF7" w:rsidRPr="00D32BF7">
        <w:rPr>
          <w:i/>
        </w:rPr>
        <w:t>N</w:t>
      </w:r>
      <w:r w:rsidR="00D32BF7">
        <w:t xml:space="preserve"> observed choices is</w:t>
      </w:r>
      <w:r w:rsidR="00E35D08">
        <w:t>:</w:t>
      </w:r>
    </w:p>
    <w:p w:rsidR="0069677E" w:rsidRDefault="0069677E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7E744E" w:rsidTr="000E3CA9">
        <w:tc>
          <w:tcPr>
            <w:tcW w:w="350" w:type="pct"/>
          </w:tcPr>
          <w:p w:rsidR="007E744E" w:rsidRDefault="007E744E" w:rsidP="000E3CA9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69677E" w:rsidRPr="00D32BF7" w:rsidRDefault="007E744E" w:rsidP="00D32BF7">
            <w:pPr>
              <w:pStyle w:val="Caption"/>
              <w:jc w:val="center"/>
              <w:rPr>
                <w:rFonts w:ascii="Times New Roman" w:eastAsia="Times New Roman" w:hAnsi="Times New Roman"/>
                <w:color w:val="aut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it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=</m:t>
                </m:r>
                <m:nary>
                  <m:naryPr>
                    <m:limLoc m:val="undOvr"/>
                    <m:grow m:val="1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n=1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 xml:space="preserve">+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uto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>J</m:t>
                                        </m:r>
                                      </m:sup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auto"/>
                                          </w:rPr>
                                          <m:t xml:space="preserve">exp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auto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 xml:space="preserve">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ik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auto"/>
                                              </w:rPr>
                                              <m:t xml:space="preserve">+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auto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auto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</m:nary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β|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</w:rPr>
                      <m:t>θ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dβ </m:t>
                </m:r>
              </m:oMath>
            </m:oMathPara>
          </w:p>
        </w:tc>
        <w:tc>
          <w:tcPr>
            <w:tcW w:w="350" w:type="pct"/>
          </w:tcPr>
          <w:p w:rsidR="007E744E" w:rsidRDefault="007E744E" w:rsidP="000E3CA9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3</w:t>
            </w:r>
            <w:r w:rsidRPr="00B87F2B">
              <w:rPr>
                <w:lang w:eastAsia="zh-CN" w:bidi="ta-IN"/>
              </w:rPr>
              <w:t>)</w:t>
            </w:r>
          </w:p>
        </w:tc>
      </w:tr>
      <w:tr w:rsidR="007E744E" w:rsidTr="000E3CA9">
        <w:tc>
          <w:tcPr>
            <w:tcW w:w="350" w:type="pct"/>
          </w:tcPr>
          <w:p w:rsidR="007E744E" w:rsidRDefault="007E744E" w:rsidP="000E3CA9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7E744E" w:rsidRDefault="007E744E" w:rsidP="000E3CA9">
            <w:pPr>
              <w:pStyle w:val="Caption"/>
              <w:jc w:val="center"/>
              <w:rPr>
                <w:rFonts w:ascii="Times New Roman" w:eastAsia="Times New Roman" w:hAnsi="Times New Roman"/>
                <w:color w:val="auto"/>
              </w:rPr>
            </w:pPr>
          </w:p>
        </w:tc>
        <w:tc>
          <w:tcPr>
            <w:tcW w:w="350" w:type="pct"/>
          </w:tcPr>
          <w:p w:rsidR="007E744E" w:rsidRPr="00B87F2B" w:rsidRDefault="007E744E" w:rsidP="000E3CA9">
            <w:pPr>
              <w:ind w:firstLine="0"/>
              <w:jc w:val="right"/>
              <w:rPr>
                <w:lang w:eastAsia="zh-CN" w:bidi="ta-IN"/>
              </w:rPr>
            </w:pPr>
          </w:p>
        </w:tc>
      </w:tr>
    </w:tbl>
    <w:p w:rsidR="00B10F9B" w:rsidRDefault="00D32BF7" w:rsidP="00B10F9B">
      <w:proofErr w:type="gramStart"/>
      <w:r>
        <w:t xml:space="preserve">Where </w:t>
      </w:r>
      <w:r w:rsidRPr="00390DB1">
        <w:rPr>
          <w:i/>
        </w:rPr>
        <w:t>f (β</w:t>
      </w:r>
      <w:r w:rsidR="00F70D90">
        <w:rPr>
          <w:i/>
        </w:rPr>
        <w:t>|θ</w:t>
      </w:r>
      <w:r w:rsidRPr="00390DB1">
        <w:rPr>
          <w:i/>
        </w:rPr>
        <w:t>)</w:t>
      </w:r>
      <w:r>
        <w:t xml:space="preserve"> is the </w:t>
      </w:r>
      <w:r w:rsidR="00761F12">
        <w:t>density</w:t>
      </w:r>
      <w:r>
        <w:t xml:space="preserve"> function for </w:t>
      </w:r>
      <w:r w:rsidRPr="00390DB1">
        <w:rPr>
          <w:i/>
        </w:rPr>
        <w:t>β</w:t>
      </w:r>
      <w:r w:rsidR="00390DB1">
        <w:t xml:space="preserve"> with a mean </w:t>
      </w:r>
      <w:r w:rsidR="00390DB1" w:rsidRPr="00390DB1">
        <w:rPr>
          <w:i/>
        </w:rPr>
        <w:t>b</w:t>
      </w:r>
      <w:r w:rsidR="00390DB1">
        <w:t xml:space="preserve"> and covariance </w:t>
      </w:r>
      <w:r w:rsidR="00390DB1" w:rsidRPr="00390DB1">
        <w:rPr>
          <w:i/>
        </w:rPr>
        <w:t>W</w:t>
      </w:r>
      <w:r w:rsidR="00390DB1">
        <w:t>.</w:t>
      </w:r>
      <w:proofErr w:type="gramEnd"/>
      <w:r w:rsidR="00390DB1">
        <w:t xml:space="preserve"> </w:t>
      </w:r>
      <w:r>
        <w:t xml:space="preserve"> </w:t>
      </w:r>
      <w:r w:rsidR="00F01D32">
        <w:t xml:space="preserve">This equation does not have a closed form and so </w:t>
      </w:r>
      <w:r w:rsidR="005A6A64" w:rsidRPr="005A6A64">
        <w:t>we rely on simulation methods (for details see </w:t>
      </w:r>
      <w:r w:rsidR="00E440EB">
        <w:fldChar w:fldCharType="begin" w:fldLock="1"/>
      </w:r>
      <w:r w:rsidR="00E440EB">
        <w:instrText>ADDIN CSL_CITATION { "citationItems" : [ { "id" : "ITEM-1", "itemData" : { "ISBN" : "1139480375", "author" : [ { "dropping-particle" : "", "family" : "Train", "given" : "Kenneth E", "non-dropping-particle" : "", "parse-names" : false, "suffix" : "" } ], "id" : "ITEM-1", "issued" : { "date-parts" : [ [ "2009" ] ] }, "publisher" : "Cambridge university press", "title" : "Discrete choice methods with simulation", "type" : "book" }, "uris" : [ "http://www.mendeley.com/documents/?uuid=e2e94f88-0a96-44f6-a034-20c56036b310" ] } ], "mendeley" : { "formattedCitation" : "(Train, 2009)", "manualFormatting" : "Train (2009)", "plainTextFormattedCitation" : "(Train, 2009)", "previouslyFormattedCitation" : "(Train, 2009)" }, "properties" : { "noteIndex" : 0 }, "schema" : "https://github.com/citation-style-language/schema/raw/master/csl-citation.json" }</w:instrText>
      </w:r>
      <w:r w:rsidR="00E440EB">
        <w:fldChar w:fldCharType="separate"/>
      </w:r>
      <w:r w:rsidR="00E440EB">
        <w:rPr>
          <w:noProof/>
        </w:rPr>
        <w:t>Train</w:t>
      </w:r>
      <w:r w:rsidR="00E440EB" w:rsidRPr="00E440EB">
        <w:rPr>
          <w:noProof/>
        </w:rPr>
        <w:t xml:space="preserve"> </w:t>
      </w:r>
      <w:r w:rsidR="00E440EB">
        <w:rPr>
          <w:noProof/>
        </w:rPr>
        <w:t>(</w:t>
      </w:r>
      <w:r w:rsidR="00E440EB" w:rsidRPr="00E440EB">
        <w:rPr>
          <w:noProof/>
        </w:rPr>
        <w:t>2009)</w:t>
      </w:r>
      <w:r w:rsidR="00E440EB">
        <w:fldChar w:fldCharType="end"/>
      </w:r>
      <w:r w:rsidR="005A6A64" w:rsidRPr="005A6A64">
        <w:t>).</w:t>
      </w:r>
      <w:r w:rsidR="005A6A64">
        <w:t xml:space="preserve"> D</w:t>
      </w:r>
      <w:r w:rsidR="000C5C12" w:rsidRPr="00F32089">
        <w:t xml:space="preserve">raws of values of </w:t>
      </w:r>
      <m:oMath>
        <m:r>
          <w:rPr>
            <w:rFonts w:ascii="Cambria Math" w:hAnsi="Cambria Math"/>
          </w:rPr>
          <m:t>β</m:t>
        </m:r>
      </m:oMath>
      <w:r w:rsidR="000C5C12" w:rsidRPr="00F32089">
        <w:t xml:space="preserve"> are drawn from</w:t>
      </w:r>
      <w:r w:rsidR="005A6A64">
        <w:t xml:space="preserve"> </w:t>
      </w:r>
      <m:oMath>
        <m:r>
          <w:rPr>
            <w:rFonts w:ascii="Cambria Math" w:hAnsi="Cambria Math"/>
          </w:rPr>
          <m:t xml:space="preserve">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|θ</m:t>
            </m:r>
          </m:e>
        </m:d>
      </m:oMath>
      <w:r w:rsidR="000C5C12" w:rsidRPr="00F32089">
        <w:t xml:space="preserve"> </w:t>
      </w:r>
      <w:r w:rsidR="00EC6DB2">
        <w:t>for</w:t>
      </w:r>
      <w:r w:rsidR="000C5C12" w:rsidRPr="00F32089">
        <w:t xml:space="preserve"> r=1</w:t>
      </w:r>
      <w:proofErr w:type="gramStart"/>
      <w:r w:rsidR="000C5C12" w:rsidRPr="00F32089">
        <w:t>,</w:t>
      </w:r>
      <w:r w:rsidR="000C5C12" w:rsidRPr="00F32089">
        <w:rPr>
          <w:rFonts w:ascii="Arial" w:hAnsi="Arial" w:cs="Arial"/>
        </w:rPr>
        <w:t>…</w:t>
      </w:r>
      <w:r w:rsidR="005A6A64">
        <w:t>,</w:t>
      </w:r>
      <w:proofErr w:type="gramEnd"/>
      <w:r w:rsidR="005A6A64">
        <w:t xml:space="preserve"> R. </w:t>
      </w:r>
      <w:r w:rsidR="002A2D0F" w:rsidRPr="002A2D0F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</w:t>
      </w:r>
      <w:r w:rsidR="002A2D0F"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T</w:t>
      </w:r>
      <w:r w:rsidR="002A2D0F" w:rsidRPr="002A2D0F">
        <w:t xml:space="preserve">he probabilities are approximated by drawing the values from the density function and averaged to estimate the simulated probability. </w:t>
      </w:r>
      <w:r w:rsidR="00F01D32">
        <w:t>Random p</w:t>
      </w:r>
      <w:r w:rsidR="000C5C12" w:rsidRPr="00F32089">
        <w:t xml:space="preserve">arameters </w:t>
      </w:r>
      <w:r w:rsidR="00F01D32">
        <w:t xml:space="preserve">were estimated </w:t>
      </w:r>
      <w:r w:rsidR="000C5C12" w:rsidRPr="00F32089">
        <w:t xml:space="preserve">using 1000 </w:t>
      </w:r>
      <w:proofErr w:type="spellStart"/>
      <w:r w:rsidR="000C5C12" w:rsidRPr="00F32089">
        <w:t>Halton</w:t>
      </w:r>
      <w:proofErr w:type="spellEnd"/>
      <w:r w:rsidR="000C5C12" w:rsidRPr="00F32089">
        <w:t xml:space="preserve"> draws which take into account the heterogeneity of parameter values sampled from the distribution of respondent</w:t>
      </w:r>
      <w:r w:rsidR="000C5C12" w:rsidRPr="00F32089">
        <w:rPr>
          <w:rFonts w:ascii="Arial" w:hAnsi="Arial" w:cs="Arial"/>
        </w:rPr>
        <w:t>’</w:t>
      </w:r>
      <w:r w:rsidR="000C5C12" w:rsidRPr="00F32089">
        <w:t xml:space="preserve">s choice </w:t>
      </w:r>
      <w:r w:rsidR="000C5C12" w:rsidRPr="00F32089">
        <w:fldChar w:fldCharType="begin" w:fldLock="1"/>
      </w:r>
      <w:r w:rsidR="00E440EB">
        <w:instrText>ADDIN CSL_CITATION { "citationItems" : [ { "id" : "ITEM-1", "itemData" : { "ISSN" : "1755-5345", "author" : [ { "dropping-particle" : "", "family" : "Mariel", "given" : "Petr", "non-dropping-particle" : "", "parse-names" : false, "suffix" : "" }, { "dropping-particle" : "", "family" : "Ayala", "given" : "Amaya", "non-dropping-particle" : "De", "parse-names" : false, "suffix" : "" }, { "dropping-particle" : "", "family" : "Hoyos", "given" : "David", "non-dropping-particle" : "", "parse-names" : false, "suffix" : "" }, { "dropping-particle" : "", "family" : "Abdullah", "given" : "Sabah", "non-dropping-particle" : "", "parse-names" : false, "suffix" : "" } ], "container-title" : "Journal of choice modelling", "id" : "ITEM-1", "issued" : { "date-parts" : [ [ "2013" ] ] }, "page" : "44-57", "publisher" : "Elsevier", "title" : "Selecting random parameters in discrete choice experiment for environmental valuation: A simulation experiment", "type" : "article-journal", "volume" : "7" }, "uris" : [ "http://www.mendeley.com/documents/?uuid=0470a0ed-006b-4a8b-9ad1-37112408454f", "http://www.mendeley.com/documents/?uuid=01bf2e3c-6a83-47bb-8446-0a04588bc2ba" ] }, { "id" : "ITEM-2", "itemData" : { "ISSN" : "1467-8489", "author" : [ { "dropping-particle" : "", "family" : "Greiner", "given" : "Romy", "non-dropping-particle" : "", "parse-names" : false, "suffix" : "" } ], "container-title" : "Australian Journal of Agricultural and Resource Economics", "id" : "ITEM-2", "issued" : { "date-parts" : [ [ "2015" ] ] }, "publisher" : "Wiley Online Library", "title" : "Factors influencing farmers\u2019 participation in contractual biodiversity conservation: a choice experiment with northern Australian pastoralists", "type" : "article-journal" }, "uris" : [ "http://www.mendeley.com/documents/?uuid=88e1dbc0-600c-428c-8dd2-82c4e33dfe41", "http://www.mendeley.com/documents/?uuid=e2d1ed65-b1b2-4d1e-b2da-4d4669da2302" ] } ], "mendeley" : { "formattedCitation" : "(Greiner, 2015; Mariel et al., 2013)", "plainTextFormattedCitation" : "(Greiner, 2015; Mariel et al., 2013)", "previouslyFormattedCitation" : "(Greiner, 2015; Mariel et al., 2013)" }, "properties" : { "noteIndex" : 0 }, "schema" : "https://github.com/citation-style-language/schema/raw/master/csl-citation.json" }</w:instrText>
      </w:r>
      <w:r w:rsidR="000C5C12" w:rsidRPr="00F32089">
        <w:fldChar w:fldCharType="separate"/>
      </w:r>
      <w:r w:rsidR="00E440EB" w:rsidRPr="00E440EB">
        <w:rPr>
          <w:noProof/>
        </w:rPr>
        <w:t>(Greiner, 2015; Mariel et al., 2013)</w:t>
      </w:r>
      <w:r w:rsidR="000C5C12" w:rsidRPr="00F32089">
        <w:fldChar w:fldCharType="end"/>
      </w:r>
      <w:r w:rsidR="000C5C12">
        <w:t xml:space="preserve">. </w:t>
      </w:r>
      <w:r w:rsidR="00735C08">
        <w:t xml:space="preserve">A normal distribution is assigned to the </w:t>
      </w:r>
      <w:r w:rsidR="000E13B8">
        <w:t xml:space="preserve">all </w:t>
      </w:r>
      <w:r w:rsidR="00735C08">
        <w:t xml:space="preserve">random parameters </w:t>
      </w:r>
      <w:r w:rsidR="000E13B8">
        <w:t xml:space="preserve">(accept subsidy) </w:t>
      </w:r>
      <w:r w:rsidR="00735C08">
        <w:t>to allow respondents to have either positive or negative marginal utili</w:t>
      </w:r>
      <w:r w:rsidR="00E440EB">
        <w:t xml:space="preserve">ty for the contract attributes </w:t>
      </w:r>
      <w:r w:rsidR="00E440EB">
        <w:fldChar w:fldCharType="begin" w:fldLock="1"/>
      </w:r>
      <w:r w:rsidR="005A38A0">
        <w:instrText>ADDIN CSL_CITATION { "citationItems" : [ { "id" : "ITEM-1", "itemData" : { "ISSN" : "2212-0416", "author" : [ { "dropping-particle" : "", "family" : "Christie", "given" : "Michael", "non-dropping-particle" : "", "parse-names" : false, "suffix" : "" }, { "dropping-particle" : "", "family" : "Remoundou", "given" : "Kyriaki", "non-dropping-particle" : "", "parse-names" : false, "suffix" : "" }, { "dropping-particle" : "", "family" : "Siwicka", "given" : "Ewa", "non-dropping-particle" : "", "parse-names" : false, "suffix" : "" }, { "dropping-particle" : "", "family" : "Wainwright", "given" : "Warwick", "non-dropping-particle" : "", "parse-names" : false, "suffix" : "" } ], "container-title" : "Ecosystem Services", "id" : "ITEM-1", "issued" : { "date-parts" : [ [ "2015" ] ] }, "page" : "115-127", "publisher" : "Elsevier", "title" : "Valuing marine and coastal ecosystem service benefits: Case study of St Vincent and the Grenadines\u2019 proposed marine protected areas", "type" : "article-journal", "volume" : "11" }, "uris" : [ "http://www.mendeley.com/documents/?uuid=480c6820-8e94-4b9b-aaed-6a968243b2c9" ] } ], "mendeley" : { "formattedCitation" : "(Christie et al., 2015)", "plainTextFormattedCitation" : "(Christie et al., 2015)", "previouslyFormattedCitation" : "(Christie et al., 2015)" }, "properties" : { "noteIndex" : 0 }, "schema" : "https://github.com/citation-style-language/schema/raw/master/csl-citation.json" }</w:instrText>
      </w:r>
      <w:r w:rsidR="00E440EB">
        <w:fldChar w:fldCharType="separate"/>
      </w:r>
      <w:r w:rsidR="00E440EB" w:rsidRPr="00E440EB">
        <w:rPr>
          <w:noProof/>
        </w:rPr>
        <w:t>(Christie et al., 2015)</w:t>
      </w:r>
      <w:r w:rsidR="00E440EB">
        <w:fldChar w:fldCharType="end"/>
      </w:r>
      <w:r w:rsidR="000E13B8">
        <w:rPr>
          <w:rStyle w:val="CommentReference"/>
        </w:rPr>
        <w:t xml:space="preserve">. </w:t>
      </w:r>
      <w:r w:rsidR="000E13B8">
        <w:rPr>
          <w:rStyle w:val="CommentReference"/>
          <w:sz w:val="22"/>
          <w:szCs w:val="22"/>
        </w:rPr>
        <w:t xml:space="preserve">A triangular distribution was assigned to the subsidy attribute </w:t>
      </w:r>
      <w:r w:rsidR="000E13B8">
        <w:t>to</w:t>
      </w:r>
      <w:r w:rsidR="00D45526">
        <w:rPr>
          <w:szCs w:val="22"/>
        </w:rPr>
        <w:t xml:space="preserve"> ensure the parameter </w:t>
      </w:r>
      <w:r w:rsidR="000E13B8">
        <w:rPr>
          <w:szCs w:val="22"/>
        </w:rPr>
        <w:t>does not change sign over its range</w:t>
      </w:r>
      <w:r w:rsidR="00E440EB">
        <w:t xml:space="preserve">. </w:t>
      </w:r>
    </w:p>
    <w:p w:rsidR="00B10F9B" w:rsidRDefault="00B10F9B" w:rsidP="00B10F9B"/>
    <w:p w:rsidR="00E74BEF" w:rsidRDefault="005A38A0" w:rsidP="00E74BEF">
      <w:r>
        <w:t xml:space="preserve">In a CE, the standard approach to calculate respondent WTA is to is to </w:t>
      </w:r>
      <w:proofErr w:type="gramStart"/>
      <w:r>
        <w:t xml:space="preserve">compute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attribute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cost</m:t>
                </m:r>
              </m:sub>
            </m:sSub>
          </m:den>
        </m:f>
      </m:oMath>
      <w:r>
        <w:t>.</w:t>
      </w:r>
      <w:r w:rsidR="00B10F9B">
        <w:t xml:space="preserve"> Given the contract attributes were effects coded WTA estimates</w:t>
      </w:r>
      <w:r w:rsidR="00B10F9B">
        <w:rPr>
          <w:bCs/>
        </w:rPr>
        <w:t xml:space="preserve"> were calculated from the ratio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2*β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="00B10F9B">
        <w:rPr>
          <w:bCs/>
        </w:rPr>
        <w:t xml:space="preserve"> where </w:t>
      </w:r>
      <w:r w:rsidR="00B10F9B">
        <w:rPr>
          <w:bCs/>
          <w:i/>
        </w:rPr>
        <w:t xml:space="preserve">k </w:t>
      </w:r>
      <w:r w:rsidR="00B10F9B" w:rsidRPr="000660DA">
        <w:rPr>
          <w:bCs/>
        </w:rPr>
        <w:t>is the attribute coefficient</w:t>
      </w:r>
      <w:r w:rsidR="00B10F9B">
        <w:rPr>
          <w:bCs/>
          <w:i/>
        </w:rPr>
        <w:t xml:space="preserve"> </w:t>
      </w:r>
      <w:r w:rsidR="00B10F9B">
        <w:rPr>
          <w:bCs/>
        </w:rPr>
        <w:t xml:space="preserve">and </w:t>
      </w:r>
      <w:r w:rsidR="00B10F9B">
        <w:rPr>
          <w:bCs/>
          <w:i/>
        </w:rPr>
        <w:t>c</w:t>
      </w:r>
      <w:r w:rsidR="00B10F9B">
        <w:rPr>
          <w:bCs/>
        </w:rPr>
        <w:t xml:space="preserve"> is the cost coefficient as outlined by </w:t>
      </w:r>
      <w:r w:rsidR="00B10F9B">
        <w:rPr>
          <w:bCs/>
        </w:rPr>
        <w:fldChar w:fldCharType="begin" w:fldLock="1"/>
      </w:r>
      <w:r w:rsidR="00B10F9B">
        <w:rPr>
          <w:bCs/>
        </w:rPr>
        <w:instrText>ADDIN CSL_CITATION { "citationItems" : [ { "id" : "ITEM-1", "itemData" : { "ISSN" : "1099-1050", "author" : [ { "dropping-particle" : "", "family" : "Bech", "given" : "Mickael", "non-dropping-particle" : "", "parse-names" : false, "suffix" : "" }, { "dropping-particle" : "", "family" : "Gyrd\u2010Hansen", "given" : "Dorte", "non-dropping-particle" : "", "parse-names" : false, "suffix" : "" } ], "container-title" : "Health economics", "id" : "ITEM-1", "issue" : "10", "issued" : { "date-parts" : [ [ "2005" ] ] }, "page" : "1079-1083", "publisher" : "Wiley Online Library", "title" : "Effects coding in discrete choice experiments", "type" : "article-journal", "volume" : "14" }, "uris" : [ "http://www.mendeley.com/documents/?uuid=a71b48cb-041e-45d4-8f9a-4b53e44b454e", "http://www.mendeley.com/documents/?uuid=ba8e5766-5014-4ab8-958c-edf108099506" ] } ], "mendeley" : { "formattedCitation" : "(Bech and Gyrd\u2010Hansen, 2005)", "manualFormatting" : "Bech and Gyrd\u2010Hansen (2005)", "plainTextFormattedCitation" : "(Bech and Gyrd\u2010Hansen, 2005)", "previouslyFormattedCitation" : "(Bech and Gyrd\u2010Hansen, 2005)" }, "properties" : { "noteIndex" : 0 }, "schema" : "https://github.com/citation-style-language/schema/raw/master/csl-citation.json" }</w:instrText>
      </w:r>
      <w:r w:rsidR="00B10F9B">
        <w:rPr>
          <w:bCs/>
        </w:rPr>
        <w:fldChar w:fldCharType="separate"/>
      </w:r>
      <w:r w:rsidR="00B10F9B" w:rsidRPr="000660DA">
        <w:rPr>
          <w:bCs/>
          <w:noProof/>
        </w:rPr>
        <w:t>Bech and Gyrd</w:t>
      </w:r>
      <w:r w:rsidR="00B10F9B" w:rsidRPr="000660DA">
        <w:rPr>
          <w:rFonts w:ascii="Cambria Math" w:hAnsi="Cambria Math" w:cs="Cambria Math"/>
          <w:bCs/>
          <w:noProof/>
        </w:rPr>
        <w:t>‐</w:t>
      </w:r>
      <w:r w:rsidR="00B10F9B">
        <w:rPr>
          <w:bCs/>
          <w:noProof/>
        </w:rPr>
        <w:t>Hansen</w:t>
      </w:r>
      <w:r w:rsidR="00B10F9B" w:rsidRPr="000660DA">
        <w:rPr>
          <w:bCs/>
          <w:noProof/>
        </w:rPr>
        <w:t xml:space="preserve"> </w:t>
      </w:r>
      <w:r w:rsidR="00B10F9B">
        <w:rPr>
          <w:bCs/>
          <w:noProof/>
        </w:rPr>
        <w:t>(</w:t>
      </w:r>
      <w:r w:rsidR="00B10F9B" w:rsidRPr="000660DA">
        <w:rPr>
          <w:bCs/>
          <w:noProof/>
        </w:rPr>
        <w:t>2005)</w:t>
      </w:r>
      <w:r w:rsidR="00B10F9B">
        <w:rPr>
          <w:bCs/>
        </w:rPr>
        <w:fldChar w:fldCharType="end"/>
      </w:r>
      <w:r w:rsidR="00B10F9B">
        <w:rPr>
          <w:bCs/>
        </w:rPr>
        <w:t>.  Confidence intervals were estimated using the Delta method.</w:t>
      </w:r>
      <w:r w:rsidR="00B10F9B">
        <w:t xml:space="preserve"> </w:t>
      </w:r>
      <w:r w:rsidR="00E74BEF" w:rsidRPr="00F40F39">
        <w:t>Individual specific parameter</w:t>
      </w:r>
      <w:r w:rsidR="00E74BEF">
        <w:t>s</w:t>
      </w:r>
      <w:r w:rsidR="00E74BEF" w:rsidRPr="00F40F39">
        <w:t xml:space="preserve"> (Table </w:t>
      </w:r>
      <w:r w:rsidR="00E74BEF">
        <w:t>2</w:t>
      </w:r>
      <w:r w:rsidR="00E74BEF" w:rsidRPr="00F40F39">
        <w:t xml:space="preserve">) for individual </w:t>
      </w:r>
      <w:proofErr w:type="spellStart"/>
      <w:r w:rsidR="00E74BEF" w:rsidRPr="00F40F39">
        <w:rPr>
          <w:i/>
        </w:rPr>
        <w:t>i</w:t>
      </w:r>
      <w:proofErr w:type="spellEnd"/>
      <w:r w:rsidR="00E74BEF" w:rsidRPr="00F40F39">
        <w:rPr>
          <w:i/>
        </w:rPr>
        <w:t xml:space="preserve"> </w:t>
      </w:r>
      <w:r w:rsidR="00E74BEF" w:rsidRPr="00F40F39">
        <w:t>were dummy coded and interacted with random parameters to determine policy relevant factors influencing contract preferences.</w:t>
      </w:r>
      <w:r w:rsidR="00E74BEF" w:rsidRPr="00FC3CFA">
        <w:t xml:space="preserve"> </w:t>
      </w:r>
      <w:r w:rsidR="00E74BEF" w:rsidRPr="00C31C30">
        <w:rPr>
          <w:lang w:eastAsia="zh-CN" w:bidi="ta-IN"/>
        </w:rPr>
        <w:t xml:space="preserve">Contract probabilities of enrolment were </w:t>
      </w:r>
      <w:r w:rsidR="00E74BEF" w:rsidRPr="00C31C30">
        <w:t xml:space="preserve">calculated under alternative payment scenarios to determine how </w:t>
      </w:r>
      <w:r w:rsidR="00E74BEF">
        <w:t xml:space="preserve">probability of </w:t>
      </w:r>
      <w:r w:rsidR="00E74BEF" w:rsidRPr="00C31C30">
        <w:t xml:space="preserve">uptake varied according to </w:t>
      </w:r>
      <w:r w:rsidR="00E74BEF" w:rsidRPr="00C31C30">
        <w:lastRenderedPageBreak/>
        <w:t xml:space="preserve">contract </w:t>
      </w:r>
      <w:r w:rsidR="00BD0F0F">
        <w:t>attributes</w:t>
      </w:r>
      <w:r w:rsidR="00E74BEF" w:rsidRPr="00C31C30">
        <w:t xml:space="preserve"> and payment rates</w:t>
      </w:r>
      <w:r w:rsidR="00E74BEF">
        <w:t xml:space="preserve">, following a similar method to </w:t>
      </w:r>
      <w:r w:rsidR="00E74BEF">
        <w:fldChar w:fldCharType="begin" w:fldLock="1"/>
      </w:r>
      <w:r w:rsidR="00850676">
        <w:instrText>ADDIN CSL_CITATION { "citationItems" : [ { "id" : "ITEM-1", "itemData" : { "ISSN" : "1932-6203", "author" : [ { "dropping-particle" : "", "family" : "Adams", "given" : "Vanessa M", "non-dropping-particle" : "", "parse-names" : false, "suffix" : "" }, { "dropping-particle" : "", "family" : "Pressey", "given" : "Robert L", "non-dropping-particle" : "", "parse-names" : false, "suffix" : "" }, { "dropping-particle" : "", "family" : "Stoeckl", "given" : "Natalie", "non-dropping-particle" : "", "parse-names" : false, "suffix" : "" } ], "container-title" : "PloS one", "id" : "ITEM-1", "issue" : "6", "issued" : { "date-parts" : [ [ "2014" ] ] }, "page" : "e97941", "publisher" : "Public Library of Science", "title" : "Estimating landholders\u2019 probability of participating in a stewardship program, and the implications for spatial conservation priorities", "type" : "article-journal", "volume" : "9" }, "uris" : [ "http://www.mendeley.com/documents/?uuid=f5b82757-7cfd-4cbb-9082-63f160484b57" ] } ], "mendeley" : { "formattedCitation" : "(Adams et al., 2014)", "manualFormatting" : "Adams et al, (2014)", "plainTextFormattedCitation" : "(Adams et al., 2014)", "previouslyFormattedCitation" : "(Adams et al., 2014)" }, "properties" : { "noteIndex" : 0 }, "schema" : "https://github.com/citation-style-language/schema/raw/master/csl-citation.json" }</w:instrText>
      </w:r>
      <w:r w:rsidR="00E74BEF">
        <w:fldChar w:fldCharType="separate"/>
      </w:r>
      <w:r w:rsidR="00E440EB" w:rsidRPr="00E440EB">
        <w:rPr>
          <w:noProof/>
        </w:rPr>
        <w:t xml:space="preserve">Adams et al, </w:t>
      </w:r>
      <w:r w:rsidR="00850676">
        <w:rPr>
          <w:noProof/>
        </w:rPr>
        <w:t>(</w:t>
      </w:r>
      <w:r w:rsidR="00E440EB" w:rsidRPr="00E440EB">
        <w:rPr>
          <w:noProof/>
        </w:rPr>
        <w:t>2014)</w:t>
      </w:r>
      <w:r w:rsidR="00E74BEF">
        <w:fldChar w:fldCharType="end"/>
      </w:r>
      <w:r w:rsidR="00E74BEF" w:rsidRPr="00C31C30">
        <w:t xml:space="preserve">.  Based on the </w:t>
      </w:r>
      <w:r w:rsidR="00E74BEF">
        <w:t>CE</w:t>
      </w:r>
      <w:r w:rsidR="00E74BEF" w:rsidRPr="00C31C30">
        <w:t xml:space="preserve">, the probability of an individual </w:t>
      </w:r>
      <w:proofErr w:type="spellStart"/>
      <w:r w:rsidR="00E74BEF" w:rsidRPr="00C31C30">
        <w:rPr>
          <w:i/>
        </w:rPr>
        <w:t>i</w:t>
      </w:r>
      <w:proofErr w:type="spellEnd"/>
      <w:r w:rsidR="00E74BEF" w:rsidRPr="00C31C30">
        <w:t xml:space="preserve"> choosing a contract alternative </w:t>
      </w:r>
      <w:r w:rsidR="00581D2C">
        <w:rPr>
          <w:i/>
        </w:rPr>
        <w:t>j</w:t>
      </w:r>
      <w:r w:rsidR="00E74BEF" w:rsidRPr="00C31C30">
        <w:t xml:space="preserve"> </w:t>
      </w:r>
      <w:proofErr w:type="gramStart"/>
      <w:r w:rsidR="00E74BEF" w:rsidRPr="00C31C30">
        <w:t>is</w:t>
      </w:r>
      <w:proofErr w:type="gramEnd"/>
      <w:r w:rsidR="00E74BEF" w:rsidRPr="00C31C30">
        <w:t xml:space="preserve"> given by</w:t>
      </w:r>
      <w:r w:rsidR="00581D2C">
        <w:t>:</w:t>
      </w:r>
    </w:p>
    <w:p w:rsidR="00E74BEF" w:rsidRDefault="00E74BEF" w:rsidP="00E74BE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7948"/>
        <w:gridCol w:w="647"/>
      </w:tblGrid>
      <w:tr w:rsidR="00E74BEF" w:rsidTr="009C5902">
        <w:tc>
          <w:tcPr>
            <w:tcW w:w="350" w:type="pct"/>
          </w:tcPr>
          <w:p w:rsidR="00E74BEF" w:rsidRDefault="00E74BEF" w:rsidP="009C5902">
            <w:pPr>
              <w:ind w:firstLine="0"/>
              <w:rPr>
                <w:lang w:eastAsia="zh-CN" w:bidi="ta-IN"/>
              </w:rPr>
            </w:pPr>
          </w:p>
        </w:tc>
        <w:tc>
          <w:tcPr>
            <w:tcW w:w="4300" w:type="pct"/>
          </w:tcPr>
          <w:p w:rsidR="00E74BEF" w:rsidRDefault="00E74BEF" w:rsidP="000B1EEE">
            <w:pPr>
              <w:pStyle w:val="Caption"/>
              <w:jc w:val="center"/>
              <w:rPr>
                <w:lang w:eastAsia="zh-CN" w:bidi="ta-I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>j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ut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γ+ 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</w:rPr>
                          <m:t>j</m:t>
                        </m:r>
                      </m:sup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auto"/>
                          </w:rPr>
                          <m:t>exp</m:t>
                        </m:r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γ+ 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uto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</w:rPr>
                  <w:br/>
                </m:r>
              </m:oMath>
            </m:oMathPara>
            <w:r w:rsidRPr="00950490">
              <w:rPr>
                <w:color w:val="auto"/>
              </w:rPr>
              <w:t xml:space="preserve">    </w:t>
            </w:r>
          </w:p>
        </w:tc>
        <w:tc>
          <w:tcPr>
            <w:tcW w:w="350" w:type="pct"/>
          </w:tcPr>
          <w:p w:rsidR="00E74BEF" w:rsidRDefault="00E74BEF" w:rsidP="009C5902">
            <w:pPr>
              <w:ind w:firstLine="0"/>
              <w:jc w:val="right"/>
              <w:rPr>
                <w:lang w:eastAsia="zh-CN" w:bidi="ta-IN"/>
              </w:rPr>
            </w:pPr>
            <w:r w:rsidRPr="00B87F2B">
              <w:rPr>
                <w:lang w:eastAsia="zh-CN" w:bidi="ta-IN"/>
              </w:rPr>
              <w:t xml:space="preserve">( </w:t>
            </w:r>
            <w:r w:rsidR="00897642">
              <w:rPr>
                <w:lang w:eastAsia="zh-CN" w:bidi="ta-IN"/>
              </w:rPr>
              <w:t>6</w:t>
            </w:r>
            <w:r w:rsidRPr="00B87F2B">
              <w:rPr>
                <w:lang w:eastAsia="zh-CN" w:bidi="ta-IN"/>
              </w:rPr>
              <w:t>)</w:t>
            </w:r>
          </w:p>
        </w:tc>
      </w:tr>
    </w:tbl>
    <w:p w:rsidR="00E74BEF" w:rsidRPr="00C46F67" w:rsidRDefault="00E74BEF" w:rsidP="00E74BEF">
      <w:proofErr w:type="gramStart"/>
      <w:r w:rsidRPr="00C31C30">
        <w:t>whereby</w:t>
      </w:r>
      <w:proofErr w:type="gramEnd"/>
      <w:r w:rsidRPr="00C31C30">
        <w:t xml:space="preserve"> alternative specific variables (i.e. contract options) for individual </w:t>
      </w:r>
      <w:proofErr w:type="spellStart"/>
      <w:r w:rsidRPr="00C31C30">
        <w:rPr>
          <w:i/>
        </w:rPr>
        <w:t>i</w:t>
      </w:r>
      <w:proofErr w:type="spellEnd"/>
      <w:r w:rsidRPr="00C31C30">
        <w:rPr>
          <w:i/>
        </w:rPr>
        <w:t xml:space="preserve"> </w:t>
      </w:r>
      <w:r w:rsidRPr="00C31C30">
        <w:t xml:space="preserve">and alternative </w:t>
      </w:r>
      <w:r w:rsidR="00581D2C">
        <w:rPr>
          <w:i/>
        </w:rPr>
        <w:t>j</w:t>
      </w:r>
      <w:r w:rsidRPr="00C31C30">
        <w:t xml:space="preserve"> are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31C30">
        <w:t xml:space="preserve"> whi</w:t>
      </w:r>
      <w:r w:rsidR="00581D2C">
        <w:t xml:space="preserve">lst coefficients are denoted by γ. </w:t>
      </w:r>
      <w:r w:rsidR="00EE23FF">
        <w:t>Case</w:t>
      </w:r>
      <w:r w:rsidR="00581D2C">
        <w:t xml:space="preserve"> specific variables for individual </w:t>
      </w:r>
      <w:proofErr w:type="spellStart"/>
      <w:r w:rsidR="00581D2C" w:rsidRPr="00581D2C">
        <w:rPr>
          <w:i/>
        </w:rPr>
        <w:t>i</w:t>
      </w:r>
      <w:proofErr w:type="spellEnd"/>
      <w:r w:rsidR="00581D2C">
        <w:t xml:space="preserve"> are given by </w:t>
      </w:r>
      <w:r w:rsidR="00581D2C" w:rsidRPr="00581D2C">
        <w:rPr>
          <w:i/>
        </w:rPr>
        <w:t>x</w:t>
      </w:r>
      <w:r w:rsidR="00581D2C" w:rsidRPr="00581D2C">
        <w:rPr>
          <w:i/>
          <w:vertAlign w:val="subscript"/>
        </w:rPr>
        <w:t>i</w:t>
      </w:r>
      <w:r w:rsidR="00581D2C">
        <w:rPr>
          <w:i/>
          <w:vertAlign w:val="subscript"/>
        </w:rPr>
        <w:t xml:space="preserve"> </w:t>
      </w:r>
      <w:r w:rsidR="00581D2C" w:rsidRPr="00C31C30">
        <w:t>whi</w:t>
      </w:r>
      <w:r w:rsidR="00581D2C">
        <w:t xml:space="preserve">lst coefficients are denoted by β. </w:t>
      </w:r>
      <w:r>
        <w:t>W</w:t>
      </w:r>
      <w:r w:rsidRPr="00240044">
        <w:t xml:space="preserve">e estimated </w:t>
      </w:r>
      <w:r>
        <w:t>the probability of participation</w:t>
      </w:r>
      <w:r w:rsidRPr="00240044">
        <w:t xml:space="preserve"> </w:t>
      </w:r>
      <w:r w:rsidR="00EE23FF">
        <w:t xml:space="preserve">for case specific contracts </w:t>
      </w:r>
      <w:r w:rsidRPr="00240044">
        <w:t xml:space="preserve">under two </w:t>
      </w:r>
      <w:r>
        <w:t>scenarios– ‘optimal’ and ‘non-optimal’ contracts. ‘Optimal’ refers to contract attributes (excluding subsidy) that meet the preferences of agents while ‘non-optimal’ contracts do not.  This was relative to a</w:t>
      </w:r>
      <w:r w:rsidRPr="00240044">
        <w:t xml:space="preserve"> </w:t>
      </w:r>
      <w:r w:rsidRPr="006172E0">
        <w:t>non-enrolment</w:t>
      </w:r>
      <w:r w:rsidRPr="00240044">
        <w:t xml:space="preserve"> option. </w:t>
      </w:r>
    </w:p>
    <w:p w:rsidR="00EE71BE" w:rsidRDefault="00EE71BE"/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BEF"/>
    <w:rsid w:val="00086C2C"/>
    <w:rsid w:val="000A51A0"/>
    <w:rsid w:val="000B1EEE"/>
    <w:rsid w:val="000C5C12"/>
    <w:rsid w:val="000E13B8"/>
    <w:rsid w:val="00171E49"/>
    <w:rsid w:val="0020669F"/>
    <w:rsid w:val="0025275A"/>
    <w:rsid w:val="002A2D0F"/>
    <w:rsid w:val="002E4720"/>
    <w:rsid w:val="002F3FD1"/>
    <w:rsid w:val="00370E21"/>
    <w:rsid w:val="00390DB1"/>
    <w:rsid w:val="003F1774"/>
    <w:rsid w:val="004031A6"/>
    <w:rsid w:val="0040794E"/>
    <w:rsid w:val="00463301"/>
    <w:rsid w:val="00581D2C"/>
    <w:rsid w:val="005A38A0"/>
    <w:rsid w:val="005A6A64"/>
    <w:rsid w:val="005F6DE9"/>
    <w:rsid w:val="006160A9"/>
    <w:rsid w:val="006430D7"/>
    <w:rsid w:val="0066722F"/>
    <w:rsid w:val="006775EE"/>
    <w:rsid w:val="0069677E"/>
    <w:rsid w:val="006D29B6"/>
    <w:rsid w:val="00735C08"/>
    <w:rsid w:val="00761F12"/>
    <w:rsid w:val="00766F6F"/>
    <w:rsid w:val="00782CAE"/>
    <w:rsid w:val="007B7F02"/>
    <w:rsid w:val="007C35C7"/>
    <w:rsid w:val="007C5B66"/>
    <w:rsid w:val="007E744E"/>
    <w:rsid w:val="00844D45"/>
    <w:rsid w:val="00850676"/>
    <w:rsid w:val="00897642"/>
    <w:rsid w:val="00A6080D"/>
    <w:rsid w:val="00AA7E85"/>
    <w:rsid w:val="00B10F9B"/>
    <w:rsid w:val="00B87893"/>
    <w:rsid w:val="00BD0F0F"/>
    <w:rsid w:val="00C5489A"/>
    <w:rsid w:val="00C868F3"/>
    <w:rsid w:val="00D32BF7"/>
    <w:rsid w:val="00D3601B"/>
    <w:rsid w:val="00D45526"/>
    <w:rsid w:val="00E15ED4"/>
    <w:rsid w:val="00E35D08"/>
    <w:rsid w:val="00E440EB"/>
    <w:rsid w:val="00E74BEF"/>
    <w:rsid w:val="00EC6DB2"/>
    <w:rsid w:val="00EE23FF"/>
    <w:rsid w:val="00EE71BE"/>
    <w:rsid w:val="00F01D32"/>
    <w:rsid w:val="00F40F55"/>
    <w:rsid w:val="00F70D90"/>
    <w:rsid w:val="00F757D5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E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E74B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4BEF"/>
    <w:pPr>
      <w:spacing w:after="200" w:line="240" w:lineRule="auto"/>
      <w:ind w:firstLine="0"/>
      <w:jc w:val="left"/>
    </w:pPr>
    <w:rPr>
      <w:rFonts w:ascii="Calibri" w:eastAsia="Batang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60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D32"/>
    <w:rPr>
      <w:color w:val="800080" w:themeColor="followedHyperlink"/>
      <w:u w:val="single"/>
    </w:rPr>
  </w:style>
  <w:style w:type="paragraph" w:customStyle="1" w:styleId="Default">
    <w:name w:val="Default"/>
    <w:rsid w:val="00D36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E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E74BE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4BEF"/>
    <w:pPr>
      <w:spacing w:after="200" w:line="240" w:lineRule="auto"/>
      <w:ind w:firstLine="0"/>
      <w:jc w:val="left"/>
    </w:pPr>
    <w:rPr>
      <w:rFonts w:ascii="Calibri" w:eastAsia="Batang" w:hAnsi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B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60A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A6A6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2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9B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B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1D32"/>
    <w:rPr>
      <w:color w:val="800080" w:themeColor="followedHyperlink"/>
      <w:u w:val="single"/>
    </w:rPr>
  </w:style>
  <w:style w:type="paragraph" w:customStyle="1" w:styleId="Default">
    <w:name w:val="Default"/>
    <w:rsid w:val="00D36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40E89-362B-4782-B6F2-8B188F70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Warwick Wainwright</dc:creator>
  <cp:lastModifiedBy>Warwick Wainwright</cp:lastModifiedBy>
  <cp:revision>7</cp:revision>
  <dcterms:created xsi:type="dcterms:W3CDTF">2018-06-02T10:16:00Z</dcterms:created>
  <dcterms:modified xsi:type="dcterms:W3CDTF">2018-06-02T10:38:00Z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http://www.zotero.org/styles/agriculture-ecosystems-and-environment</vt:lpwstr>
  </property>
  <property fmtid="{D5CDD505-2E9C-101B-9397-08002B2CF9AE}" pid="3" name="Mendeley Recent Style Name 0_1">
    <vt:lpwstr>Agriculture, Ecosystems and Environment</vt:lpwstr>
  </property>
  <property fmtid="{D5CDD505-2E9C-101B-9397-08002B2CF9AE}" pid="4" name="Mendeley Recent Style Id 1_1">
    <vt:lpwstr>http://www.zotero.org/styles/ecosystem-services</vt:lpwstr>
  </property>
  <property fmtid="{D5CDD505-2E9C-101B-9397-08002B2CF9AE}" pid="5" name="Mendeley Recent Style Name 1_1">
    <vt:lpwstr>Ecosystem Services</vt:lpwstr>
  </property>
  <property fmtid="{D5CDD505-2E9C-101B-9397-08002B2CF9AE}" pid="6" name="Mendeley Recent Style Id 2_1">
    <vt:lpwstr>http://www.zotero.org/styles/ecosystems</vt:lpwstr>
  </property>
  <property fmtid="{D5CDD505-2E9C-101B-9397-08002B2CF9AE}" pid="7" name="Mendeley Recent Style Name 2_1">
    <vt:lpwstr>Ecosystems</vt:lpwstr>
  </property>
  <property fmtid="{D5CDD505-2E9C-101B-9397-08002B2CF9AE}" pid="8" name="Mendeley Recent Style Id 3_1">
    <vt:lpwstr>http://csl.mendeley.com/styles/193037751/elsevier-harvard</vt:lpwstr>
  </property>
  <property fmtid="{D5CDD505-2E9C-101B-9397-08002B2CF9AE}" pid="9" name="Mendeley Recent Style Name 3_1">
    <vt:lpwstr>Elsevier - Harvard (with titles) - Warwick Wainwright, MSc Environmental Management</vt:lpwstr>
  </property>
  <property fmtid="{D5CDD505-2E9C-101B-9397-08002B2CF9AE}" pid="10" name="Mendeley Recent Style Id 4_1">
    <vt:lpwstr>http://www.zotero.org/styles/journal-of-rural-studies</vt:lpwstr>
  </property>
  <property fmtid="{D5CDD505-2E9C-101B-9397-08002B2CF9AE}" pid="11" name="Mendeley Recent Style Name 4_1">
    <vt:lpwstr>Journal of Rural Studies</vt:lpwstr>
  </property>
  <property fmtid="{D5CDD505-2E9C-101B-9397-08002B2CF9AE}" pid="12" name="Mendeley Recent Style Id 5_1">
    <vt:lpwstr>http://www.zotero.org/styles/land-use-policy</vt:lpwstr>
  </property>
  <property fmtid="{D5CDD505-2E9C-101B-9397-08002B2CF9AE}" pid="13" name="Mendeley Recent Style Name 5_1">
    <vt:lpwstr>Land Use Policy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http://www.zotero.org/styles/oxford-art-journal</vt:lpwstr>
  </property>
  <property fmtid="{D5CDD505-2E9C-101B-9397-08002B2CF9AE}" pid="21" name="Mendeley Recent Style Name 9_1">
    <vt:lpwstr>Oxford Art Journal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503198de-b242-3ff6-b753-aba7beb89282</vt:lpwstr>
  </property>
  <property fmtid="{D5CDD505-2E9C-101B-9397-08002B2CF9AE}" pid="24" name="Mendeley Citation Style_1">
    <vt:lpwstr>http://csl.mendeley.com/styles/193037751/elsevier-harvard</vt:lpwstr>
  </property>
</Properties>
</file>