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14452F"/>
          <w:sz w:val="44"/>
        </w:rPr>
        <w:t>GoodTip — where things stand</w:t>
      </w:r>
    </w:p>
    <w:p>
      <w:pPr>
        <w:spacing w:after="80"/>
      </w:pPr>
      <w:r>
        <w:rPr>
          <w:color w:val="5C6B62"/>
          <w:sz w:val="20"/>
        </w:rPr>
        <w:t>Erick Mbatha  ·  for Ian Hopkinson  ·  22 September 2026</w:t>
      </w:r>
    </w:p>
    <w:p>
      <w:pPr>
        <w:spacing w:before="0" w:after="240"/>
        <w:pBdr>
          <w:bottom w:val="single" w:sz="8" w:space="1" w:color="9BD616"/>
        </w:pBdr>
      </w:pPr>
    </w:p>
    <w:p>
      <w:pPr>
        <w:spacing w:after="80"/>
      </w:pPr>
      <w:r>
        <w:rPr>
          <w:b w:val="0"/>
          <w:sz w:val="20"/>
        </w:rPr>
        <w:t xml:space="preserve">Ian — thanks for the answers on all nine. Six of them closed the same day, including both that were waiting on a decision from you, and the pricing-page mismatch from this morning is fixed at the cause rather than patched. Same two tables, brought up to date. </w:t>
      </w:r>
      <w:r>
        <w:rPr>
          <w:b/>
          <w:sz w:val="20"/>
        </w:rPr>
        <w:t>The live site is untouched — all of this is on staging.goodtip.com.au.</w:t>
      </w:r>
    </w:p>
    <w:p>
      <w:pPr>
        <w:spacing w:after="280"/>
      </w:pPr>
      <w:r>
        <w:rPr>
          <w:b/>
          <w:color w:val="14452F"/>
          <w:sz w:val="19"/>
        </w:rPr>
        <w:t>38 items closed  ·  4 still open  ·  1,511 tests passing  ·  0 colour pairs below WCAG AA</w:t>
      </w:r>
    </w:p>
    <w:p>
      <w:pPr>
        <w:spacing w:before="40" w:after="40"/>
      </w:pPr>
      <w:r>
        <w:rPr>
          <w:rFonts w:ascii="Calibri" w:hAnsi="Calibri"/>
          <w:b/>
          <w:color w:val="14452F"/>
          <w:sz w:val="32"/>
        </w:rPr>
        <w:t>Table 1 — Done</w:t>
      </w:r>
    </w:p>
    <w:p>
      <w:pPr>
        <w:spacing w:after="160"/>
      </w:pPr>
      <w:r>
        <w:rPr>
          <w:i/>
          <w:color w:val="5C6B62"/>
          <w:sz w:val="19"/>
        </w:rPr>
        <w:t>Raised between 16 and 22 September. All of it is on staging now.</w:t>
      </w:r>
    </w:p>
    <w:tbl>
      <w:tblPr>
        <w:tblW w:type="auto" w:w="0"/>
        <w:jc w:val="left"/>
        <w:tblLayout w:type="fixed"/>
        <w:tblLook w:firstColumn="1" w:firstRow="1" w:lastColumn="0" w:lastRow="0" w:noHBand="0" w:noVBand="1" w:val="04A0"/>
        <w:tblLayout w:type="fixed"/>
        <w:tblBorders>
          <w:top w:val="single" w:sz="4" w:color="D8E0DA"/>
          <w:left w:val="single" w:sz="4" w:color="D8E0DA"/>
          <w:bottom w:val="single" w:sz="4" w:color="D8E0DA"/>
          <w:right w:val="single" w:sz="4" w:color="D8E0DA"/>
          <w:insideH w:val="single" w:sz="4" w:color="D8E0DA"/>
          <w:insideV w:val="single" w:sz="4" w:color="D8E0DA"/>
        </w:tblBorders>
        <w:tblCellMar>
          <w:top w:w="80" w:type="dxa"/>
          <w:left w:w="110" w:type="dxa"/>
          <w:bottom w:w="80" w:type="dxa"/>
          <w:right w:w="110" w:type="dxa"/>
        </w:tblCellMar>
      </w:tblPr>
      <w:tblGrid>
        <w:gridCol w:w="4857"/>
        <w:gridCol w:w="4857"/>
        <w:gridCol w:w="4857"/>
      </w:tblGrid>
      <w:tr>
        <w:trPr>
          <w:tblHeader w:val="true"/>
          <w:cantSplit/>
        </w:trPr>
        <w:tc>
          <w:tcPr>
            <w:tcW w:type="dxa" w:w="624"/>
            <w:shd w:val="clear" w:color="auto" w:fill="14452F"/>
          </w:tcPr>
          <w:p>
            <w:pPr>
              <w:spacing w:after="0" w:before="0" w:line="264" w:lineRule="auto"/>
            </w:pPr>
            <w:r/>
            <w:r>
              <w:rPr>
                <w:rFonts w:ascii="Calibri" w:hAnsi="Calibri"/>
                <w:b/>
                <w:color w:val="FFFFFF"/>
                <w:sz w:val="19"/>
              </w:rPr>
              <w:t>#</w:t>
            </w:r>
          </w:p>
        </w:tc>
        <w:tc>
          <w:tcPr>
            <w:tcW w:type="dxa" w:w="4649"/>
            <w:shd w:val="clear" w:color="auto" w:fill="14452F"/>
          </w:tcPr>
          <w:p>
            <w:pPr>
              <w:spacing w:after="0" w:before="0" w:line="264" w:lineRule="auto"/>
            </w:pPr>
            <w:r/>
            <w:r>
              <w:rPr>
                <w:rFonts w:ascii="Calibri" w:hAnsi="Calibri"/>
                <w:b/>
                <w:color w:val="FFFFFF"/>
                <w:sz w:val="19"/>
              </w:rPr>
              <w:t>What you raised</w:t>
            </w:r>
          </w:p>
        </w:tc>
        <w:tc>
          <w:tcPr>
            <w:tcW w:type="dxa" w:w="9298"/>
            <w:shd w:val="clear" w:color="auto" w:fill="14452F"/>
          </w:tcPr>
          <w:p>
            <w:pPr>
              <w:spacing w:after="0" w:before="0" w:line="264" w:lineRule="auto"/>
            </w:pPr>
            <w:r/>
            <w:r>
              <w:rPr>
                <w:rFonts w:ascii="Calibri" w:hAnsi="Calibri"/>
                <w:b/>
                <w:color w:val="FFFFFF"/>
                <w:sz w:val="19"/>
              </w:rPr>
              <w:t>How it is solved</w:t>
            </w:r>
          </w:p>
        </w:tc>
      </w:tr>
      <w:tr>
        <w:trPr>
          <w:cantSplit/>
        </w:trPr>
        <w:tc>
          <w:tcPr>
            <w:tcW w:type="dxa" w:w="624"/>
          </w:tcPr>
          <w:p>
            <w:pPr>
              <w:spacing w:after="0" w:before="0" w:line="264" w:lineRule="auto"/>
            </w:pPr>
            <w:r/>
            <w:r>
              <w:rPr>
                <w:rFonts w:ascii="Calibri" w:hAnsi="Calibri"/>
                <w:b w:val="0"/>
                <w:color w:val="12211A"/>
                <w:sz w:val="19"/>
              </w:rPr>
              <w:t>1</w:t>
            </w:r>
          </w:p>
        </w:tc>
        <w:tc>
          <w:tcPr>
            <w:tcW w:type="dxa" w:w="4649"/>
          </w:tcPr>
          <w:p>
            <w:pPr>
              <w:spacing w:after="0" w:before="0" w:line="264" w:lineRule="auto"/>
            </w:pPr>
            <w:r/>
            <w:r>
              <w:rPr>
                <w:rFonts w:ascii="Calibri" w:hAnsi="Calibri"/>
                <w:b w:val="0"/>
                <w:color w:val="12211A"/>
                <w:sz w:val="19"/>
              </w:rPr>
              <w:t>The dashboard opened on State of Origin — “ancient history”</w:t>
            </w:r>
          </w:p>
        </w:tc>
        <w:tc>
          <w:tcPr>
            <w:tcW w:type="dxa" w:w="9298"/>
          </w:tcPr>
          <w:p>
            <w:pPr>
              <w:spacing w:after="0" w:before="0" w:line="264" w:lineRule="auto"/>
            </w:pPr>
            <w:r/>
            <w:r>
              <w:rPr>
                <w:rFonts w:ascii="Calibri" w:hAnsi="Calibri"/>
                <w:b w:val="0"/>
                <w:color w:val="12211A"/>
                <w:sz w:val="19"/>
              </w:rPr>
              <w:t>Representative rounds are never the default landing any more. Origin still appears if it is genuinely the only thing open.</w:t>
            </w:r>
          </w:p>
        </w:tc>
      </w:tr>
      <w:tr>
        <w:trPr>
          <w:cantSplit/>
        </w:trPr>
        <w:tc>
          <w:tcPr>
            <w:tcW w:type="dxa" w:w="624"/>
            <w:shd w:val="clear" w:color="auto" w:fill="F2F6F3"/>
          </w:tcPr>
          <w:p>
            <w:pPr>
              <w:spacing w:after="0" w:before="0" w:line="264" w:lineRule="auto"/>
            </w:pPr>
            <w:r/>
            <w:r>
              <w:rPr>
                <w:rFonts w:ascii="Calibri" w:hAnsi="Calibri"/>
                <w:b w:val="0"/>
                <w:color w:val="12211A"/>
                <w:sz w:val="19"/>
              </w:rPr>
              <w:t>2</w:t>
            </w:r>
          </w:p>
        </w:tc>
        <w:tc>
          <w:tcPr>
            <w:tcW w:type="dxa" w:w="4649"/>
            <w:shd w:val="clear" w:color="auto" w:fill="F2F6F3"/>
          </w:tcPr>
          <w:p>
            <w:pPr>
              <w:spacing w:after="0" w:before="0" w:line="264" w:lineRule="auto"/>
            </w:pPr>
            <w:r/>
            <w:r>
              <w:rPr>
                <w:rFonts w:ascii="Calibri" w:hAnsi="Calibri"/>
                <w:b w:val="0"/>
                <w:color w:val="12211A"/>
                <w:sz w:val="19"/>
              </w:rPr>
              <w:t>A late joiner should be told they have been given the away games</w:t>
            </w:r>
          </w:p>
        </w:tc>
        <w:tc>
          <w:tcPr>
            <w:tcW w:type="dxa" w:w="9298"/>
            <w:shd w:val="clear" w:color="auto" w:fill="F2F6F3"/>
          </w:tcPr>
          <w:p>
            <w:pPr>
              <w:spacing w:after="0" w:before="0" w:line="264" w:lineRule="auto"/>
            </w:pPr>
            <w:r/>
            <w:r>
              <w:rPr>
                <w:rFonts w:ascii="Calibri" w:hAnsi="Calibri"/>
                <w:b w:val="0"/>
                <w:color w:val="12211A"/>
                <w:sz w:val="19"/>
              </w:rPr>
              <w:t>Done — but it now says what actually happened. Joining carries your real picks across first, so the message reads “14 of your own tips brought across, 3 games filled with the away side.”</w:t>
            </w:r>
          </w:p>
        </w:tc>
      </w:tr>
      <w:tr>
        <w:trPr>
          <w:cantSplit/>
        </w:trPr>
        <w:tc>
          <w:tcPr>
            <w:tcW w:type="dxa" w:w="624"/>
          </w:tcPr>
          <w:p>
            <w:pPr>
              <w:spacing w:after="0" w:before="0" w:line="264" w:lineRule="auto"/>
            </w:pPr>
            <w:r/>
            <w:r>
              <w:rPr>
                <w:rFonts w:ascii="Calibri" w:hAnsi="Calibri"/>
                <w:b w:val="0"/>
                <w:color w:val="12211A"/>
                <w:sz w:val="19"/>
              </w:rPr>
              <w:t>3</w:t>
            </w:r>
          </w:p>
        </w:tc>
        <w:tc>
          <w:tcPr>
            <w:tcW w:type="dxa" w:w="4649"/>
          </w:tcPr>
          <w:p>
            <w:pPr>
              <w:spacing w:after="0" w:before="0" w:line="264" w:lineRule="auto"/>
            </w:pPr>
            <w:r/>
            <w:r>
              <w:rPr>
                <w:rFonts w:ascii="Calibri" w:hAnsi="Calibri"/>
                <w:b w:val="0"/>
                <w:color w:val="12211A"/>
                <w:sz w:val="19"/>
              </w:rPr>
              <w:t>Hide “Gamblers Help” without deleting it</w:t>
            </w:r>
          </w:p>
        </w:tc>
        <w:tc>
          <w:tcPr>
            <w:tcW w:type="dxa" w:w="9298"/>
          </w:tcPr>
          <w:p>
            <w:pPr>
              <w:spacing w:after="0" w:before="0" w:line="264" w:lineRule="auto"/>
            </w:pPr>
            <w:r/>
            <w:r>
              <w:rPr>
                <w:rFonts w:ascii="Calibri" w:hAnsi="Calibri"/>
                <w:b w:val="0"/>
                <w:color w:val="12211A"/>
                <w:sz w:val="19"/>
              </w:rPr>
              <w:t>A hide switch on every charity. The row, the logo and the donation history all stay. Gamblers Help is hidden by a migration so it holds on every database, including yours.</w:t>
            </w:r>
          </w:p>
        </w:tc>
      </w:tr>
      <w:tr>
        <w:trPr>
          <w:cantSplit/>
        </w:trPr>
        <w:tc>
          <w:tcPr>
            <w:tcW w:type="dxa" w:w="624"/>
            <w:shd w:val="clear" w:color="auto" w:fill="F2F6F3"/>
          </w:tcPr>
          <w:p>
            <w:pPr>
              <w:spacing w:after="0" w:before="0" w:line="264" w:lineRule="auto"/>
            </w:pPr>
            <w:r/>
            <w:r>
              <w:rPr>
                <w:rFonts w:ascii="Calibri" w:hAnsi="Calibri"/>
                <w:b w:val="0"/>
                <w:color w:val="12211A"/>
                <w:sz w:val="19"/>
              </w:rPr>
              <w:t>4</w:t>
            </w:r>
          </w:p>
        </w:tc>
        <w:tc>
          <w:tcPr>
            <w:tcW w:type="dxa" w:w="4649"/>
            <w:shd w:val="clear" w:color="auto" w:fill="F2F6F3"/>
          </w:tcPr>
          <w:p>
            <w:pPr>
              <w:spacing w:after="0" w:before="0" w:line="264" w:lineRule="auto"/>
            </w:pPr>
            <w:r/>
            <w:r>
              <w:rPr>
                <w:rFonts w:ascii="Calibri" w:hAnsi="Calibri"/>
                <w:b w:val="0"/>
                <w:color w:val="12211A"/>
                <w:sz w:val="19"/>
              </w:rPr>
              <w:t>“See the read” sounds strange</w:t>
            </w:r>
          </w:p>
        </w:tc>
        <w:tc>
          <w:tcPr>
            <w:tcW w:type="dxa" w:w="9298"/>
            <w:shd w:val="clear" w:color="auto" w:fill="F2F6F3"/>
          </w:tcPr>
          <w:p>
            <w:pPr>
              <w:spacing w:after="0" w:before="0" w:line="264" w:lineRule="auto"/>
            </w:pPr>
            <w:r/>
            <w:r>
              <w:rPr>
                <w:rFonts w:ascii="Calibri" w:hAnsi="Calibri"/>
                <w:b w:val="0"/>
                <w:color w:val="12211A"/>
                <w:sz w:val="19"/>
              </w:rPr>
              <w:t>Now “Read the match”, with “We look into the past to help you read the match.” Changed everywhere it appeared, not just the headline.</w:t>
            </w:r>
          </w:p>
        </w:tc>
      </w:tr>
      <w:tr>
        <w:trPr>
          <w:cantSplit/>
        </w:trPr>
        <w:tc>
          <w:tcPr>
            <w:tcW w:type="dxa" w:w="624"/>
          </w:tcPr>
          <w:p>
            <w:pPr>
              <w:spacing w:after="0" w:before="0" w:line="264" w:lineRule="auto"/>
            </w:pPr>
            <w:r/>
            <w:r>
              <w:rPr>
                <w:rFonts w:ascii="Calibri" w:hAnsi="Calibri"/>
                <w:b w:val="0"/>
                <w:color w:val="12211A"/>
                <w:sz w:val="19"/>
              </w:rPr>
              <w:t>5</w:t>
            </w:r>
          </w:p>
        </w:tc>
        <w:tc>
          <w:tcPr>
            <w:tcW w:type="dxa" w:w="4649"/>
          </w:tcPr>
          <w:p>
            <w:pPr>
              <w:spacing w:after="0" w:before="0" w:line="264" w:lineRule="auto"/>
            </w:pPr>
            <w:r/>
            <w:r>
              <w:rPr>
                <w:rFonts w:ascii="Calibri" w:hAnsi="Calibri"/>
                <w:b w:val="0"/>
                <w:color w:val="12211A"/>
                <w:sz w:val="19"/>
              </w:rPr>
              <w:t>Can messages be edited or deleted?</w:t>
            </w:r>
          </w:p>
        </w:tc>
        <w:tc>
          <w:tcPr>
            <w:tcW w:type="dxa" w:w="9298"/>
          </w:tcPr>
          <w:p>
            <w:pPr>
              <w:spacing w:after="0" w:before="0" w:line="264" w:lineRule="auto"/>
            </w:pPr>
            <w:r/>
            <w:r>
              <w:rPr>
                <w:rFonts w:ascii="Calibri" w:hAnsi="Calibri"/>
                <w:b w:val="0"/>
                <w:color w:val="12211A"/>
                <w:sz w:val="19"/>
              </w:rPr>
              <w:t>Both. An edit is marked “edited”. A delete leaves “This message was deleted” so replies still answer something. Admins can remove a message but never rewrite one.</w:t>
            </w:r>
          </w:p>
        </w:tc>
      </w:tr>
      <w:tr>
        <w:trPr>
          <w:cantSplit/>
        </w:trPr>
        <w:tc>
          <w:tcPr>
            <w:tcW w:type="dxa" w:w="624"/>
            <w:shd w:val="clear" w:color="auto" w:fill="F2F6F3"/>
          </w:tcPr>
          <w:p>
            <w:pPr>
              <w:spacing w:after="0" w:before="0" w:line="264" w:lineRule="auto"/>
            </w:pPr>
            <w:r/>
            <w:r>
              <w:rPr>
                <w:rFonts w:ascii="Calibri" w:hAnsi="Calibri"/>
                <w:b w:val="0"/>
                <w:color w:val="12211A"/>
                <w:sz w:val="19"/>
              </w:rPr>
              <w:t>6</w:t>
            </w:r>
          </w:p>
        </w:tc>
        <w:tc>
          <w:tcPr>
            <w:tcW w:type="dxa" w:w="4649"/>
            <w:shd w:val="clear" w:color="auto" w:fill="F2F6F3"/>
          </w:tcPr>
          <w:p>
            <w:pPr>
              <w:spacing w:after="0" w:before="0" w:line="264" w:lineRule="auto"/>
            </w:pPr>
            <w:r/>
            <w:r>
              <w:rPr>
                <w:rFonts w:ascii="Calibri" w:hAnsi="Calibri"/>
                <w:b w:val="0"/>
                <w:color w:val="12211A"/>
                <w:sz w:val="19"/>
              </w:rPr>
              <w:t>Voice notes cut off after a few seconds</w:t>
            </w:r>
          </w:p>
        </w:tc>
        <w:tc>
          <w:tcPr>
            <w:tcW w:type="dxa" w:w="9298"/>
            <w:shd w:val="clear" w:color="auto" w:fill="F2F6F3"/>
          </w:tcPr>
          <w:p>
            <w:pPr>
              <w:spacing w:after="0" w:before="0" w:line="264" w:lineRule="auto"/>
            </w:pPr>
            <w:r/>
            <w:r>
              <w:rPr>
                <w:rFonts w:ascii="Calibri" w:hAnsi="Calibri"/>
                <w:b w:val="0"/>
                <w:color w:val="12211A"/>
                <w:sz w:val="19"/>
              </w:rPr>
              <w:t>The conversation refreshed itself every 12 seconds and destroyed the player mid-sentence. The refresh now waits while something is playing.</w:t>
            </w:r>
          </w:p>
        </w:tc>
      </w:tr>
      <w:tr>
        <w:trPr>
          <w:cantSplit/>
        </w:trPr>
        <w:tc>
          <w:tcPr>
            <w:tcW w:type="dxa" w:w="624"/>
          </w:tcPr>
          <w:p>
            <w:pPr>
              <w:spacing w:after="0" w:before="0" w:line="264" w:lineRule="auto"/>
            </w:pPr>
            <w:r/>
            <w:r>
              <w:rPr>
                <w:rFonts w:ascii="Calibri" w:hAnsi="Calibri"/>
                <w:b w:val="0"/>
                <w:color w:val="12211A"/>
                <w:sz w:val="19"/>
              </w:rPr>
              <w:t>7</w:t>
            </w:r>
          </w:p>
        </w:tc>
        <w:tc>
          <w:tcPr>
            <w:tcW w:type="dxa" w:w="4649"/>
          </w:tcPr>
          <w:p>
            <w:pPr>
              <w:spacing w:after="0" w:before="0" w:line="264" w:lineRule="auto"/>
            </w:pPr>
            <w:r/>
            <w:r>
              <w:rPr>
                <w:rFonts w:ascii="Calibri" w:hAnsi="Calibri"/>
                <w:b w:val="0"/>
                <w:color w:val="12211A"/>
                <w:sz w:val="19"/>
              </w:rPr>
              <w:t>Dark mode — the selected charity is hard to see</w:t>
            </w:r>
          </w:p>
        </w:tc>
        <w:tc>
          <w:tcPr>
            <w:tcW w:type="dxa" w:w="9298"/>
          </w:tcPr>
          <w:p>
            <w:pPr>
              <w:spacing w:after="0" w:before="0" w:line="264" w:lineRule="auto"/>
            </w:pPr>
            <w:r/>
            <w:r>
              <w:rPr>
                <w:rFonts w:ascii="Calibri" w:hAnsi="Calibri"/>
                <w:b w:val="0"/>
                <w:color w:val="12211A"/>
                <w:sz w:val="19"/>
              </w:rPr>
              <w:t>The tick box was dark green on a dark green card. It now takes the lime, and the chosen card brightens its name and logo so the selection is obvious.</w:t>
            </w:r>
          </w:p>
        </w:tc>
      </w:tr>
      <w:tr>
        <w:trPr>
          <w:cantSplit/>
        </w:trPr>
        <w:tc>
          <w:tcPr>
            <w:tcW w:type="dxa" w:w="624"/>
            <w:shd w:val="clear" w:color="auto" w:fill="F2F6F3"/>
          </w:tcPr>
          <w:p>
            <w:pPr>
              <w:spacing w:after="0" w:before="0" w:line="264" w:lineRule="auto"/>
            </w:pPr>
            <w:r/>
            <w:r>
              <w:rPr>
                <w:rFonts w:ascii="Calibri" w:hAnsi="Calibri"/>
                <w:b w:val="0"/>
                <w:color w:val="12211A"/>
                <w:sz w:val="19"/>
              </w:rPr>
              <w:t>8</w:t>
            </w:r>
          </w:p>
        </w:tc>
        <w:tc>
          <w:tcPr>
            <w:tcW w:type="dxa" w:w="4649"/>
            <w:shd w:val="clear" w:color="auto" w:fill="F2F6F3"/>
          </w:tcPr>
          <w:p>
            <w:pPr>
              <w:spacing w:after="0" w:before="0" w:line="264" w:lineRule="auto"/>
            </w:pPr>
            <w:r/>
            <w:r>
              <w:rPr>
                <w:rFonts w:ascii="Calibri" w:hAnsi="Calibri"/>
                <w:b w:val="0"/>
                <w:color w:val="12211A"/>
                <w:sz w:val="19"/>
              </w:rPr>
              <w:t>Organisers are responsible for the culture of their group</w:t>
            </w:r>
          </w:p>
        </w:tc>
        <w:tc>
          <w:tcPr>
            <w:tcW w:type="dxa" w:w="9298"/>
            <w:shd w:val="clear" w:color="auto" w:fill="F2F6F3"/>
          </w:tcPr>
          <w:p>
            <w:pPr>
              <w:spacing w:after="0" w:before="0" w:line="264" w:lineRule="auto"/>
            </w:pPr>
            <w:r/>
            <w:r>
              <w:rPr>
                <w:rFonts w:ascii="Calibri" w:hAnsi="Calibri"/>
                <w:b w:val="0"/>
                <w:color w:val="12211A"/>
                <w:sz w:val="19"/>
              </w:rPr>
              <w:t>Added to the plain-English summary beside the sign-up checkbox, not buried in the Terms. It is the second of the three points an organiser reads before agreeing.</w:t>
            </w:r>
          </w:p>
        </w:tc>
      </w:tr>
      <w:tr>
        <w:trPr>
          <w:cantSplit/>
        </w:trPr>
        <w:tc>
          <w:tcPr>
            <w:tcW w:type="dxa" w:w="624"/>
          </w:tcPr>
          <w:p>
            <w:pPr>
              <w:spacing w:after="0" w:before="0" w:line="264" w:lineRule="auto"/>
            </w:pPr>
            <w:r/>
            <w:r>
              <w:rPr>
                <w:rFonts w:ascii="Calibri" w:hAnsi="Calibri"/>
                <w:b w:val="0"/>
                <w:color w:val="12211A"/>
                <w:sz w:val="19"/>
              </w:rPr>
              <w:t>9</w:t>
            </w:r>
          </w:p>
        </w:tc>
        <w:tc>
          <w:tcPr>
            <w:tcW w:type="dxa" w:w="4649"/>
          </w:tcPr>
          <w:p>
            <w:pPr>
              <w:spacing w:after="0" w:before="0" w:line="264" w:lineRule="auto"/>
            </w:pPr>
            <w:r/>
            <w:r>
              <w:rPr>
                <w:rFonts w:ascii="Calibri" w:hAnsi="Calibri"/>
                <w:b w:val="0"/>
                <w:color w:val="12211A"/>
                <w:sz w:val="19"/>
              </w:rPr>
              <w:t>“It asked me to tip again when I already have tips”</w:t>
            </w:r>
          </w:p>
        </w:tc>
        <w:tc>
          <w:tcPr>
            <w:tcW w:type="dxa" w:w="9298"/>
          </w:tcPr>
          <w:p>
            <w:pPr>
              <w:spacing w:after="0" w:before="0" w:line="264" w:lineRule="auto"/>
            </w:pPr>
            <w:r/>
            <w:r>
              <w:rPr>
                <w:rFonts w:ascii="Calibri" w:hAnsi="Calibri"/>
                <w:b w:val="0"/>
                <w:color w:val="12211A"/>
                <w:sz w:val="19"/>
              </w:rPr>
              <w:t>Confirmed fixed. The picks were carrying across correctly all along; what was wrong was the message shown afterwards, which is item 2.</w:t>
            </w:r>
          </w:p>
        </w:tc>
      </w:tr>
      <w:tr>
        <w:trPr>
          <w:cantSplit/>
        </w:trPr>
        <w:tc>
          <w:tcPr>
            <w:tcW w:type="dxa" w:w="624"/>
            <w:shd w:val="clear" w:color="auto" w:fill="F2F6F3"/>
          </w:tcPr>
          <w:p>
            <w:pPr>
              <w:spacing w:after="0" w:before="0" w:line="264" w:lineRule="auto"/>
            </w:pPr>
            <w:r/>
            <w:r>
              <w:rPr>
                <w:rFonts w:ascii="Calibri" w:hAnsi="Calibri"/>
                <w:b w:val="0"/>
                <w:color w:val="12211A"/>
                <w:sz w:val="19"/>
              </w:rPr>
              <w:t>10</w:t>
            </w:r>
          </w:p>
        </w:tc>
        <w:tc>
          <w:tcPr>
            <w:tcW w:type="dxa" w:w="4649"/>
            <w:shd w:val="clear" w:color="auto" w:fill="F2F6F3"/>
          </w:tcPr>
          <w:p>
            <w:pPr>
              <w:spacing w:after="0" w:before="0" w:line="264" w:lineRule="auto"/>
            </w:pPr>
            <w:r/>
            <w:r>
              <w:rPr>
                <w:rFonts w:ascii="Calibri" w:hAnsi="Calibri"/>
                <w:b w:val="0"/>
                <w:color w:val="12211A"/>
                <w:sz w:val="19"/>
              </w:rPr>
              <w:t>Mark the $799 plan “most popular”</w:t>
            </w:r>
          </w:p>
        </w:tc>
        <w:tc>
          <w:tcPr>
            <w:tcW w:type="dxa" w:w="9298"/>
            <w:shd w:val="clear" w:color="auto" w:fill="F2F6F3"/>
          </w:tcPr>
          <w:p>
            <w:pPr>
              <w:spacing w:after="0" w:before="0" w:line="264" w:lineRule="auto"/>
            </w:pPr>
            <w:r/>
            <w:r>
              <w:rPr>
                <w:rFonts w:ascii="Calibri" w:hAnsi="Calibri"/>
                <w:b w:val="0"/>
                <w:color w:val="12211A"/>
                <w:sz w:val="19"/>
              </w:rPr>
              <w:t>Done, and it now stands out properly: a lime edge down the whole row rather than a one-pixel border.</w:t>
            </w:r>
          </w:p>
        </w:tc>
      </w:tr>
      <w:tr>
        <w:trPr>
          <w:cantSplit/>
        </w:trPr>
        <w:tc>
          <w:tcPr>
            <w:tcW w:type="dxa" w:w="624"/>
          </w:tcPr>
          <w:p>
            <w:pPr>
              <w:spacing w:after="0" w:before="0" w:line="264" w:lineRule="auto"/>
            </w:pPr>
            <w:r/>
            <w:r>
              <w:rPr>
                <w:rFonts w:ascii="Calibri" w:hAnsi="Calibri"/>
                <w:b w:val="0"/>
                <w:color w:val="12211A"/>
                <w:sz w:val="19"/>
              </w:rPr>
              <w:t>11</w:t>
            </w:r>
          </w:p>
        </w:tc>
        <w:tc>
          <w:tcPr>
            <w:tcW w:type="dxa" w:w="4649"/>
          </w:tcPr>
          <w:p>
            <w:pPr>
              <w:spacing w:after="0" w:before="0" w:line="264" w:lineRule="auto"/>
            </w:pPr>
            <w:r/>
            <w:r>
              <w:rPr>
                <w:rFonts w:ascii="Calibri" w:hAnsi="Calibri"/>
                <w:b w:val="0"/>
                <w:color w:val="12211A"/>
                <w:sz w:val="19"/>
              </w:rPr>
              <w:t>Add a “groups” tag, and to the plan above it</w:t>
            </w:r>
          </w:p>
        </w:tc>
        <w:tc>
          <w:tcPr>
            <w:tcW w:type="dxa" w:w="9298"/>
          </w:tcPr>
          <w:p>
            <w:pPr>
              <w:spacing w:after="0" w:before="0" w:line="264" w:lineRule="auto"/>
            </w:pPr>
            <w:r/>
            <w:r>
              <w:rPr>
                <w:rFonts w:ascii="Calibri" w:hAnsi="Calibri"/>
                <w:b w:val="0"/>
                <w:color w:val="12211A"/>
                <w:sz w:val="19"/>
              </w:rPr>
              <w:t>Every plan that includes groups now wears the tag. Enterprise+ was missing it entirely and has it now.</w:t>
            </w:r>
          </w:p>
        </w:tc>
      </w:tr>
      <w:tr>
        <w:trPr>
          <w:cantSplit/>
        </w:trPr>
        <w:tc>
          <w:tcPr>
            <w:tcW w:type="dxa" w:w="624"/>
            <w:shd w:val="clear" w:color="auto" w:fill="F2F6F3"/>
          </w:tcPr>
          <w:p>
            <w:pPr>
              <w:spacing w:after="0" w:before="0" w:line="264" w:lineRule="auto"/>
            </w:pPr>
            <w:r/>
            <w:r>
              <w:rPr>
                <w:rFonts w:ascii="Calibri" w:hAnsi="Calibri"/>
                <w:b w:val="0"/>
                <w:color w:val="12211A"/>
                <w:sz w:val="19"/>
              </w:rPr>
              <w:t>12</w:t>
            </w:r>
          </w:p>
        </w:tc>
        <w:tc>
          <w:tcPr>
            <w:tcW w:type="dxa" w:w="4649"/>
            <w:shd w:val="clear" w:color="auto" w:fill="F2F6F3"/>
          </w:tcPr>
          <w:p>
            <w:pPr>
              <w:spacing w:after="0" w:before="0" w:line="264" w:lineRule="auto"/>
            </w:pPr>
            <w:r/>
            <w:r>
              <w:rPr>
                <w:rFonts w:ascii="Calibri" w:hAnsi="Calibri"/>
                <w:b w:val="0"/>
                <w:color w:val="12211A"/>
                <w:sz w:val="19"/>
              </w:rPr>
              <w:t>Where do people choose a plan during sign-up?</w:t>
            </w:r>
          </w:p>
        </w:tc>
        <w:tc>
          <w:tcPr>
            <w:tcW w:type="dxa" w:w="9298"/>
            <w:shd w:val="clear" w:color="auto" w:fill="F2F6F3"/>
          </w:tcPr>
          <w:p>
            <w:pPr>
              <w:spacing w:after="0" w:before="0" w:line="264" w:lineRule="auto"/>
            </w:pPr>
            <w:r/>
            <w:r>
              <w:rPr>
                <w:rFonts w:ascii="Calibri" w:hAnsi="Calibri"/>
                <w:b w:val="0"/>
                <w:color w:val="12211A"/>
                <w:sz w:val="19"/>
              </w:rPr>
              <w:t>A recommendation under the size field that follows the number as you type, and again on the review screen. Asking for groups raises it, and it says why it picked that plan.</w:t>
            </w:r>
          </w:p>
        </w:tc>
      </w:tr>
      <w:tr>
        <w:trPr>
          <w:cantSplit/>
        </w:trPr>
        <w:tc>
          <w:tcPr>
            <w:tcW w:type="dxa" w:w="624"/>
          </w:tcPr>
          <w:p>
            <w:pPr>
              <w:spacing w:after="0" w:before="0" w:line="264" w:lineRule="auto"/>
            </w:pPr>
            <w:r/>
            <w:r>
              <w:rPr>
                <w:rFonts w:ascii="Calibri" w:hAnsi="Calibri"/>
                <w:b w:val="0"/>
                <w:color w:val="12211A"/>
                <w:sz w:val="19"/>
              </w:rPr>
              <w:t>13</w:t>
            </w:r>
          </w:p>
        </w:tc>
        <w:tc>
          <w:tcPr>
            <w:tcW w:type="dxa" w:w="4649"/>
          </w:tcPr>
          <w:p>
            <w:pPr>
              <w:spacing w:after="0" w:before="0" w:line="264" w:lineRule="auto"/>
            </w:pPr>
            <w:r/>
            <w:r>
              <w:rPr>
                <w:rFonts w:ascii="Calibri" w:hAnsi="Calibri"/>
                <w:b w:val="0"/>
                <w:color w:val="12211A"/>
                <w:sz w:val="19"/>
              </w:rPr>
              <w:t>Matches stuck “still going” at 75 minutes</w:t>
            </w:r>
          </w:p>
        </w:tc>
        <w:tc>
          <w:tcPr>
            <w:tcW w:type="dxa" w:w="9298"/>
          </w:tcPr>
          <w:p>
            <w:pPr>
              <w:spacing w:after="0" w:before="0" w:line="264" w:lineRule="auto"/>
            </w:pPr>
            <w:r/>
            <w:r>
              <w:rPr>
                <w:rFonts w:ascii="Calibri" w:hAnsi="Calibri"/>
                <w:b w:val="0"/>
                <w:color w:val="12211A"/>
                <w:sz w:val="19"/>
              </w:rPr>
              <w:t>The feed drops finished games and nothing in the system disbelieved the live flag. Matches now lapse on staleness, and a sweep closes out the round.</w:t>
            </w:r>
          </w:p>
        </w:tc>
      </w:tr>
      <w:tr>
        <w:trPr>
          <w:cantSplit/>
        </w:trPr>
        <w:tc>
          <w:tcPr>
            <w:tcW w:type="dxa" w:w="624"/>
            <w:shd w:val="clear" w:color="auto" w:fill="F2F6F3"/>
          </w:tcPr>
          <w:p>
            <w:pPr>
              <w:spacing w:after="0" w:before="0" w:line="264" w:lineRule="auto"/>
            </w:pPr>
            <w:r/>
            <w:r>
              <w:rPr>
                <w:rFonts w:ascii="Calibri" w:hAnsi="Calibri"/>
                <w:b w:val="0"/>
                <w:color w:val="12211A"/>
                <w:sz w:val="19"/>
              </w:rPr>
              <w:t>14</w:t>
            </w:r>
          </w:p>
        </w:tc>
        <w:tc>
          <w:tcPr>
            <w:tcW w:type="dxa" w:w="4649"/>
            <w:shd w:val="clear" w:color="auto" w:fill="F2F6F3"/>
          </w:tcPr>
          <w:p>
            <w:pPr>
              <w:spacing w:after="0" w:before="0" w:line="264" w:lineRule="auto"/>
            </w:pPr>
            <w:r/>
            <w:r>
              <w:rPr>
                <w:rFonts w:ascii="Calibri" w:hAnsi="Calibri"/>
                <w:b w:val="0"/>
                <w:color w:val="12211A"/>
                <w:sz w:val="19"/>
              </w:rPr>
              <w:t>Sponsorship should be visible on the pricing page</w:t>
            </w:r>
          </w:p>
        </w:tc>
        <w:tc>
          <w:tcPr>
            <w:tcW w:type="dxa" w:w="9298"/>
            <w:shd w:val="clear" w:color="auto" w:fill="F2F6F3"/>
          </w:tcPr>
          <w:p>
            <w:pPr>
              <w:spacing w:after="0" w:before="0" w:line="264" w:lineRule="auto"/>
            </w:pPr>
            <w:r/>
            <w:r>
              <w:rPr>
                <w:rFonts w:ascii="Calibri" w:hAnsi="Calibri"/>
                <w:b w:val="0"/>
                <w:color w:val="12211A"/>
                <w:sz w:val="19"/>
              </w:rPr>
              <w:t>A band of its own after the prices, a button in the hero that shivers every eight seconds to draw the eye, and a footer link.</w:t>
            </w:r>
          </w:p>
        </w:tc>
      </w:tr>
      <w:tr>
        <w:trPr>
          <w:cantSplit/>
        </w:trPr>
        <w:tc>
          <w:tcPr>
            <w:tcW w:type="dxa" w:w="624"/>
          </w:tcPr>
          <w:p>
            <w:pPr>
              <w:spacing w:after="0" w:before="0" w:line="264" w:lineRule="auto"/>
            </w:pPr>
            <w:r/>
            <w:r>
              <w:rPr>
                <w:rFonts w:ascii="Calibri" w:hAnsi="Calibri"/>
                <w:b w:val="0"/>
                <w:color w:val="12211A"/>
                <w:sz w:val="19"/>
              </w:rPr>
              <w:t>15</w:t>
            </w:r>
          </w:p>
        </w:tc>
        <w:tc>
          <w:tcPr>
            <w:tcW w:type="dxa" w:w="4649"/>
          </w:tcPr>
          <w:p>
            <w:pPr>
              <w:spacing w:after="0" w:before="0" w:line="264" w:lineRule="auto"/>
            </w:pPr>
            <w:r/>
            <w:r>
              <w:rPr>
                <w:rFonts w:ascii="Calibri" w:hAnsi="Calibri"/>
                <w:b w:val="0"/>
                <w:color w:val="12211A"/>
                <w:sz w:val="19"/>
              </w:rPr>
              <w:t>The footer Terms and Privacy links “look small and not clickable”</w:t>
            </w:r>
          </w:p>
        </w:tc>
        <w:tc>
          <w:tcPr>
            <w:tcW w:type="dxa" w:w="9298"/>
          </w:tcPr>
          <w:p>
            <w:pPr>
              <w:spacing w:after="0" w:before="0" w:line="264" w:lineRule="auto"/>
            </w:pPr>
            <w:r/>
            <w:r>
              <w:rPr>
                <w:rFonts w:ascii="Calibri" w:hAnsi="Calibri"/>
                <w:b w:val="0"/>
                <w:color w:val="12211A"/>
                <w:sz w:val="19"/>
              </w:rPr>
              <w:t>Full names now, set as bordered pills with an icon each, so they read as controls rather than fine print.</w:t>
            </w:r>
          </w:p>
        </w:tc>
      </w:tr>
      <w:tr>
        <w:trPr>
          <w:cantSplit/>
        </w:trPr>
        <w:tc>
          <w:tcPr>
            <w:tcW w:type="dxa" w:w="624"/>
            <w:shd w:val="clear" w:color="auto" w:fill="F2F6F3"/>
          </w:tcPr>
          <w:p>
            <w:pPr>
              <w:spacing w:after="0" w:before="0" w:line="264" w:lineRule="auto"/>
            </w:pPr>
            <w:r/>
            <w:r>
              <w:rPr>
                <w:rFonts w:ascii="Calibri" w:hAnsi="Calibri"/>
                <w:b w:val="0"/>
                <w:color w:val="12211A"/>
                <w:sz w:val="19"/>
              </w:rPr>
              <w:t>16</w:t>
            </w:r>
          </w:p>
        </w:tc>
        <w:tc>
          <w:tcPr>
            <w:tcW w:type="dxa" w:w="4649"/>
            <w:shd w:val="clear" w:color="auto" w:fill="F2F6F3"/>
          </w:tcPr>
          <w:p>
            <w:pPr>
              <w:spacing w:after="0" w:before="0" w:line="264" w:lineRule="auto"/>
            </w:pPr>
            <w:r/>
            <w:r>
              <w:rPr>
                <w:rFonts w:ascii="Calibri" w:hAnsi="Calibri"/>
                <w:b w:val="0"/>
                <w:color w:val="12211A"/>
                <w:sz w:val="19"/>
              </w:rPr>
              <w:t>The chat wallpaper only appeared in one conversation</w:t>
            </w:r>
          </w:p>
        </w:tc>
        <w:tc>
          <w:tcPr>
            <w:tcW w:type="dxa" w:w="9298"/>
            <w:shd w:val="clear" w:color="auto" w:fill="F2F6F3"/>
          </w:tcPr>
          <w:p>
            <w:pPr>
              <w:spacing w:after="0" w:before="0" w:line="264" w:lineRule="auto"/>
            </w:pPr>
            <w:r/>
            <w:r>
              <w:rPr>
                <w:rFonts w:ascii="Calibri" w:hAnsi="Calibri"/>
                <w:b w:val="0"/>
                <w:color w:val="12211A"/>
                <w:sz w:val="19"/>
              </w:rPr>
              <w:t>Opening a chat was deleting the photo layer. It now belongs to the panel rather than the conversation, and rotates every 6 seconds as you asked.</w:t>
            </w:r>
          </w:p>
        </w:tc>
      </w:tr>
      <w:tr>
        <w:trPr>
          <w:cantSplit/>
        </w:trPr>
        <w:tc>
          <w:tcPr>
            <w:tcW w:type="dxa" w:w="624"/>
          </w:tcPr>
          <w:p>
            <w:pPr>
              <w:spacing w:after="0" w:before="0" w:line="264" w:lineRule="auto"/>
            </w:pPr>
            <w:r/>
            <w:r>
              <w:rPr>
                <w:rFonts w:ascii="Calibri" w:hAnsi="Calibri"/>
                <w:b w:val="0"/>
                <w:color w:val="12211A"/>
                <w:sz w:val="19"/>
              </w:rPr>
              <w:t>17</w:t>
            </w:r>
          </w:p>
        </w:tc>
        <w:tc>
          <w:tcPr>
            <w:tcW w:type="dxa" w:w="4649"/>
          </w:tcPr>
          <w:p>
            <w:pPr>
              <w:spacing w:after="0" w:before="0" w:line="264" w:lineRule="auto"/>
            </w:pPr>
            <w:r/>
            <w:r>
              <w:rPr>
                <w:rFonts w:ascii="Calibri" w:hAnsi="Calibri"/>
                <w:b w:val="0"/>
                <w:color w:val="12211A"/>
                <w:sz w:val="19"/>
              </w:rPr>
              <w:t>Edit and delete on messages — “I can’t see that”</w:t>
            </w:r>
          </w:p>
        </w:tc>
        <w:tc>
          <w:tcPr>
            <w:tcW w:type="dxa" w:w="9298"/>
          </w:tcPr>
          <w:p>
            <w:pPr>
              <w:spacing w:after="0" w:before="0" w:line="264" w:lineRule="auto"/>
            </w:pPr>
            <w:r/>
            <w:r>
              <w:rPr>
                <w:rFonts w:ascii="Calibri" w:hAnsi="Calibri"/>
                <w:b w:val="0"/>
                <w:color w:val="12211A"/>
                <w:sz w:val="19"/>
              </w:rPr>
              <w:t>They were rendering at 0 and 2 pixels wide, so they were genuinely invisible. Replaced with a press menu: press the bubble on a computer, hold it on a phone.</w:t>
            </w:r>
          </w:p>
        </w:tc>
      </w:tr>
      <w:tr>
        <w:trPr>
          <w:cantSplit/>
        </w:trPr>
        <w:tc>
          <w:tcPr>
            <w:tcW w:type="dxa" w:w="624"/>
            <w:shd w:val="clear" w:color="auto" w:fill="F2F6F3"/>
          </w:tcPr>
          <w:p>
            <w:pPr>
              <w:spacing w:after="0" w:before="0" w:line="264" w:lineRule="auto"/>
            </w:pPr>
            <w:r/>
            <w:r>
              <w:rPr>
                <w:rFonts w:ascii="Calibri" w:hAnsi="Calibri"/>
                <w:b w:val="0"/>
                <w:color w:val="12211A"/>
                <w:sz w:val="19"/>
              </w:rPr>
              <w:t>18</w:t>
            </w:r>
          </w:p>
        </w:tc>
        <w:tc>
          <w:tcPr>
            <w:tcW w:type="dxa" w:w="4649"/>
            <w:shd w:val="clear" w:color="auto" w:fill="F2F6F3"/>
          </w:tcPr>
          <w:p>
            <w:pPr>
              <w:spacing w:after="0" w:before="0" w:line="264" w:lineRule="auto"/>
            </w:pPr>
            <w:r/>
            <w:r>
              <w:rPr>
                <w:rFonts w:ascii="Calibri" w:hAnsi="Calibri"/>
                <w:b w:val="0"/>
                <w:color w:val="12211A"/>
                <w:sz w:val="19"/>
              </w:rPr>
              <w:t>The competition colour should lead the design on the Wall</w:t>
            </w:r>
          </w:p>
        </w:tc>
        <w:tc>
          <w:tcPr>
            <w:tcW w:type="dxa" w:w="9298"/>
            <w:shd w:val="clear" w:color="auto" w:fill="F2F6F3"/>
          </w:tcPr>
          <w:p>
            <w:pPr>
              <w:spacing w:after="0" w:before="0" w:line="264" w:lineRule="auto"/>
            </w:pPr>
            <w:r/>
            <w:r>
              <w:rPr>
                <w:rFonts w:ascii="Calibri" w:hAnsi="Calibri"/>
                <w:b w:val="0"/>
                <w:color w:val="12211A"/>
                <w:sz w:val="19"/>
              </w:rPr>
              <w:t>Opening the NRL room now turns the whole room amber, rather than a green room with four amber objects in it.</w:t>
            </w:r>
          </w:p>
        </w:tc>
      </w:tr>
      <w:tr>
        <w:trPr>
          <w:cantSplit/>
        </w:trPr>
        <w:tc>
          <w:tcPr>
            <w:tcW w:type="dxa" w:w="624"/>
          </w:tcPr>
          <w:p>
            <w:pPr>
              <w:spacing w:after="0" w:before="0" w:line="264" w:lineRule="auto"/>
            </w:pPr>
            <w:r/>
            <w:r>
              <w:rPr>
                <w:rFonts w:ascii="Calibri" w:hAnsi="Calibri"/>
                <w:b w:val="0"/>
                <w:color w:val="12211A"/>
                <w:sz w:val="19"/>
              </w:rPr>
              <w:t>19</w:t>
            </w:r>
          </w:p>
        </w:tc>
        <w:tc>
          <w:tcPr>
            <w:tcW w:type="dxa" w:w="4649"/>
          </w:tcPr>
          <w:p>
            <w:pPr>
              <w:spacing w:after="0" w:before="0" w:line="264" w:lineRule="auto"/>
            </w:pPr>
            <w:r/>
            <w:r>
              <w:rPr>
                <w:rFonts w:ascii="Calibri" w:hAnsi="Calibri"/>
                <w:b w:val="0"/>
                <w:color w:val="12211A"/>
                <w:sz w:val="19"/>
              </w:rPr>
              <w:t>More loaders, tied to the competitions</w:t>
            </w:r>
          </w:p>
        </w:tc>
        <w:tc>
          <w:tcPr>
            <w:tcW w:type="dxa" w:w="9298"/>
          </w:tcPr>
          <w:p>
            <w:pPr>
              <w:spacing w:after="0" w:before="0" w:line="264" w:lineRule="auto"/>
            </w:pPr>
            <w:r/>
            <w:r>
              <w:rPr>
                <w:rFonts w:ascii="Calibri" w:hAnsi="Calibri"/>
                <w:b w:val="0"/>
                <w:color w:val="12211A"/>
                <w:sz w:val="19"/>
              </w:rPr>
              <w:t>Eight of them: four AFL, four NRL, eight different animations, each with the ♀ or ♂ mark. Netball and Super League were dropped — neither has a single fixture in the system.</w:t>
            </w:r>
          </w:p>
        </w:tc>
      </w:tr>
      <w:tr>
        <w:trPr>
          <w:cantSplit/>
        </w:trPr>
        <w:tc>
          <w:tcPr>
            <w:tcW w:type="dxa" w:w="624"/>
            <w:shd w:val="clear" w:color="auto" w:fill="F2F6F3"/>
          </w:tcPr>
          <w:p>
            <w:pPr>
              <w:spacing w:after="0" w:before="0" w:line="264" w:lineRule="auto"/>
            </w:pPr>
            <w:r/>
            <w:r>
              <w:rPr>
                <w:rFonts w:ascii="Calibri" w:hAnsi="Calibri"/>
                <w:b w:val="0"/>
                <w:color w:val="12211A"/>
                <w:sz w:val="19"/>
              </w:rPr>
              <w:t>20</w:t>
            </w:r>
          </w:p>
        </w:tc>
        <w:tc>
          <w:tcPr>
            <w:tcW w:type="dxa" w:w="4649"/>
            <w:shd w:val="clear" w:color="auto" w:fill="F2F6F3"/>
          </w:tcPr>
          <w:p>
            <w:pPr>
              <w:spacing w:after="0" w:before="0" w:line="264" w:lineRule="auto"/>
            </w:pPr>
            <w:r/>
            <w:r>
              <w:rPr>
                <w:rFonts w:ascii="Calibri" w:hAnsi="Calibri"/>
                <w:b w:val="0"/>
                <w:color w:val="12211A"/>
                <w:sz w:val="19"/>
              </w:rPr>
              <w:t>The loader should differ each time for the same competition</w:t>
            </w:r>
          </w:p>
        </w:tc>
        <w:tc>
          <w:tcPr>
            <w:tcW w:type="dxa" w:w="9298"/>
            <w:shd w:val="clear" w:color="auto" w:fill="F2F6F3"/>
          </w:tcPr>
          <w:p>
            <w:pPr>
              <w:spacing w:after="0" w:before="0" w:line="264" w:lineRule="auto"/>
            </w:pPr>
            <w:r/>
            <w:r>
              <w:rPr>
                <w:rFonts w:ascii="Calibri" w:hAnsi="Calibri"/>
                <w:b w:val="0"/>
                <w:color w:val="12211A"/>
                <w:sz w:val="19"/>
              </w:rPr>
              <w:t>Four per competition, rotating, so pressing NRL twice never gives you the same one. The rotation is remembered between visits.</w:t>
            </w:r>
          </w:p>
        </w:tc>
      </w:tr>
      <w:tr>
        <w:trPr>
          <w:cantSplit/>
        </w:trPr>
        <w:tc>
          <w:tcPr>
            <w:tcW w:type="dxa" w:w="624"/>
          </w:tcPr>
          <w:p>
            <w:pPr>
              <w:spacing w:after="0" w:before="0" w:line="264" w:lineRule="auto"/>
            </w:pPr>
            <w:r/>
            <w:r>
              <w:rPr>
                <w:rFonts w:ascii="Calibri" w:hAnsi="Calibri"/>
                <w:b w:val="0"/>
                <w:color w:val="12211A"/>
                <w:sz w:val="19"/>
              </w:rPr>
              <w:t>21</w:t>
            </w:r>
          </w:p>
        </w:tc>
        <w:tc>
          <w:tcPr>
            <w:tcW w:type="dxa" w:w="4649"/>
          </w:tcPr>
          <w:p>
            <w:pPr>
              <w:spacing w:after="0" w:before="0" w:line="264" w:lineRule="auto"/>
            </w:pPr>
            <w:r/>
            <w:r>
              <w:rPr>
                <w:rFonts w:ascii="Calibri" w:hAnsi="Calibri"/>
                <w:b w:val="0"/>
                <w:color w:val="12211A"/>
                <w:sz w:val="19"/>
              </w:rPr>
              <w:t>Give the loaders time to be seen</w:t>
            </w:r>
          </w:p>
        </w:tc>
        <w:tc>
          <w:tcPr>
            <w:tcW w:type="dxa" w:w="9298"/>
          </w:tcPr>
          <w:p>
            <w:pPr>
              <w:spacing w:after="0" w:before="0" w:line="264" w:lineRule="auto"/>
            </w:pPr>
            <w:r/>
            <w:r>
              <w:rPr>
                <w:rFonts w:ascii="Calibri" w:hAnsi="Calibri"/>
                <w:b w:val="0"/>
                <w:color w:val="12211A"/>
                <w:sz w:val="19"/>
              </w:rPr>
              <w:t>Public pages 2.6 seconds, sign-in 1.8, and they finish the animation rather than being cut off part-way.</w:t>
            </w:r>
          </w:p>
        </w:tc>
      </w:tr>
      <w:tr>
        <w:trPr>
          <w:cantSplit/>
        </w:trPr>
        <w:tc>
          <w:tcPr>
            <w:tcW w:type="dxa" w:w="624"/>
            <w:shd w:val="clear" w:color="auto" w:fill="F2F6F3"/>
          </w:tcPr>
          <w:p>
            <w:pPr>
              <w:spacing w:after="0" w:before="0" w:line="264" w:lineRule="auto"/>
            </w:pPr>
            <w:r/>
            <w:r>
              <w:rPr>
                <w:rFonts w:ascii="Calibri" w:hAnsi="Calibri"/>
                <w:b w:val="0"/>
                <w:color w:val="12211A"/>
                <w:sz w:val="19"/>
              </w:rPr>
              <w:t>22</w:t>
            </w:r>
          </w:p>
        </w:tc>
        <w:tc>
          <w:tcPr>
            <w:tcW w:type="dxa" w:w="4649"/>
            <w:shd w:val="clear" w:color="auto" w:fill="F2F6F3"/>
          </w:tcPr>
          <w:p>
            <w:pPr>
              <w:spacing w:after="0" w:before="0" w:line="264" w:lineRule="auto"/>
            </w:pPr>
            <w:r/>
            <w:r>
              <w:rPr>
                <w:rFonts w:ascii="Calibri" w:hAnsi="Calibri"/>
                <w:b w:val="0"/>
                <w:color w:val="12211A"/>
                <w:sz w:val="19"/>
              </w:rPr>
              <w:t>Super admin: see the images and videos, and where they are used</w:t>
            </w:r>
          </w:p>
        </w:tc>
        <w:tc>
          <w:tcPr>
            <w:tcW w:type="dxa" w:w="9298"/>
            <w:shd w:val="clear" w:color="auto" w:fill="F2F6F3"/>
          </w:tcPr>
          <w:p>
            <w:pPr>
              <w:spacing w:after="0" w:before="0" w:line="264" w:lineRule="auto"/>
            </w:pPr>
            <w:r/>
            <w:r>
              <w:rPr>
                <w:rFonts w:ascii="Calibri" w:hAnsi="Calibri"/>
                <w:b w:val="0"/>
                <w:color w:val="12211A"/>
                <w:sz w:val="19"/>
              </w:rPr>
              <w:t>A library of every picture in the system, a where-used map down to the file and line number, and a replace button.</w:t>
            </w:r>
          </w:p>
        </w:tc>
      </w:tr>
      <w:tr>
        <w:trPr>
          <w:cantSplit/>
        </w:trPr>
        <w:tc>
          <w:tcPr>
            <w:tcW w:type="dxa" w:w="624"/>
          </w:tcPr>
          <w:p>
            <w:pPr>
              <w:spacing w:after="0" w:before="0" w:line="264" w:lineRule="auto"/>
            </w:pPr>
            <w:r/>
            <w:r>
              <w:rPr>
                <w:rFonts w:ascii="Calibri" w:hAnsi="Calibri"/>
                <w:b w:val="0"/>
                <w:color w:val="12211A"/>
                <w:sz w:val="19"/>
              </w:rPr>
              <w:t>23</w:t>
            </w:r>
          </w:p>
        </w:tc>
        <w:tc>
          <w:tcPr>
            <w:tcW w:type="dxa" w:w="4649"/>
          </w:tcPr>
          <w:p>
            <w:pPr>
              <w:spacing w:after="0" w:before="0" w:line="264" w:lineRule="auto"/>
            </w:pPr>
            <w:r/>
            <w:r>
              <w:rPr>
                <w:rFonts w:ascii="Calibri" w:hAnsi="Calibri"/>
                <w:b w:val="0"/>
                <w:color w:val="12211A"/>
                <w:sz w:val="19"/>
              </w:rPr>
              <w:t>Super admin: a services view</w:t>
            </w:r>
          </w:p>
        </w:tc>
        <w:tc>
          <w:tcPr>
            <w:tcW w:type="dxa" w:w="9298"/>
          </w:tcPr>
          <w:p>
            <w:pPr>
              <w:spacing w:after="0" w:before="0" w:line="264" w:lineRule="auto"/>
            </w:pPr>
            <w:r/>
            <w:r>
              <w:rPr>
                <w:rFonts w:ascii="Calibri" w:hAnsi="Calibri"/>
                <w:b w:val="0"/>
                <w:color w:val="12211A"/>
                <w:sz w:val="19"/>
              </w:rPr>
              <w:t>Email, fixture feeds, Prefect, MatchReader, recaps and sign-ins on one screen, over a shared time window. Anything not instrumented says so rather than showing an invented number.</w:t>
            </w:r>
          </w:p>
        </w:tc>
      </w:tr>
      <w:tr>
        <w:trPr>
          <w:cantSplit/>
        </w:trPr>
        <w:tc>
          <w:tcPr>
            <w:tcW w:type="dxa" w:w="624"/>
            <w:shd w:val="clear" w:color="auto" w:fill="F2F6F3"/>
          </w:tcPr>
          <w:p>
            <w:pPr>
              <w:spacing w:after="0" w:before="0" w:line="264" w:lineRule="auto"/>
            </w:pPr>
            <w:r/>
            <w:r>
              <w:rPr>
                <w:rFonts w:ascii="Calibri" w:hAnsi="Calibri"/>
                <w:b w:val="0"/>
                <w:color w:val="12211A"/>
                <w:sz w:val="19"/>
              </w:rPr>
              <w:t>24</w:t>
            </w:r>
          </w:p>
        </w:tc>
        <w:tc>
          <w:tcPr>
            <w:tcW w:type="dxa" w:w="4649"/>
            <w:shd w:val="clear" w:color="auto" w:fill="F2F6F3"/>
          </w:tcPr>
          <w:p>
            <w:pPr>
              <w:spacing w:after="0" w:before="0" w:line="264" w:lineRule="auto"/>
            </w:pPr>
            <w:r/>
            <w:r>
              <w:rPr>
                <w:rFonts w:ascii="Calibri" w:hAnsi="Calibri"/>
                <w:b w:val="0"/>
                <w:color w:val="12211A"/>
                <w:sz w:val="19"/>
              </w:rPr>
              <w:t>“Most popular” looks regular, it does not stand out</w:t>
            </w:r>
          </w:p>
        </w:tc>
        <w:tc>
          <w:tcPr>
            <w:tcW w:type="dxa" w:w="9298"/>
            <w:shd w:val="clear" w:color="auto" w:fill="F2F6F3"/>
          </w:tcPr>
          <w:p>
            <w:pPr>
              <w:spacing w:after="0" w:before="0" w:line="264" w:lineRule="auto"/>
            </w:pPr>
            <w:r/>
            <w:r>
              <w:rPr>
                <w:rFonts w:ascii="Calibri" w:hAnsi="Calibri"/>
                <w:b w:val="0"/>
                <w:color w:val="12211A"/>
                <w:sz w:val="19"/>
              </w:rPr>
              <w:t>It breathes in and out, and its band walks through the four competition colours. Hovering stops it so it never fights the text.</w:t>
            </w:r>
          </w:p>
        </w:tc>
      </w:tr>
      <w:tr>
        <w:trPr>
          <w:cantSplit/>
        </w:trPr>
        <w:tc>
          <w:tcPr>
            <w:tcW w:type="dxa" w:w="624"/>
          </w:tcPr>
          <w:p>
            <w:pPr>
              <w:spacing w:after="0" w:before="0" w:line="264" w:lineRule="auto"/>
            </w:pPr>
            <w:r/>
            <w:r>
              <w:rPr>
                <w:rFonts w:ascii="Calibri" w:hAnsi="Calibri"/>
                <w:b w:val="0"/>
                <w:color w:val="12211A"/>
                <w:sz w:val="19"/>
              </w:rPr>
              <w:t>25</w:t>
            </w:r>
          </w:p>
        </w:tc>
        <w:tc>
          <w:tcPr>
            <w:tcW w:type="dxa" w:w="4649"/>
          </w:tcPr>
          <w:p>
            <w:pPr>
              <w:spacing w:after="0" w:before="0" w:line="264" w:lineRule="auto"/>
            </w:pPr>
            <w:r/>
            <w:r>
              <w:rPr>
                <w:rFonts w:ascii="Calibri" w:hAnsi="Calibri"/>
                <w:b w:val="0"/>
                <w:color w:val="12211A"/>
                <w:sz w:val="19"/>
              </w:rPr>
              <w:t>The green “looks worn out and docile”</w:t>
            </w:r>
          </w:p>
        </w:tc>
        <w:tc>
          <w:tcPr>
            <w:tcW w:type="dxa" w:w="9298"/>
          </w:tcPr>
          <w:p>
            <w:pPr>
              <w:spacing w:after="0" w:before="0" w:line="264" w:lineRule="auto"/>
            </w:pPr>
            <w:r/>
            <w:r>
              <w:rPr>
                <w:rFonts w:ascii="Calibri" w:hAnsi="Calibri"/>
                <w:b w:val="0"/>
                <w:color w:val="12211A"/>
                <w:sz w:val="19"/>
              </w:rPr>
              <w:t>It was chroma, not brightness. Resaturated from 51–69% up to 86%, at identical luminance, so the colour sharpened and no contrast measurement moved.</w:t>
            </w:r>
          </w:p>
        </w:tc>
      </w:tr>
      <w:tr>
        <w:trPr>
          <w:cantSplit/>
        </w:trPr>
        <w:tc>
          <w:tcPr>
            <w:tcW w:type="dxa" w:w="624"/>
            <w:shd w:val="clear" w:color="auto" w:fill="F2F6F3"/>
          </w:tcPr>
          <w:p>
            <w:pPr>
              <w:spacing w:after="0" w:before="0" w:line="264" w:lineRule="auto"/>
            </w:pPr>
            <w:r/>
            <w:r>
              <w:rPr>
                <w:rFonts w:ascii="Calibri" w:hAnsi="Calibri"/>
                <w:b w:val="0"/>
                <w:color w:val="12211A"/>
                <w:sz w:val="19"/>
              </w:rPr>
              <w:t>26</w:t>
            </w:r>
          </w:p>
        </w:tc>
        <w:tc>
          <w:tcPr>
            <w:tcW w:type="dxa" w:w="4649"/>
            <w:shd w:val="clear" w:color="auto" w:fill="F2F6F3"/>
          </w:tcPr>
          <w:p>
            <w:pPr>
              <w:spacing w:after="0" w:before="0" w:line="264" w:lineRule="auto"/>
            </w:pPr>
            <w:r/>
            <w:r>
              <w:rPr>
                <w:rFonts w:ascii="Calibri" w:hAnsi="Calibri"/>
                <w:b w:val="0"/>
                <w:color w:val="12211A"/>
                <w:sz w:val="19"/>
              </w:rPr>
              <w:t>Terms: proper cards, proper flow, animation, no translucent feel</w:t>
            </w:r>
          </w:p>
        </w:tc>
        <w:tc>
          <w:tcPr>
            <w:tcW w:type="dxa" w:w="9298"/>
            <w:shd w:val="clear" w:color="auto" w:fill="F2F6F3"/>
          </w:tcPr>
          <w:p>
            <w:pPr>
              <w:spacing w:after="0" w:before="0" w:line="264" w:lineRule="auto"/>
            </w:pPr>
            <w:r/>
            <w:r>
              <w:rPr>
                <w:rFonts w:ascii="Calibri" w:hAnsi="Calibri"/>
                <w:b w:val="0"/>
                <w:color w:val="12211A"/>
                <w:sz w:val="19"/>
              </w:rPr>
              <w:t>Split hero, white cards on white, and each clause takes a competition colour across the whole card as you reach it — the card, not a stripe on its edge.</w:t>
            </w:r>
          </w:p>
        </w:tc>
      </w:tr>
      <w:tr>
        <w:trPr>
          <w:cantSplit/>
        </w:trPr>
        <w:tc>
          <w:tcPr>
            <w:tcW w:type="dxa" w:w="624"/>
          </w:tcPr>
          <w:p>
            <w:pPr>
              <w:spacing w:after="0" w:before="0" w:line="264" w:lineRule="auto"/>
            </w:pPr>
            <w:r/>
            <w:r>
              <w:rPr>
                <w:rFonts w:ascii="Calibri" w:hAnsi="Calibri"/>
                <w:b w:val="0"/>
                <w:color w:val="12211A"/>
                <w:sz w:val="19"/>
              </w:rPr>
              <w:t>27</w:t>
            </w:r>
          </w:p>
        </w:tc>
        <w:tc>
          <w:tcPr>
            <w:tcW w:type="dxa" w:w="4649"/>
          </w:tcPr>
          <w:p>
            <w:pPr>
              <w:spacing w:after="0" w:before="0" w:line="264" w:lineRule="auto"/>
            </w:pPr>
            <w:r/>
            <w:r>
              <w:rPr>
                <w:rFonts w:ascii="Calibri" w:hAnsi="Calibri"/>
                <w:b w:val="0"/>
                <w:color w:val="12211A"/>
                <w:sz w:val="19"/>
              </w:rPr>
              <w:t>Terms and Privacy should have the split hero, images on one side</w:t>
            </w:r>
          </w:p>
        </w:tc>
        <w:tc>
          <w:tcPr>
            <w:tcW w:type="dxa" w:w="9298"/>
          </w:tcPr>
          <w:p>
            <w:pPr>
              <w:spacing w:after="0" w:before="0" w:line="264" w:lineRule="auto"/>
            </w:pPr>
            <w:r/>
            <w:r>
              <w:rPr>
                <w:rFonts w:ascii="Calibri" w:hAnsi="Calibri"/>
                <w:b w:val="0"/>
                <w:color w:val="12211A"/>
                <w:sz w:val="19"/>
              </w:rPr>
              <w:t>Done. The photograph sits beside the words in its own panel, never behind them — being behind them is what read as translucent.</w:t>
            </w:r>
          </w:p>
        </w:tc>
      </w:tr>
      <w:tr>
        <w:trPr>
          <w:cantSplit/>
        </w:trPr>
        <w:tc>
          <w:tcPr>
            <w:tcW w:type="dxa" w:w="624"/>
            <w:shd w:val="clear" w:color="auto" w:fill="F2F6F3"/>
          </w:tcPr>
          <w:p>
            <w:pPr>
              <w:spacing w:after="0" w:before="0" w:line="264" w:lineRule="auto"/>
            </w:pPr>
            <w:r/>
            <w:r>
              <w:rPr>
                <w:rFonts w:ascii="Calibri" w:hAnsi="Calibri"/>
                <w:b w:val="0"/>
                <w:color w:val="12211A"/>
                <w:sz w:val="19"/>
              </w:rPr>
              <w:t>28</w:t>
            </w:r>
          </w:p>
        </w:tc>
        <w:tc>
          <w:tcPr>
            <w:tcW w:type="dxa" w:w="4649"/>
            <w:shd w:val="clear" w:color="auto" w:fill="F2F6F3"/>
          </w:tcPr>
          <w:p>
            <w:pPr>
              <w:spacing w:after="0" w:before="0" w:line="264" w:lineRule="auto"/>
            </w:pPr>
            <w:r/>
            <w:r>
              <w:rPr>
                <w:rFonts w:ascii="Calibri" w:hAnsi="Calibri"/>
                <w:b w:val="0"/>
                <w:color w:val="12211A"/>
                <w:sz w:val="19"/>
              </w:rPr>
              <w:t>Centre things on those pages</w:t>
            </w:r>
          </w:p>
        </w:tc>
        <w:tc>
          <w:tcPr>
            <w:tcW w:type="dxa" w:w="9298"/>
            <w:shd w:val="clear" w:color="auto" w:fill="F2F6F3"/>
          </w:tcPr>
          <w:p>
            <w:pPr>
              <w:spacing w:after="0" w:before="0" w:line="264" w:lineRule="auto"/>
            </w:pPr>
            <w:r/>
            <w:r>
              <w:rPr>
                <w:rFonts w:ascii="Calibri" w:hAnsi="Calibri"/>
                <w:b w:val="0"/>
                <w:color w:val="12211A"/>
                <w:sz w:val="19"/>
              </w:rPr>
              <w:t>The legal layout was hard left with a third of the window empty. It is capped and centred now.</w:t>
            </w:r>
          </w:p>
        </w:tc>
      </w:tr>
      <w:tr>
        <w:trPr>
          <w:cantSplit/>
        </w:trPr>
        <w:tc>
          <w:tcPr>
            <w:tcW w:type="dxa" w:w="624"/>
          </w:tcPr>
          <w:p>
            <w:pPr>
              <w:spacing w:after="0" w:before="0" w:line="264" w:lineRule="auto"/>
            </w:pPr>
            <w:r/>
            <w:r>
              <w:rPr>
                <w:rFonts w:ascii="Calibri" w:hAnsi="Calibri"/>
                <w:b w:val="0"/>
                <w:color w:val="12211A"/>
                <w:sz w:val="19"/>
              </w:rPr>
              <w:t>29</w:t>
            </w:r>
          </w:p>
        </w:tc>
        <w:tc>
          <w:tcPr>
            <w:tcW w:type="dxa" w:w="4649"/>
          </w:tcPr>
          <w:p>
            <w:pPr>
              <w:spacing w:after="0" w:before="0" w:line="264" w:lineRule="auto"/>
            </w:pPr>
            <w:r/>
            <w:r>
              <w:rPr>
                <w:rFonts w:ascii="Calibri" w:hAnsi="Calibri"/>
                <w:b w:val="0"/>
                <w:color w:val="12211A"/>
                <w:sz w:val="19"/>
              </w:rPr>
              <w:t>About Us: remove the cream, white and green, coloured cards that expand</w:t>
            </w:r>
          </w:p>
        </w:tc>
        <w:tc>
          <w:tcPr>
            <w:tcW w:type="dxa" w:w="9298"/>
          </w:tcPr>
          <w:p>
            <w:pPr>
              <w:spacing w:after="0" w:before="0" w:line="264" w:lineRule="auto"/>
            </w:pPr>
            <w:r/>
            <w:r>
              <w:rPr>
                <w:rFonts w:ascii="Calibri" w:hAnsi="Calibri"/>
                <w:b w:val="0"/>
                <w:color w:val="12211A"/>
                <w:sz w:val="19"/>
              </w:rPr>
              <w:t>White alternating with deep green, four card colours, each expanding as it arrives on screen.</w:t>
            </w:r>
          </w:p>
        </w:tc>
      </w:tr>
      <w:tr>
        <w:trPr>
          <w:cantSplit/>
        </w:trPr>
        <w:tc>
          <w:tcPr>
            <w:tcW w:type="dxa" w:w="624"/>
            <w:shd w:val="clear" w:color="auto" w:fill="F2F6F3"/>
          </w:tcPr>
          <w:p>
            <w:pPr>
              <w:spacing w:after="0" w:before="0" w:line="264" w:lineRule="auto"/>
            </w:pPr>
            <w:r/>
            <w:r>
              <w:rPr>
                <w:rFonts w:ascii="Calibri" w:hAnsi="Calibri"/>
                <w:b w:val="0"/>
                <w:color w:val="12211A"/>
                <w:sz w:val="19"/>
              </w:rPr>
              <w:t>30</w:t>
            </w:r>
          </w:p>
        </w:tc>
        <w:tc>
          <w:tcPr>
            <w:tcW w:type="dxa" w:w="4649"/>
            <w:shd w:val="clear" w:color="auto" w:fill="F2F6F3"/>
          </w:tcPr>
          <w:p>
            <w:pPr>
              <w:spacing w:after="0" w:before="0" w:line="264" w:lineRule="auto"/>
            </w:pPr>
            <w:r/>
            <w:r>
              <w:rPr>
                <w:rFonts w:ascii="Calibri" w:hAnsi="Calibri"/>
                <w:b w:val="0"/>
                <w:color w:val="12211A"/>
                <w:sz w:val="19"/>
              </w:rPr>
              <w:t>The “About GoodTip” button is not visible</w:t>
            </w:r>
          </w:p>
        </w:tc>
        <w:tc>
          <w:tcPr>
            <w:tcW w:type="dxa" w:w="9298"/>
            <w:shd w:val="clear" w:color="auto" w:fill="F2F6F3"/>
          </w:tcPr>
          <w:p>
            <w:pPr>
              <w:spacing w:after="0" w:before="0" w:line="264" w:lineRule="auto"/>
            </w:pPr>
            <w:r/>
            <w:r>
              <w:rPr>
                <w:rFonts w:ascii="Calibri" w:hAnsi="Calibri"/>
                <w:b w:val="0"/>
                <w:color w:val="12211A"/>
                <w:sz w:val="19"/>
              </w:rPr>
              <w:t>It measured 1.05:1 against a 4.5:1 requirement — blank space, not faint text. Now green with near-black type.</w:t>
            </w:r>
          </w:p>
        </w:tc>
      </w:tr>
      <w:tr>
        <w:trPr>
          <w:cantSplit/>
        </w:trPr>
        <w:tc>
          <w:tcPr>
            <w:tcW w:type="dxa" w:w="624"/>
          </w:tcPr>
          <w:p>
            <w:pPr>
              <w:spacing w:after="0" w:before="0" w:line="264" w:lineRule="auto"/>
            </w:pPr>
            <w:r/>
            <w:r>
              <w:rPr>
                <w:rFonts w:ascii="Calibri" w:hAnsi="Calibri"/>
                <w:b w:val="0"/>
                <w:color w:val="12211A"/>
                <w:sz w:val="19"/>
              </w:rPr>
              <w:t>31</w:t>
            </w:r>
          </w:p>
        </w:tc>
        <w:tc>
          <w:tcPr>
            <w:tcW w:type="dxa" w:w="4649"/>
          </w:tcPr>
          <w:p>
            <w:pPr>
              <w:spacing w:after="0" w:before="0" w:line="264" w:lineRule="auto"/>
            </w:pPr>
            <w:r/>
            <w:r>
              <w:rPr>
                <w:rFonts w:ascii="Calibri" w:hAnsi="Calibri"/>
                <w:b w:val="0"/>
                <w:color w:val="12211A"/>
                <w:sz w:val="19"/>
              </w:rPr>
              <w:t>The sponsorship form “is not visible”</w:t>
            </w:r>
          </w:p>
        </w:tc>
        <w:tc>
          <w:tcPr>
            <w:tcW w:type="dxa" w:w="9298"/>
          </w:tcPr>
          <w:p>
            <w:pPr>
              <w:spacing w:after="0" w:before="0" w:line="264" w:lineRule="auto"/>
            </w:pPr>
            <w:r/>
            <w:r>
              <w:rPr>
                <w:rFonts w:ascii="Calibri" w:hAnsi="Calibri"/>
                <w:b w:val="0"/>
                <w:color w:val="12211A"/>
                <w:sz w:val="19"/>
              </w:rPr>
              <w:t>Every label measured 1.08:1. Same cause as item 30, so it was fixed for every light section on the site at once rather than page by page.</w:t>
            </w:r>
          </w:p>
        </w:tc>
      </w:tr>
      <w:tr>
        <w:trPr>
          <w:cantSplit/>
        </w:trPr>
        <w:tc>
          <w:tcPr>
            <w:tcW w:type="dxa" w:w="624"/>
            <w:shd w:val="clear" w:color="auto" w:fill="F2F6F3"/>
          </w:tcPr>
          <w:p>
            <w:pPr>
              <w:spacing w:after="0" w:before="0" w:line="264" w:lineRule="auto"/>
            </w:pPr>
            <w:r/>
            <w:r>
              <w:rPr>
                <w:rFonts w:ascii="Calibri" w:hAnsi="Calibri"/>
                <w:b w:val="0"/>
                <w:color w:val="12211A"/>
                <w:sz w:val="19"/>
              </w:rPr>
              <w:t>32</w:t>
            </w:r>
          </w:p>
        </w:tc>
        <w:tc>
          <w:tcPr>
            <w:tcW w:type="dxa" w:w="4649"/>
            <w:shd w:val="clear" w:color="auto" w:fill="F2F6F3"/>
          </w:tcPr>
          <w:p>
            <w:pPr>
              <w:spacing w:after="0" w:before="0" w:line="264" w:lineRule="auto"/>
            </w:pPr>
            <w:r/>
            <w:r>
              <w:rPr>
                <w:rFonts w:ascii="Calibri" w:hAnsi="Calibri"/>
                <w:b w:val="0"/>
                <w:color w:val="12211A"/>
                <w:sz w:val="19"/>
              </w:rPr>
              <w:t>Inside the app the loader “does not make sense”</w:t>
            </w:r>
          </w:p>
        </w:tc>
        <w:tc>
          <w:tcPr>
            <w:tcW w:type="dxa" w:w="9298"/>
            <w:shd w:val="clear" w:color="auto" w:fill="F2F6F3"/>
          </w:tcPr>
          <w:p>
            <w:pPr>
              <w:spacing w:after="0" w:before="0" w:line="264" w:lineRule="auto"/>
            </w:pPr>
            <w:r/>
            <w:r>
              <w:rPr>
                <w:rFonts w:ascii="Calibri" w:hAnsi="Calibri"/>
                <w:b w:val="0"/>
                <w:color w:val="12211A"/>
                <w:sz w:val="19"/>
              </w:rPr>
              <w:t>Page-to-page is now a thin progress bar across the top — no full-screen animation at all. Filters, on the ladder and the leaderboard, load only their own region in that competition's colour instead of reloading the page. The eight scenes stay on the public pages.</w:t>
            </w:r>
          </w:p>
        </w:tc>
      </w:tr>
      <w:tr>
        <w:trPr>
          <w:cantSplit/>
        </w:trPr>
        <w:tc>
          <w:tcPr>
            <w:tcW w:type="dxa" w:w="624"/>
          </w:tcPr>
          <w:p>
            <w:pPr>
              <w:spacing w:after="0" w:before="0" w:line="264" w:lineRule="auto"/>
            </w:pPr>
            <w:r/>
            <w:r>
              <w:rPr>
                <w:rFonts w:ascii="Calibri" w:hAnsi="Calibri"/>
                <w:b w:val="0"/>
                <w:color w:val="12211A"/>
                <w:sz w:val="19"/>
              </w:rPr>
              <w:t>33</w:t>
            </w:r>
          </w:p>
        </w:tc>
        <w:tc>
          <w:tcPr>
            <w:tcW w:type="dxa" w:w="4649"/>
          </w:tcPr>
          <w:p>
            <w:pPr>
              <w:spacing w:after="0" w:before="0" w:line="264" w:lineRule="auto"/>
            </w:pPr>
            <w:r/>
            <w:r>
              <w:rPr>
                <w:rFonts w:ascii="Calibri" w:hAnsi="Calibri"/>
                <w:b/>
                <w:color w:val="12211A"/>
                <w:sz w:val="19"/>
              </w:rPr>
              <w:t>Your answer:</w:t>
            </w:r>
            <w:r>
              <w:rPr>
                <w:rFonts w:ascii="Calibri" w:hAnsi="Calibri"/>
                <w:b w:val="0"/>
                <w:color w:val="12211A"/>
                <w:sz w:val="19"/>
              </w:rPr>
              <w:t xml:space="preserve"> 3 years, with a stub first term through the end of the 2027 season</w:t>
            </w:r>
          </w:p>
        </w:tc>
        <w:tc>
          <w:tcPr>
            <w:tcW w:type="dxa" w:w="9298"/>
          </w:tcPr>
          <w:p>
            <w:pPr>
              <w:spacing w:after="0" w:before="0" w:line="264" w:lineRule="auto"/>
            </w:pPr>
            <w:r/>
            <w:r>
              <w:rPr>
                <w:rFonts w:ascii="Calibri" w:hAnsi="Calibri"/>
                <w:b w:val="0"/>
                <w:color w:val="12211A"/>
                <w:sz w:val="19"/>
              </w:rPr>
              <w:t>Built as you described it. The window now closes 31 January 2027; the first term is a stub running from sign-up to the end of the 2027 season; two full seasons follow, 2028 and 2029. The lock therefore ends on the same day for everybody, whether they join in October or in January. Every page quoting a date now reads it from one place instead of five.</w:t>
            </w:r>
          </w:p>
        </w:tc>
      </w:tr>
      <w:tr>
        <w:trPr>
          <w:cantSplit/>
        </w:trPr>
        <w:tc>
          <w:tcPr>
            <w:tcW w:type="dxa" w:w="624"/>
            <w:shd w:val="clear" w:color="auto" w:fill="F2F6F3"/>
          </w:tcPr>
          <w:p>
            <w:pPr>
              <w:spacing w:after="0" w:before="0" w:line="264" w:lineRule="auto"/>
            </w:pPr>
            <w:r/>
            <w:r>
              <w:rPr>
                <w:rFonts w:ascii="Calibri" w:hAnsi="Calibri"/>
                <w:b w:val="0"/>
                <w:color w:val="12211A"/>
                <w:sz w:val="19"/>
              </w:rPr>
              <w:t>34</w:t>
            </w:r>
          </w:p>
        </w:tc>
        <w:tc>
          <w:tcPr>
            <w:tcW w:type="dxa" w:w="4649"/>
            <w:shd w:val="clear" w:color="auto" w:fill="F2F6F3"/>
          </w:tcPr>
          <w:p>
            <w:pPr>
              <w:spacing w:after="0" w:before="0" w:line="264" w:lineRule="auto"/>
            </w:pPr>
            <w:r/>
            <w:r>
              <w:rPr>
                <w:rFonts w:ascii="Calibri" w:hAnsi="Calibri"/>
                <w:b/>
                <w:color w:val="12211A"/>
                <w:sz w:val="19"/>
              </w:rPr>
              <w:t>Your answer:</w:t>
            </w:r>
            <w:r>
              <w:rPr>
                <w:rFonts w:ascii="Calibri" w:hAnsi="Calibri"/>
                <w:b w:val="0"/>
                <w:color w:val="12211A"/>
                <w:sz w:val="19"/>
              </w:rPr>
              <w:t xml:space="preserve"> Terms and Privacy are approved — take the banner down</w:t>
            </w:r>
          </w:p>
        </w:tc>
        <w:tc>
          <w:tcPr>
            <w:tcW w:type="dxa" w:w="9298"/>
            <w:shd w:val="clear" w:color="auto" w:fill="F2F6F3"/>
          </w:tcPr>
          <w:p>
            <w:pPr>
              <w:spacing w:after="0" w:before="0" w:line="264" w:lineRule="auto"/>
            </w:pPr>
            <w:r/>
            <w:r>
              <w:rPr>
                <w:rFonts w:ascii="Calibri" w:hAnsi="Calibri"/>
                <w:b w:val="0"/>
                <w:color w:val="12211A"/>
                <w:sz w:val="19"/>
              </w:rPr>
              <w:t>Gone from both pages. The Terms version stamp moved to 2026-09-22, so sign-ups recorded against the draft wording and against the approved wording can still be told apart.</w:t>
            </w:r>
          </w:p>
        </w:tc>
      </w:tr>
      <w:tr>
        <w:trPr>
          <w:cantSplit/>
        </w:trPr>
        <w:tc>
          <w:tcPr>
            <w:tcW w:type="dxa" w:w="624"/>
          </w:tcPr>
          <w:p>
            <w:pPr>
              <w:spacing w:after="0" w:before="0" w:line="264" w:lineRule="auto"/>
            </w:pPr>
            <w:r/>
            <w:r>
              <w:rPr>
                <w:rFonts w:ascii="Calibri" w:hAnsi="Calibri"/>
                <w:b w:val="0"/>
                <w:color w:val="12211A"/>
                <w:sz w:val="19"/>
              </w:rPr>
              <w:t>35</w:t>
            </w:r>
          </w:p>
        </w:tc>
        <w:tc>
          <w:tcPr>
            <w:tcW w:type="dxa" w:w="4649"/>
          </w:tcPr>
          <w:p>
            <w:pPr>
              <w:spacing w:after="0" w:before="0" w:line="264" w:lineRule="auto"/>
            </w:pPr>
            <w:r/>
            <w:r>
              <w:rPr>
                <w:rFonts w:ascii="Calibri" w:hAnsi="Calibri"/>
                <w:b/>
                <w:color w:val="12211A"/>
                <w:sz w:val="19"/>
              </w:rPr>
              <w:t>Your answer on clause 3:</w:t>
            </w:r>
            <w:r>
              <w:rPr>
                <w:rFonts w:ascii="Calibri" w:hAnsi="Calibri"/>
                <w:b w:val="0"/>
                <w:color w:val="12211A"/>
                <w:sz w:val="19"/>
              </w:rPr>
              <w:t xml:space="preserve"> side stakes are nothing to do with GoodTip, but we discourage them</w:t>
            </w:r>
          </w:p>
        </w:tc>
        <w:tc>
          <w:tcPr>
            <w:tcW w:type="dxa" w:w="9298"/>
          </w:tcPr>
          <w:p>
            <w:pPr>
              <w:spacing w:after="0" w:before="0" w:line="264" w:lineRule="auto"/>
            </w:pPr>
            <w:r/>
            <w:r>
              <w:rPr>
                <w:rFonts w:ascii="Calibri" w:hAnsi="Calibri"/>
                <w:b w:val="0"/>
                <w:color w:val="12211A"/>
                <w:sz w:val="19"/>
              </w:rPr>
              <w:t>Reworded to say exactly that. The old text said organisations running a side pot “have their comp closed” — a promise to police something we cannot see. It now reads: nothing of that kind through the platform, nothing wearing GoodTip's name, what a group does privately is their own affair, and we would rather they didn't. Same position, stated as something we can stand behind.</w:t>
            </w:r>
          </w:p>
        </w:tc>
      </w:tr>
      <w:tr>
        <w:trPr>
          <w:cantSplit/>
        </w:trPr>
        <w:tc>
          <w:tcPr>
            <w:tcW w:type="dxa" w:w="624"/>
            <w:shd w:val="clear" w:color="auto" w:fill="F2F6F3"/>
          </w:tcPr>
          <w:p>
            <w:pPr>
              <w:spacing w:after="0" w:before="0" w:line="264" w:lineRule="auto"/>
            </w:pPr>
            <w:r/>
            <w:r>
              <w:rPr>
                <w:rFonts w:ascii="Calibri" w:hAnsi="Calibri"/>
                <w:b w:val="0"/>
                <w:color w:val="12211A"/>
                <w:sz w:val="19"/>
              </w:rPr>
              <w:t>36</w:t>
            </w:r>
          </w:p>
        </w:tc>
        <w:tc>
          <w:tcPr>
            <w:tcW w:type="dxa" w:w="4649"/>
            <w:shd w:val="clear" w:color="auto" w:fill="F2F6F3"/>
          </w:tcPr>
          <w:p>
            <w:pPr>
              <w:spacing w:after="0" w:before="0" w:line="264" w:lineRule="auto"/>
            </w:pPr>
            <w:r/>
            <w:r>
              <w:rPr>
                <w:rFonts w:ascii="Calibri" w:hAnsi="Calibri"/>
                <w:b/>
                <w:color w:val="12211A"/>
                <w:sz w:val="19"/>
              </w:rPr>
              <w:t>New this morning:</w:t>
            </w:r>
            <w:r>
              <w:rPr>
                <w:rFonts w:ascii="Calibri" w:hAnsi="Calibri"/>
                <w:b w:val="0"/>
                <w:color w:val="12211A"/>
                <w:sz w:val="19"/>
              </w:rPr>
              <w:t xml:space="preserve"> “just have to match the changes to the pricing page”</w:t>
            </w:r>
          </w:p>
        </w:tc>
        <w:tc>
          <w:tcPr>
            <w:tcW w:type="dxa" w:w="9298"/>
            <w:shd w:val="clear" w:color="auto" w:fill="F2F6F3"/>
          </w:tcPr>
          <w:p>
            <w:pPr>
              <w:spacing w:after="0" w:before="0" w:line="264" w:lineRule="auto"/>
            </w:pPr>
            <w:r/>
            <w:r>
              <w:rPr>
                <w:rFonts w:ascii="Calibri" w:hAnsi="Calibri"/>
                <w:b w:val="0"/>
                <w:color w:val="12211A"/>
                <w:sz w:val="19"/>
              </w:rPr>
              <w:t>Found the cause and removed it. The home page and /pricing/ were two hand-typed copies of the same five plans, so every correction since 16 September landed on /pricing/ and nowhere else — which is why your screenshot still had MOST POPULAR on the $299 plan and no groups tags anywhere. Both pages now print from one file. A price or a badge moves once and both follow.</w:t>
            </w:r>
          </w:p>
        </w:tc>
      </w:tr>
      <w:tr>
        <w:trPr>
          <w:cantSplit/>
        </w:trPr>
        <w:tc>
          <w:tcPr>
            <w:tcW w:type="dxa" w:w="624"/>
          </w:tcPr>
          <w:p>
            <w:pPr>
              <w:spacing w:after="0" w:before="0" w:line="264" w:lineRule="auto"/>
            </w:pPr>
            <w:r/>
            <w:r>
              <w:rPr>
                <w:rFonts w:ascii="Calibri" w:hAnsi="Calibri"/>
                <w:b w:val="0"/>
                <w:color w:val="12211A"/>
                <w:sz w:val="19"/>
              </w:rPr>
              <w:t>37</w:t>
            </w:r>
          </w:p>
        </w:tc>
        <w:tc>
          <w:tcPr>
            <w:tcW w:type="dxa" w:w="4649"/>
          </w:tcPr>
          <w:p>
            <w:pPr>
              <w:spacing w:after="0" w:before="0" w:line="264" w:lineRule="auto"/>
            </w:pPr>
            <w:r/>
            <w:r>
              <w:rPr>
                <w:rFonts w:ascii="Calibri" w:hAnsi="Calibri"/>
                <w:b w:val="0"/>
                <w:color w:val="12211A"/>
                <w:sz w:val="19"/>
              </w:rPr>
              <w:t>In that same screenshot: three of the four plan icons were a blank square, a black rectangle and a black disc</w:t>
            </w:r>
          </w:p>
        </w:tc>
        <w:tc>
          <w:tcPr>
            <w:tcW w:type="dxa" w:w="9298"/>
          </w:tcPr>
          <w:p>
            <w:pPr>
              <w:spacing w:after="0" w:before="0" w:line="264" w:lineRule="auto"/>
            </w:pPr>
            <w:r/>
            <w:r>
              <w:rPr>
                <w:rFonts w:ascii="Calibri" w:hAnsi="Calibri"/>
                <w:b w:val="0"/>
                <w:color w:val="12211A"/>
                <w:sz w:val="19"/>
              </w:rPr>
              <w:t>A real bug, not missing files. Those icons are drawn as outlines, and that one style rule filled them instead of stroking them — so the outline of a page filled to a solid rectangle and a globe filled to a solid disc. Fixed, and the rule now matches every other icon on the site.</w:t>
            </w:r>
          </w:p>
        </w:tc>
      </w:tr>
      <w:tr>
        <w:trPr>
          <w:cantSplit/>
        </w:trPr>
        <w:tc>
          <w:tcPr>
            <w:tcW w:type="dxa" w:w="624"/>
            <w:shd w:val="clear" w:color="auto" w:fill="F2F6F3"/>
          </w:tcPr>
          <w:p>
            <w:pPr>
              <w:spacing w:after="0" w:before="0" w:line="264" w:lineRule="auto"/>
            </w:pPr>
            <w:r/>
            <w:r>
              <w:rPr>
                <w:rFonts w:ascii="Calibri" w:hAnsi="Calibri"/>
                <w:b w:val="0"/>
                <w:color w:val="12211A"/>
                <w:sz w:val="19"/>
              </w:rPr>
              <w:t>38</w:t>
            </w:r>
          </w:p>
        </w:tc>
        <w:tc>
          <w:tcPr>
            <w:tcW w:type="dxa" w:w="4649"/>
            <w:shd w:val="clear" w:color="auto" w:fill="F2F6F3"/>
          </w:tcPr>
          <w:p>
            <w:pPr>
              <w:spacing w:after="0" w:before="0" w:line="264" w:lineRule="auto"/>
            </w:pPr>
            <w:r/>
            <w:r>
              <w:rPr>
                <w:rFonts w:ascii="Calibri" w:hAnsi="Calibri"/>
                <w:b/>
                <w:color w:val="12211A"/>
                <w:sz w:val="19"/>
              </w:rPr>
              <w:t>“Tell the Boss” postcards:</w:t>
            </w:r>
            <w:r>
              <w:rPr>
                <w:rFonts w:ascii="Calibri" w:hAnsi="Calibri"/>
                <w:b w:val="0"/>
                <w:color w:val="12211A"/>
                <w:sz w:val="19"/>
              </w:rPr>
              <w:t xml:space="preserve"> send the design elements through</w:t>
            </w:r>
          </w:p>
        </w:tc>
        <w:tc>
          <w:tcPr>
            <w:tcW w:type="dxa" w:w="9298"/>
            <w:shd w:val="clear" w:color="auto" w:fill="F2F6F3"/>
          </w:tcPr>
          <w:p>
            <w:pPr>
              <w:spacing w:after="0" w:before="0" w:line="264" w:lineRule="auto"/>
            </w:pPr>
            <w:r/>
            <w:r>
              <w:rPr>
                <w:rFonts w:ascii="Calibri" w:hAnsi="Calibri"/>
                <w:b w:val="0"/>
                <w:color w:val="12211A"/>
                <w:sz w:val="19"/>
              </w:rPr>
              <w:t>Attached. The card redrawn as an editable vector at A6 portrait with bleed, the wordmark in both approved treatments, the copy word for word, the brand palette with print values, the two typefaces and where to download them free, production specs, and what makes the card a card — including what not to add to it.</w:t>
            </w:r>
          </w:p>
        </w:tc>
      </w:tr>
    </w:tbl>
    <w:p>
      <w:r>
        <w:br w:type="page"/>
      </w:r>
    </w:p>
    <w:p>
      <w:pPr>
        <w:spacing w:before="40" w:after="40"/>
      </w:pPr>
      <w:r>
        <w:rPr>
          <w:rFonts w:ascii="Calibri" w:hAnsi="Calibri"/>
          <w:b/>
          <w:color w:val="14452F"/>
          <w:sz w:val="32"/>
        </w:rPr>
        <w:t>Table 2 — Still open</w:t>
      </w:r>
    </w:p>
    <w:p>
      <w:pPr>
        <w:spacing w:after="160"/>
      </w:pPr>
      <w:r>
        <w:rPr>
          <w:i/>
          <w:color w:val="5C6B62"/>
          <w:sz w:val="19"/>
        </w:rPr>
        <w:t>What is left after your answers. Only one of the four is development work.</w:t>
      </w:r>
    </w:p>
    <w:tbl>
      <w:tblPr>
        <w:tblW w:type="auto" w:w="0"/>
        <w:jc w:val="left"/>
        <w:tblLayout w:type="fixed"/>
        <w:tblLook w:firstColumn="1" w:firstRow="1" w:lastColumn="0" w:lastRow="0" w:noHBand="0" w:noVBand="1" w:val="04A0"/>
        <w:tblLayout w:type="fixed"/>
        <w:tblBorders>
          <w:top w:val="single" w:sz="4" w:color="D8E0DA"/>
          <w:left w:val="single" w:sz="4" w:color="D8E0DA"/>
          <w:bottom w:val="single" w:sz="4" w:color="D8E0DA"/>
          <w:right w:val="single" w:sz="4" w:color="D8E0DA"/>
          <w:insideH w:val="single" w:sz="4" w:color="D8E0DA"/>
          <w:insideV w:val="single" w:sz="4" w:color="D8E0DA"/>
        </w:tblBorders>
        <w:tblCellMar>
          <w:top w:w="80" w:type="dxa"/>
          <w:left w:w="110" w:type="dxa"/>
          <w:bottom w:w="80" w:type="dxa"/>
          <w:right w:w="110" w:type="dxa"/>
        </w:tblCellMar>
      </w:tblPr>
      <w:tblGrid>
        <w:gridCol w:w="4857"/>
        <w:gridCol w:w="4857"/>
        <w:gridCol w:w="4857"/>
      </w:tblGrid>
      <w:tr>
        <w:trPr>
          <w:tblHeader w:val="true"/>
          <w:cantSplit/>
        </w:trPr>
        <w:tc>
          <w:tcPr>
            <w:tcW w:type="dxa" w:w="3005"/>
            <w:shd w:val="clear" w:color="auto" w:fill="14452F"/>
          </w:tcPr>
          <w:p>
            <w:pPr>
              <w:spacing w:after="0" w:before="0" w:line="264" w:lineRule="auto"/>
            </w:pPr>
            <w:r/>
            <w:r>
              <w:rPr>
                <w:rFonts w:ascii="Calibri" w:hAnsi="Calibri"/>
                <w:b/>
                <w:color w:val="FFFFFF"/>
                <w:sz w:val="19"/>
              </w:rPr>
              <w:t>Item</w:t>
            </w:r>
          </w:p>
        </w:tc>
        <w:tc>
          <w:tcPr>
            <w:tcW w:type="dxa" w:w="5783"/>
            <w:shd w:val="clear" w:color="auto" w:fill="14452F"/>
          </w:tcPr>
          <w:p>
            <w:pPr>
              <w:spacing w:after="0" w:before="0" w:line="264" w:lineRule="auto"/>
            </w:pPr>
            <w:r/>
            <w:r>
              <w:rPr>
                <w:rFonts w:ascii="Calibri" w:hAnsi="Calibri"/>
                <w:b/>
                <w:color w:val="FFFFFF"/>
                <w:sz w:val="19"/>
              </w:rPr>
              <w:t>Where it stands</w:t>
            </w:r>
          </w:p>
        </w:tc>
        <w:tc>
          <w:tcPr>
            <w:tcW w:type="dxa" w:w="5783"/>
            <w:shd w:val="clear" w:color="auto" w:fill="14452F"/>
          </w:tcPr>
          <w:p>
            <w:pPr>
              <w:spacing w:after="0" w:before="0" w:line="264" w:lineRule="auto"/>
            </w:pPr>
            <w:r/>
            <w:r>
              <w:rPr>
                <w:rFonts w:ascii="Calibri" w:hAnsi="Calibri"/>
                <w:b/>
                <w:color w:val="FFFFFF"/>
                <w:sz w:val="19"/>
              </w:rPr>
              <w:t>What happens next</w:t>
            </w:r>
          </w:p>
        </w:tc>
      </w:tr>
      <w:tr>
        <w:trPr>
          <w:cantSplit/>
        </w:trPr>
        <w:tc>
          <w:tcPr>
            <w:tcW w:type="dxa" w:w="3005"/>
          </w:tcPr>
          <w:p>
            <w:pPr>
              <w:spacing w:after="0" w:before="0" w:line="264" w:lineRule="auto"/>
            </w:pPr>
            <w:r/>
            <w:r>
              <w:rPr>
                <w:rFonts w:ascii="Calibri" w:hAnsi="Calibri"/>
                <w:b/>
                <w:color w:val="12211A"/>
                <w:sz w:val="19"/>
              </w:rPr>
              <w:t>Run a real test payment</w:t>
            </w:r>
          </w:p>
        </w:tc>
        <w:tc>
          <w:tcPr>
            <w:tcW w:type="dxa" w:w="5783"/>
          </w:tcPr>
          <w:p>
            <w:pPr>
              <w:spacing w:after="0" w:before="0" w:line="264" w:lineRule="auto"/>
            </w:pPr>
            <w:r/>
            <w:r>
              <w:rPr>
                <w:rFonts w:ascii="Calibri" w:hAnsi="Calibri"/>
                <w:b w:val="0"/>
                <w:color w:val="12211A"/>
                <w:sz w:val="19"/>
              </w:rPr>
              <w:t>Unblocked at your end — you said the Stripe invite is already in my inbox and may be a month old. I have not found it yet; I will search again properly and check the spam folder before asking you for anything. The code has been finished and waiting the whole time: checkout, the webhook, payment recording, and the staging gate already lets Stripe's callback through.</w:t>
            </w:r>
          </w:p>
        </w:tc>
        <w:tc>
          <w:tcPr>
            <w:tcW w:type="dxa" w:w="5783"/>
          </w:tcPr>
          <w:p>
            <w:pPr>
              <w:spacing w:after="0" w:before="0" w:line="264" w:lineRule="auto"/>
            </w:pPr>
            <w:r/>
            <w:r>
              <w:rPr>
                <w:rFonts w:ascii="Calibri" w:hAnsi="Calibri"/>
                <w:b w:val="0"/>
                <w:color w:val="12211A"/>
                <w:sz w:val="19"/>
              </w:rPr>
              <w:t xml:space="preserve">Mine. Once I am in I will create the test keys, add the webhook endpoint for staging and put the test cards through, then send you the result. </w:t>
            </w:r>
            <w:r>
              <w:rPr>
                <w:rFonts w:ascii="Calibri" w:hAnsi="Calibri"/>
                <w:b/>
                <w:color w:val="12211A"/>
                <w:sz w:val="19"/>
              </w:rPr>
              <w:t>If I cannot find the invite by tomorrow I will ask you to re-send it</w:t>
            </w:r>
            <w:r>
              <w:rPr>
                <w:rFonts w:ascii="Calibri" w:hAnsi="Calibri"/>
                <w:b w:val="0"/>
                <w:color w:val="12211A"/>
                <w:sz w:val="19"/>
              </w:rPr>
              <w:t xml:space="preserve"> — that is the only way this one comes back to you. Live keys never go on staging; they go in at launch.</w:t>
            </w:r>
          </w:p>
        </w:tc>
      </w:tr>
      <w:tr>
        <w:trPr>
          <w:cantSplit/>
        </w:trPr>
        <w:tc>
          <w:tcPr>
            <w:tcW w:type="dxa" w:w="3005"/>
            <w:shd w:val="clear" w:color="auto" w:fill="F2F6F3"/>
          </w:tcPr>
          <w:p>
            <w:pPr>
              <w:spacing w:after="0" w:before="0" w:line="264" w:lineRule="auto"/>
            </w:pPr>
            <w:r/>
            <w:r>
              <w:rPr>
                <w:rFonts w:ascii="Calibri" w:hAnsi="Calibri"/>
                <w:b/>
                <w:color w:val="12211A"/>
                <w:sz w:val="19"/>
              </w:rPr>
              <w:t>50 blog posts for launch</w:t>
            </w:r>
          </w:p>
        </w:tc>
        <w:tc>
          <w:tcPr>
            <w:tcW w:type="dxa" w:w="5783"/>
            <w:shd w:val="clear" w:color="auto" w:fill="F2F6F3"/>
          </w:tcPr>
          <w:p>
            <w:pPr>
              <w:spacing w:after="0" w:before="0" w:line="264" w:lineRule="auto"/>
            </w:pPr>
            <w:r/>
            <w:r>
              <w:rPr>
                <w:rFonts w:ascii="Calibri" w:hAnsi="Calibri"/>
                <w:b w:val="0"/>
                <w:color w:val="12211A"/>
                <w:sz w:val="19"/>
              </w:rPr>
              <w:t>Yours, and you have said it is not a priority right now. There are 15 published.</w:t>
            </w:r>
          </w:p>
        </w:tc>
        <w:tc>
          <w:tcPr>
            <w:tcW w:type="dxa" w:w="5783"/>
            <w:shd w:val="clear" w:color="auto" w:fill="F2F6F3"/>
          </w:tcPr>
          <w:p>
            <w:pPr>
              <w:spacing w:after="0" w:before="0" w:line="264" w:lineRule="auto"/>
            </w:pPr>
            <w:r/>
            <w:r>
              <w:rPr>
                <w:rFonts w:ascii="Calibri" w:hAnsi="Calibri"/>
                <w:b w:val="0"/>
                <w:color w:val="12211A"/>
                <w:sz w:val="19"/>
              </w:rPr>
              <w:t>Nothing from me unless you want it. Say the word and I will either draft outlines for you to fill or write to a brief you sign off — but I am not going to invent 35 articles for a site whose whole pitch is that its numbers are honest.</w:t>
            </w:r>
          </w:p>
        </w:tc>
      </w:tr>
      <w:tr>
        <w:trPr>
          <w:cantSplit/>
        </w:trPr>
        <w:tc>
          <w:tcPr>
            <w:tcW w:type="dxa" w:w="3005"/>
          </w:tcPr>
          <w:p>
            <w:pPr>
              <w:spacing w:after="0" w:before="0" w:line="264" w:lineRule="auto"/>
            </w:pPr>
            <w:r/>
            <w:r>
              <w:rPr>
                <w:rFonts w:ascii="Calibri" w:hAnsi="Calibri"/>
                <w:b/>
                <w:color w:val="12211A"/>
                <w:sz w:val="19"/>
              </w:rPr>
              <w:t>SEO, analytics and conversion tracking</w:t>
            </w:r>
          </w:p>
        </w:tc>
        <w:tc>
          <w:tcPr>
            <w:tcW w:type="dxa" w:w="5783"/>
          </w:tcPr>
          <w:p>
            <w:pPr>
              <w:spacing w:after="0" w:before="0" w:line="264" w:lineRule="auto"/>
            </w:pPr>
            <w:r/>
            <w:r>
              <w:rPr>
                <w:rFonts w:ascii="Calibri" w:hAnsi="Calibri"/>
                <w:b w:val="0"/>
                <w:color w:val="12211A"/>
                <w:sz w:val="19"/>
              </w:rPr>
              <w:t>Confirmed as Mad Scientist's, handing to the team next Monday. Nothing is installed yet — worth knowing that means there is no page-view tracking on the site at all today, which is why the Services screen says so plainly instead of showing an invented number.</w:t>
            </w:r>
          </w:p>
        </w:tc>
        <w:tc>
          <w:tcPr>
            <w:tcW w:type="dxa" w:w="5783"/>
          </w:tcPr>
          <w:p>
            <w:pPr>
              <w:spacing w:after="0" w:before="0" w:line="264" w:lineRule="auto"/>
            </w:pPr>
            <w:r/>
            <w:r>
              <w:rPr>
                <w:rFonts w:ascii="Calibri" w:hAnsi="Calibri"/>
                <w:b w:val="0"/>
                <w:color w:val="12211A"/>
                <w:sz w:val="19"/>
              </w:rPr>
              <w:t>Theirs. One thing to pass on when you hand over: conversion tracking is the blocker for the PNG ad tests on your own sheet, so it is the piece to do first rather than last.</w:t>
            </w:r>
          </w:p>
        </w:tc>
      </w:tr>
      <w:tr>
        <w:trPr>
          <w:cantSplit/>
        </w:trPr>
        <w:tc>
          <w:tcPr>
            <w:tcW w:type="dxa" w:w="3005"/>
            <w:shd w:val="clear" w:color="auto" w:fill="F2F6F3"/>
          </w:tcPr>
          <w:p>
            <w:pPr>
              <w:spacing w:after="0" w:before="0" w:line="264" w:lineRule="auto"/>
            </w:pPr>
            <w:r/>
            <w:r>
              <w:rPr>
                <w:rFonts w:ascii="Calibri" w:hAnsi="Calibri"/>
                <w:b/>
                <w:color w:val="12211A"/>
                <w:sz w:val="19"/>
              </w:rPr>
              <w:t>MatchReader's round-by-round accuracy</w:t>
            </w:r>
          </w:p>
        </w:tc>
        <w:tc>
          <w:tcPr>
            <w:tcW w:type="dxa" w:w="5783"/>
            <w:shd w:val="clear" w:color="auto" w:fill="F2F6F3"/>
          </w:tcPr>
          <w:p>
            <w:pPr>
              <w:spacing w:after="0" w:before="0" w:line="264" w:lineRule="auto"/>
            </w:pPr>
            <w:r/>
            <w:r>
              <w:rPr>
                <w:rFonts w:ascii="Calibri" w:hAnsi="Calibri"/>
                <w:b w:val="0"/>
                <w:color w:val="12211A"/>
                <w:sz w:val="19"/>
              </w:rPr>
              <w:t>You are leaning yes and want to talk it through first, which is the right instinct — it is a smaller change than it sounds but it changes what the system stores. Today a prediction is worked out when a card is drawn and thrown away, so there is nothing to score afterwards.</w:t>
            </w:r>
          </w:p>
        </w:tc>
        <w:tc>
          <w:tcPr>
            <w:tcW w:type="dxa" w:w="5783"/>
            <w:shd w:val="clear" w:color="auto" w:fill="F2F6F3"/>
          </w:tcPr>
          <w:p>
            <w:pPr>
              <w:spacing w:after="0" w:before="0" w:line="264" w:lineRule="auto"/>
            </w:pPr>
            <w:r/>
            <w:r>
              <w:rPr>
                <w:rFonts w:ascii="Calibri" w:hAnsi="Calibri"/>
                <w:b/>
                <w:color w:val="12211A"/>
                <w:sz w:val="19"/>
              </w:rPr>
              <w:t>Fifteen minutes whenever suits you.</w:t>
            </w:r>
            <w:r>
              <w:rPr>
                <w:rFonts w:ascii="Calibri" w:hAnsi="Calibri"/>
                <w:b w:val="0"/>
                <w:color w:val="12211A"/>
                <w:sz w:val="19"/>
              </w:rPr>
              <w:t xml:space="preserve"> What I need to agree is just: record every prediction at the moment it is made, then score it once the result lands, and show “last round: 6 of 9” next to the model's overall accuracy. Nothing existing changes; it only starts keeping what it already computes.</w:t>
            </w:r>
          </w:p>
        </w:tc>
      </w:tr>
    </w:tbl>
    <w:p>
      <w:pPr>
        <w:spacing w:after="40"/>
      </w:pPr>
    </w:p>
    <w:p>
      <w:pPr>
        <w:spacing w:before="120" w:after="160"/>
        <w:pBdr>
          <w:bottom w:val="single" w:sz="8" w:space="1" w:color="9BD616"/>
        </w:pBdr>
      </w:pPr>
    </w:p>
    <w:p>
      <w:pPr>
        <w:spacing w:before="40" w:after="40"/>
      </w:pPr>
      <w:r>
        <w:rPr>
          <w:rFonts w:ascii="Calibri" w:hAnsi="Calibri"/>
          <w:b/>
          <w:color w:val="14452F"/>
          <w:sz w:val="32"/>
        </w:rPr>
        <w:t>The one you asked me to call</w:t>
      </w:r>
    </w:p>
    <w:p>
      <w:pPr>
        <w:spacing w:after="100" w:line="269" w:lineRule="auto"/>
      </w:pPr>
      <w:r>
        <w:rPr>
          <w:b/>
          <w:sz w:val="19"/>
        </w:rPr>
        <w:t>The loader inside the app — my answer: leave it as the thin bar.</w:t>
      </w:r>
      <w:r>
        <w:rPr>
          <w:b w:val="0"/>
          <w:sz w:val="19"/>
        </w:rPr>
        <w:t xml:space="preserve"> Signed in, a member opens twenty-odd pages in a sitting. A full-screen animation is a delight on the first one and an obstacle by the fifth, and it is standing between somebody and the thing they came to do. The eight scenes earn their keep on the public pages, where showing four codes is the job; inside, the person has already bought.</w:t>
      </w:r>
    </w:p>
    <w:p>
      <w:pPr>
        <w:spacing w:after="100" w:line="269" w:lineRule="auto"/>
      </w:pPr>
      <w:r>
        <w:rPr>
          <w:b w:val="0"/>
          <w:sz w:val="19"/>
        </w:rPr>
        <w:t>The competition's colour still does the work where it belongs — the filters on the ladder and the leaderboard load in place, in that competition's colour. That is the part worth looking at when you are next signed in.</w:t>
      </w:r>
    </w:p>
    <w:p>
      <w:pPr>
        <w:spacing w:after="100" w:line="269" w:lineRule="auto"/>
      </w:pPr>
      <w:r>
        <w:rPr>
          <w:b w:val="0"/>
          <w:sz w:val="19"/>
        </w:rPr>
        <w:t>If you see it and disagree, switching the app to the full scenes is a ten-minute change. I would rather you saw it first, which is what you said too.</w:t>
      </w:r>
    </w:p>
    <w:p>
      <w:pPr>
        <w:spacing w:before="160" w:after="160"/>
        <w:pBdr>
          <w:bottom w:val="single" w:sz="8" w:space="1" w:color="9BD616"/>
        </w:pBdr>
      </w:pPr>
    </w:p>
    <w:p>
      <w:pPr>
        <w:spacing w:before="40" w:after="40"/>
      </w:pPr>
      <w:r>
        <w:rPr>
          <w:rFonts w:ascii="Calibri" w:hAnsi="Calibri"/>
          <w:b/>
          <w:color w:val="14452F"/>
          <w:sz w:val="32"/>
        </w:rPr>
        <w:t>Two things before you look</w:t>
      </w:r>
    </w:p>
    <w:p>
      <w:pPr>
        <w:pStyle w:val="ListBullet"/>
        <w:spacing w:after="60" w:line="264" w:lineRule="auto"/>
      </w:pPr>
      <w:r>
        <w:rPr>
          <w:b/>
          <w:sz w:val="19"/>
        </w:rPr>
        <w:t>Hard-refresh once</w:t>
      </w:r>
      <w:r>
        <w:rPr>
          <w:b w:val="0"/>
          <w:sz w:val="19"/>
        </w:rPr>
        <w:t xml:space="preserve"> (Ctrl+Shift+R). Your browser will be holding the old stylesheet, and that alone can make a rebuilt page look unchanged.</w:t>
      </w:r>
    </w:p>
    <w:p>
      <w:pPr>
        <w:pStyle w:val="ListBullet"/>
        <w:spacing w:after="60" w:line="264" w:lineRule="auto"/>
      </w:pPr>
      <w:r>
        <w:rPr>
          <w:b/>
          <w:sz w:val="19"/>
        </w:rPr>
        <w:t>Your machine has “reduce motion” switched on</w:t>
      </w:r>
      <w:r>
        <w:rPr>
          <w:b w:val="0"/>
          <w:sz w:val="19"/>
        </w:rPr>
        <w:t xml:space="preserve"> at the operating-system level, and the site honours it — so every animation you have seen has been the slowed version. Add </w:t>
      </w:r>
      <w:r>
        <w:rPr>
          <w:b/>
          <w:sz w:val="19"/>
        </w:rPr>
        <w:t>?motion=1</w:t>
      </w:r>
      <w:r>
        <w:rPr>
          <w:b w:val="0"/>
          <w:sz w:val="19"/>
        </w:rPr>
        <w:t xml:space="preserve"> to any public address once to see them at full speed; </w:t>
      </w:r>
      <w:r>
        <w:rPr>
          <w:b/>
          <w:sz w:val="19"/>
        </w:rPr>
        <w:t>?motion=0</w:t>
      </w:r>
      <w:r>
        <w:rPr>
          <w:b w:val="0"/>
          <w:sz w:val="19"/>
        </w:rPr>
        <w:t xml:space="preserve"> puts it back.</w:t>
      </w:r>
    </w:p>
    <w:p>
      <w:pPr>
        <w:pStyle w:val="ListBullet"/>
        <w:spacing w:after="60" w:line="264" w:lineRule="auto"/>
      </w:pPr>
      <w:r>
        <w:rPr>
          <w:b w:val="0"/>
          <w:sz w:val="19"/>
        </w:rPr>
        <w:t xml:space="preserve">Worth looking at first: the </w:t>
      </w:r>
      <w:r>
        <w:rPr>
          <w:b/>
          <w:sz w:val="19"/>
        </w:rPr>
        <w:t>home page prices</w:t>
      </w:r>
      <w:r>
        <w:rPr>
          <w:b w:val="0"/>
          <w:sz w:val="19"/>
        </w:rPr>
        <w:t xml:space="preserve">, </w:t>
      </w:r>
      <w:r>
        <w:rPr>
          <w:b/>
          <w:sz w:val="19"/>
        </w:rPr>
        <w:t>/terms/</w:t>
      </w:r>
      <w:r>
        <w:rPr>
          <w:b w:val="0"/>
          <w:sz w:val="19"/>
        </w:rPr>
        <w:t xml:space="preserve">, and signed in, the </w:t>
      </w:r>
      <w:r>
        <w:rPr>
          <w:b/>
          <w:sz w:val="19"/>
        </w:rPr>
        <w:t>ladder filters</w:t>
      </w:r>
      <w:r>
        <w:rPr>
          <w:b w:val="0"/>
          <w:sz w:val="19"/>
        </w:rPr>
        <w:t>.</w:t>
      </w:r>
    </w:p>
    <w:p>
      <w:pPr>
        <w:spacing w:before="200"/>
      </w:pPr>
      <w:r>
        <w:rPr>
          <w:b/>
          <w:color w:val="14452F"/>
          <w:sz w:val="20"/>
        </w:rPr>
        <w:t>Erick</w:t>
      </w:r>
    </w:p>
    <w:sectPr w:rsidR="00FC693F" w:rsidRPr="0006063C" w:rsidSect="00034616">
      <w:pgSz w:w="16838" w:h="11906" w:orient="landscape"/>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221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