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4452F"/>
          <w:sz w:val="42"/>
        </w:rPr>
        <w:t>“Tell the Boss” postcard</w:t>
      </w:r>
    </w:p>
    <w:p>
      <w:pPr>
        <w:spacing w:after="80"/>
      </w:pPr>
      <w:r>
        <w:rPr>
          <w:color w:val="5C6B62"/>
          <w:sz w:val="19"/>
        </w:rPr>
        <w:t>Design elements from the on-screen version  ·  GoodTip  ·  22 September 2026</w:t>
      </w:r>
    </w:p>
    <w:p>
      <w:pPr>
        <w:spacing w:before="0" w:after="240"/>
        <w:pBdr>
          <w:bottom w:val="single" w:sz="8" w:space="1" w:color="9BD616"/>
        </w:pBdr>
      </w:pPr>
    </w:p>
    <w:p>
      <w:pPr>
        <w:spacing w:after="120" w:line="269" w:lineRule="auto"/>
      </w:pPr>
      <w:r>
        <w:rPr>
          <w:b w:val="0"/>
          <w:i w:val="0"/>
          <w:sz w:val="20"/>
        </w:rPr>
        <w:t xml:space="preserve">This is the handoff pack for the printed postcard. It is </w:t>
      </w:r>
      <w:r>
        <w:rPr>
          <w:b/>
          <w:i w:val="0"/>
          <w:sz w:val="20"/>
        </w:rPr>
        <w:t>not a layout</w:t>
      </w:r>
      <w:r>
        <w:rPr>
          <w:b w:val="0"/>
          <w:i w:val="0"/>
          <w:sz w:val="20"/>
        </w:rPr>
        <w:t xml:space="preserve"> — the design is yours. What is here is everything the card is made of, so the printed piece and the website look like the same product: the exact copy, the colours with their print values, the two typefaces, and the handful of construction rules that are doing the actual work.</w:t>
      </w:r>
    </w:p>
    <w:p>
      <w:pPr>
        <w:spacing w:after="120" w:line="269" w:lineRule="auto"/>
      </w:pPr>
      <w:r>
        <w:rPr>
          <w:b w:val="0"/>
          <w:i w:val="0"/>
          <w:sz w:val="20"/>
        </w:rPr>
        <w:t>Three files:</w:t>
      </w:r>
    </w:p>
    <w:p>
      <w:pPr>
        <w:pStyle w:val="ListBullet"/>
        <w:spacing w:after="60" w:line="264" w:lineRule="auto"/>
      </w:pPr>
      <w:r>
        <w:rPr>
          <w:b/>
          <w:sz w:val="19"/>
        </w:rPr>
        <w:t>goodtip-postcard-reference.svg</w:t>
      </w:r>
      <w:r>
        <w:rPr>
          <w:b w:val="0"/>
          <w:sz w:val="19"/>
        </w:rPr>
        <w:t xml:space="preserve"> — the design, A6 portrait with 3 mm bleed. Drawn at print scale, fully editable.</w:t>
      </w:r>
    </w:p>
    <w:p>
      <w:pPr>
        <w:pStyle w:val="ListBullet"/>
        <w:spacing w:after="60" w:line="264" w:lineRule="auto"/>
      </w:pPr>
      <w:r>
        <w:rPr>
          <w:b/>
          <w:sz w:val="19"/>
        </w:rPr>
        <w:t>goodtip-wordmark.svg</w:t>
      </w:r>
      <w:r>
        <w:rPr>
          <w:b w:val="0"/>
          <w:sz w:val="19"/>
        </w:rPr>
        <w:t xml:space="preserve"> — the wordmark, in both approved treatments</w:t>
      </w:r>
    </w:p>
    <w:p>
      <w:pPr>
        <w:pStyle w:val="ListBullet"/>
        <w:spacing w:after="60" w:line="264" w:lineRule="auto"/>
      </w:pPr>
      <w:r>
        <w:rPr>
          <w:b/>
          <w:sz w:val="19"/>
        </w:rPr>
        <w:t>This brief</w:t>
      </w:r>
    </w:p>
    <w:p>
      <w:pPr>
        <w:spacing w:after="120" w:line="269" w:lineRule="auto"/>
      </w:pPr>
      <w:r>
        <w:rPr>
          <w:b w:val="0"/>
          <w:i/>
          <w:sz w:val="19"/>
        </w:rPr>
        <w:t>Open the SVGs in Illustrator, Affinity or Inkscape. Everything in them is live and editable; nothing is a flattened image.</w:t>
      </w:r>
    </w:p>
    <w:p>
      <w:pPr>
        <w:spacing w:before="280" w:after="80"/>
      </w:pPr>
      <w:r>
        <w:rPr>
          <w:b/>
          <w:color w:val="14452F"/>
          <w:sz w:val="30"/>
        </w:rPr>
        <w:t>1 · The copy</w:t>
      </w:r>
    </w:p>
    <w:p>
      <w:pPr>
        <w:spacing w:after="120" w:line="269" w:lineRule="auto"/>
      </w:pPr>
      <w:r>
        <w:rPr>
          <w:b w:val="0"/>
          <w:i w:val="0"/>
          <w:sz w:val="20"/>
        </w:rPr>
        <w:t xml:space="preserve">Word for word what the website shows. The two bracketed names are filled in by the person sending it, so on a printed card they become </w:t>
      </w:r>
      <w:r>
        <w:rPr>
          <w:b/>
          <w:i w:val="0"/>
          <w:sz w:val="20"/>
        </w:rPr>
        <w:t>blanks somebody writes on</w:t>
      </w:r>
      <w:r>
        <w:rPr>
          <w:b w:val="0"/>
          <w:i w:val="0"/>
          <w:sz w:val="20"/>
        </w:rPr>
        <w:t>. Leave them as ruled space or a light underline — they are the only part of the card a human touches, and the reason it works as a physical object at all.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0DA"/>
          <w:left w:val="single" w:sz="4" w:color="D8E0DA"/>
          <w:bottom w:val="single" w:sz="4" w:color="D8E0DA"/>
          <w:right w:val="single" w:sz="4" w:color="D8E0DA"/>
          <w:insideH w:val="single" w:sz="4" w:color="D8E0DA"/>
          <w:insideV w:val="single" w:sz="4" w:color="D8E0DA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1814"/>
            <w:shd w:val="clear" w:color="auto" w:fill="14452F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Line</w:t>
            </w:r>
          </w:p>
        </w:tc>
        <w:tc>
          <w:tcPr>
            <w:tcW w:type="dxa" w:w="7597"/>
            <w:shd w:val="clear" w:color="auto" w:fill="14452F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Words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Greeting</w:t>
            </w:r>
          </w:p>
        </w:tc>
        <w:tc>
          <w:tcPr>
            <w:tcW w:type="dxa" w:w="7597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Dear [Boss],</w:t>
            </w:r>
          </w:p>
        </w:tc>
      </w:tr>
      <w:tr>
        <w:tc>
          <w:tcPr>
            <w:tcW w:type="dxa" w:w="1814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Opening</w:t>
            </w:r>
          </w:p>
        </w:tc>
        <w:tc>
          <w:tcPr>
            <w:tcW w:type="dxa" w:w="7597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What if our footy tips actually did some good?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Body</w:t>
            </w:r>
          </w:p>
        </w:tc>
        <w:tc>
          <w:tcPr>
            <w:tcW w:type="dxa" w:w="7597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We’re already picking teams and checking the ladder every Monday. With GoodTip it stays free for all of us, and GoodTip gives to a charity we choose. Together.</w:t>
            </w:r>
          </w:p>
        </w:tc>
      </w:tr>
      <w:tr>
        <w:tc>
          <w:tcPr>
            <w:tcW w:type="dxa" w:w="1814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Close</w:t>
            </w:r>
          </w:p>
        </w:tc>
        <w:tc>
          <w:tcPr>
            <w:tcW w:type="dxa" w:w="7597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Five minutes to set up. Nothing to lose but bragging rights.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Ask</w:t>
            </w:r>
          </w:p>
        </w:tc>
        <w:tc>
          <w:tcPr>
            <w:tcW w:type="dxa" w:w="7597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Can we do this?</w:t>
            </w:r>
          </w:p>
        </w:tc>
      </w:tr>
      <w:tr>
        <w:tc>
          <w:tcPr>
            <w:tcW w:type="dxa" w:w="1814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Signature</w:t>
            </w:r>
          </w:p>
        </w:tc>
        <w:tc>
          <w:tcPr>
            <w:tcW w:type="dxa" w:w="7597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[Your name]</w:t>
            </w:r>
          </w:p>
        </w:tc>
      </w:tr>
      <w:tr>
        <w:tc>
          <w:tcPr>
            <w:tcW w:type="dxa" w:w="1814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Footer</w:t>
            </w:r>
          </w:p>
        </w:tc>
        <w:tc>
          <w:tcPr>
            <w:tcW w:type="dxa" w:w="7597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Free to play · your organisation picks the charity · goodtip.com.au</w:t>
            </w:r>
          </w:p>
        </w:tc>
      </w:tr>
    </w:tbl>
    <w:p>
      <w:pPr>
        <w:spacing w:after="40" w:line="269" w:lineRule="auto"/>
      </w:pPr>
    </w:p>
    <w:p>
      <w:pPr>
        <w:spacing w:after="120" w:line="269" w:lineRule="auto"/>
      </w:pPr>
      <w:r>
        <w:rPr>
          <w:b/>
          <w:i w:val="0"/>
          <w:sz w:val="19"/>
        </w:rPr>
        <w:t>Do not rewrite these.</w:t>
      </w:r>
      <w:r>
        <w:rPr>
          <w:b w:val="0"/>
          <w:i w:val="0"/>
          <w:sz w:val="19"/>
        </w:rPr>
        <w:t xml:space="preserve"> They are the same words in the product, in the emails and on the page; a printed card that says it differently is a third version to keep in step. If a line will not fit, cut the Body paragraph before you cut anything else.</w:t>
      </w:r>
    </w:p>
    <w:p>
      <w:pPr>
        <w:spacing w:before="280" w:after="80"/>
      </w:pPr>
      <w:r>
        <w:rPr>
          <w:b/>
          <w:color w:val="14452F"/>
          <w:sz w:val="30"/>
        </w:rPr>
        <w:t>2 · Colour</w:t>
      </w:r>
    </w:p>
    <w:p>
      <w:pPr>
        <w:spacing w:after="120" w:line="269" w:lineRule="auto"/>
      </w:pPr>
      <w:r>
        <w:rPr>
          <w:b w:val="0"/>
          <w:i w:val="0"/>
          <w:sz w:val="20"/>
        </w:rPr>
        <w:t xml:space="preserve">Hex is the authority — those are the values the website is built on and what the printed piece is being matched to. </w:t>
      </w:r>
      <w:r>
        <w:rPr>
          <w:b/>
          <w:i w:val="0"/>
          <w:sz w:val="20"/>
        </w:rPr>
        <w:t>The CMYK column is a starting point, not a specification:</w:t>
      </w:r>
      <w:r>
        <w:rPr>
          <w:b w:val="0"/>
          <w:i w:val="0"/>
          <w:sz w:val="20"/>
        </w:rPr>
        <w:t xml:space="preserve"> have your printer convert from the hex with their own profile and stock. The lime in particular is outside CMYK gamut and will come back duller; if it matters, ask about a spot colour or a fluorescent.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0DA"/>
          <w:left w:val="single" w:sz="4" w:color="D8E0DA"/>
          <w:bottom w:val="single" w:sz="4" w:color="D8E0DA"/>
          <w:right w:val="single" w:sz="4" w:color="D8E0DA"/>
          <w:insideH w:val="single" w:sz="4" w:color="D8E0DA"/>
          <w:insideV w:val="single" w:sz="4" w:color="D8E0DA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1757"/>
            <w:shd w:val="clear" w:color="auto" w:fill="14452F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Name</w:t>
            </w:r>
          </w:p>
        </w:tc>
        <w:tc>
          <w:tcPr>
            <w:tcW w:type="dxa" w:w="1191"/>
            <w:shd w:val="clear" w:color="auto" w:fill="14452F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Hex</w:t>
            </w:r>
          </w:p>
        </w:tc>
        <w:tc>
          <w:tcPr>
            <w:tcW w:type="dxa" w:w="1701"/>
            <w:shd w:val="clear" w:color="auto" w:fill="14452F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CMYK (approx)</w:t>
            </w:r>
          </w:p>
        </w:tc>
        <w:tc>
          <w:tcPr>
            <w:tcW w:type="dxa" w:w="4762"/>
            <w:shd w:val="clear" w:color="auto" w:fill="14452F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What it is for</w:t>
            </w:r>
          </w:p>
        </w:tc>
      </w:tr>
      <w:tr>
        <w:tc>
          <w:tcPr>
            <w:tcW w:type="dxa" w:w="1757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Electric lime</w:t>
            </w:r>
          </w:p>
        </w:tc>
        <w:tc>
          <w:tcPr>
            <w:tcW w:type="dxa" w:w="1191"/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/>
                <w:b w:val="0"/>
                <w:color w:val="12211A"/>
                <w:sz w:val="17"/>
              </w:rPr>
              <w:t>#CFF93A</w:t>
            </w:r>
          </w:p>
        </w:tc>
        <w:tc>
          <w:tcPr>
            <w:tcW w:type="dxa" w:w="1701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17 / 0 / 77 / 2</w:t>
            </w:r>
          </w:p>
        </w:tc>
        <w:tc>
          <w:tcPr>
            <w:tcW w:type="dxa" w:w="4762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The header bar. The one accent — never a large field of it.</w:t>
            </w:r>
          </w:p>
        </w:tc>
      </w:tr>
      <w:tr>
        <w:tc>
          <w:tcPr>
            <w:tcW w:type="dxa" w:w="1757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Mid green</w:t>
            </w:r>
          </w:p>
        </w:tc>
        <w:tc>
          <w:tcPr>
            <w:tcW w:type="dxa" w:w="1191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/>
                <w:b w:val="0"/>
                <w:color w:val="12211A"/>
                <w:sz w:val="17"/>
              </w:rPr>
              <w:t>#2A7337</w:t>
            </w:r>
          </w:p>
        </w:tc>
        <w:tc>
          <w:tcPr>
            <w:tcW w:type="dxa" w:w="1701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63 / 0 / 52 / 55</w:t>
            </w:r>
          </w:p>
        </w:tc>
        <w:tc>
          <w:tcPr>
            <w:tcW w:type="dxa" w:w="4762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GOOD in the wordmark; the greeting and the signature.</w:t>
            </w:r>
          </w:p>
        </w:tc>
      </w:tr>
      <w:tr>
        <w:tc>
          <w:tcPr>
            <w:tcW w:type="dxa" w:w="1757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Deep forest</w:t>
            </w:r>
          </w:p>
        </w:tc>
        <w:tc>
          <w:tcPr>
            <w:tcW w:type="dxa" w:w="1191"/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/>
                <w:b w:val="0"/>
                <w:color w:val="12211A"/>
                <w:sz w:val="17"/>
              </w:rPr>
              <w:t>#072F1E</w:t>
            </w:r>
          </w:p>
        </w:tc>
        <w:tc>
          <w:tcPr>
            <w:tcW w:type="dxa" w:w="1701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85 / 0 / 36 / 82</w:t>
            </w:r>
          </w:p>
        </w:tc>
        <w:tc>
          <w:tcPr>
            <w:tcW w:type="dxa" w:w="4762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TIP and the full stop. Dark panels if you use any.</w:t>
            </w:r>
          </w:p>
        </w:tc>
      </w:tr>
      <w:tr>
        <w:tc>
          <w:tcPr>
            <w:tcW w:type="dxa" w:w="1757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Ink</w:t>
            </w:r>
          </w:p>
        </w:tc>
        <w:tc>
          <w:tcPr>
            <w:tcW w:type="dxa" w:w="1191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/>
                <w:b w:val="0"/>
                <w:color w:val="12211A"/>
                <w:sz w:val="17"/>
              </w:rPr>
              <w:t>#0F2E22</w:t>
            </w:r>
          </w:p>
        </w:tc>
        <w:tc>
          <w:tcPr>
            <w:tcW w:type="dxa" w:w="1701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67 / 0 / 26 / 82</w:t>
            </w:r>
          </w:p>
        </w:tc>
        <w:tc>
          <w:tcPr>
            <w:tcW w:type="dxa" w:w="4762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The body of the note.</w:t>
            </w:r>
          </w:p>
        </w:tc>
      </w:tr>
      <w:tr>
        <w:tc>
          <w:tcPr>
            <w:tcW w:type="dxa" w:w="1757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White</w:t>
            </w:r>
          </w:p>
        </w:tc>
        <w:tc>
          <w:tcPr>
            <w:tcW w:type="dxa" w:w="1191"/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/>
                <w:b w:val="0"/>
                <w:color w:val="12211A"/>
                <w:sz w:val="17"/>
              </w:rPr>
              <w:t>#FFFFFF</w:t>
            </w:r>
          </w:p>
        </w:tc>
        <w:tc>
          <w:tcPr>
            <w:tcW w:type="dxa" w:w="1701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0 / 0 / 0 / 0</w:t>
            </w:r>
          </w:p>
        </w:tc>
        <w:tc>
          <w:tcPr>
            <w:tcW w:type="dxa" w:w="4762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The card face.</w:t>
            </w:r>
          </w:p>
        </w:tc>
      </w:tr>
      <w:tr>
        <w:tc>
          <w:tcPr>
            <w:tcW w:type="dxa" w:w="1757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Light paper</w:t>
            </w:r>
          </w:p>
        </w:tc>
        <w:tc>
          <w:tcPr>
            <w:tcW w:type="dxa" w:w="1191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/>
                <w:b w:val="0"/>
                <w:color w:val="12211A"/>
                <w:sz w:val="17"/>
              </w:rPr>
              <w:t>#F2EFE6</w:t>
            </w:r>
          </w:p>
        </w:tc>
        <w:tc>
          <w:tcPr>
            <w:tcW w:type="dxa" w:w="1701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0 / 1 / 5 / 5</w:t>
            </w:r>
          </w:p>
        </w:tc>
        <w:tc>
          <w:tcPr>
            <w:tcW w:type="dxa" w:w="4762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The footer bar.</w:t>
            </w:r>
          </w:p>
        </w:tc>
      </w:tr>
      <w:tr>
        <w:tc>
          <w:tcPr>
            <w:tcW w:type="dxa" w:w="1757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Sage</w:t>
            </w:r>
          </w:p>
        </w:tc>
        <w:tc>
          <w:tcPr>
            <w:tcW w:type="dxa" w:w="1191"/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/>
                <w:b w:val="0"/>
                <w:color w:val="12211A"/>
                <w:sz w:val="17"/>
              </w:rPr>
              <w:t>#5C6B62</w:t>
            </w:r>
          </w:p>
        </w:tc>
        <w:tc>
          <w:tcPr>
            <w:tcW w:type="dxa" w:w="1701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0 / 0 / 0 / 60</w:t>
            </w:r>
          </w:p>
        </w:tc>
        <w:tc>
          <w:tcPr>
            <w:tcW w:type="dxa" w:w="4762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The footer line. Quiet on purpose.</w:t>
            </w:r>
          </w:p>
        </w:tc>
      </w:tr>
      <w:tr>
        <w:tc>
          <w:tcPr>
            <w:tcW w:type="dxa" w:w="1757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Warm paper</w:t>
            </w:r>
          </w:p>
        </w:tc>
        <w:tc>
          <w:tcPr>
            <w:tcW w:type="dxa" w:w="1191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/>
                <w:b w:val="0"/>
                <w:color w:val="12211A"/>
                <w:sz w:val="17"/>
              </w:rPr>
              <w:t>#E8E4D5</w:t>
            </w:r>
          </w:p>
        </w:tc>
        <w:tc>
          <w:tcPr>
            <w:tcW w:type="dxa" w:w="1701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0 / 2 / 8 / 9</w:t>
            </w:r>
          </w:p>
        </w:tc>
        <w:tc>
          <w:tcPr>
            <w:tcW w:type="dxa" w:w="4762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Cream, if the card sits on a ground rather than bleeding.</w:t>
            </w:r>
          </w:p>
        </w:tc>
      </w:tr>
      <w:tr>
        <w:tc>
          <w:tcPr>
            <w:tcW w:type="dxa" w:w="1757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Vivid green</w:t>
            </w:r>
          </w:p>
        </w:tc>
        <w:tc>
          <w:tcPr>
            <w:tcW w:type="dxa" w:w="1191"/>
          </w:tcPr>
          <w:p>
            <w:pPr>
              <w:spacing w:after="0" w:before="0" w:line="259" w:lineRule="auto"/>
            </w:pPr>
            <w:r/>
            <w:r>
              <w:rPr>
                <w:rFonts w:ascii="Consolas" w:hAnsi="Consolas"/>
                <w:b w:val="0"/>
                <w:color w:val="12211A"/>
                <w:sz w:val="17"/>
              </w:rPr>
              <w:t>#22B352</w:t>
            </w:r>
          </w:p>
        </w:tc>
        <w:tc>
          <w:tcPr>
            <w:tcW w:type="dxa" w:w="1701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81 / 0 / 54 / 30</w:t>
            </w:r>
          </w:p>
        </w:tc>
        <w:tc>
          <w:tcPr>
            <w:tcW w:type="dxa" w:w="4762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Shapes only — bars, rings, fills. Never a line of text.</w:t>
            </w:r>
          </w:p>
        </w:tc>
      </w:tr>
    </w:tbl>
    <w:p>
      <w:pPr>
        <w:spacing w:after="40" w:line="269" w:lineRule="auto"/>
      </w:pPr>
    </w:p>
    <w:p>
      <w:pPr>
        <w:spacing w:after="120" w:line="269" w:lineRule="auto"/>
      </w:pPr>
      <w:r>
        <w:rPr>
          <w:b/>
          <w:i w:val="0"/>
          <w:sz w:val="19"/>
        </w:rPr>
        <w:t>Two colours that are easy to get wrong.</w:t>
      </w:r>
      <w:r>
        <w:rPr>
          <w:b w:val="0"/>
          <w:i w:val="0"/>
          <w:sz w:val="19"/>
        </w:rPr>
        <w:t xml:space="preserve"> Vivid green #22B352 is for shapes and never for words — white on it measures 3.1:1 and fails. And on the lime bar, the wordmark cannot be lime and cannot be mid-green at reduced strength; it is #2A7337 and #072F1E at full strength, which is the only pair that reads.</w:t>
      </w:r>
    </w:p>
    <w:p>
      <w:r>
        <w:br w:type="page"/>
      </w:r>
    </w:p>
    <w:p>
      <w:pPr>
        <w:spacing w:before="0" w:after="80"/>
      </w:pPr>
      <w:r>
        <w:rPr>
          <w:b/>
          <w:color w:val="14452F"/>
          <w:sz w:val="30"/>
        </w:rPr>
        <w:t>3 · Type</w:t>
      </w:r>
    </w:p>
    <w:p>
      <w:pPr>
        <w:spacing w:after="120" w:line="269" w:lineRule="auto"/>
      </w:pPr>
      <w:r>
        <w:rPr>
          <w:b w:val="0"/>
          <w:i w:val="0"/>
          <w:sz w:val="20"/>
        </w:rPr>
        <w:t>Two families, both free under the SIL Open Font Licence, both on Google Fonts. Download the desktop files rather than using a lookalike — the site is set in these and a substitute will show side by side.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0DA"/>
          <w:left w:val="single" w:sz="4" w:color="D8E0DA"/>
          <w:bottom w:val="single" w:sz="4" w:color="D8E0DA"/>
          <w:right w:val="single" w:sz="4" w:color="D8E0DA"/>
          <w:insideH w:val="single" w:sz="4" w:color="D8E0DA"/>
          <w:insideV w:val="single" w:sz="4" w:color="D8E0DA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268"/>
            <w:shd w:val="clear" w:color="auto" w:fill="14452F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Family</w:t>
            </w:r>
          </w:p>
        </w:tc>
        <w:tc>
          <w:tcPr>
            <w:tcW w:type="dxa" w:w="1191"/>
            <w:shd w:val="clear" w:color="auto" w:fill="14452F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Weight</w:t>
            </w:r>
          </w:p>
        </w:tc>
        <w:tc>
          <w:tcPr>
            <w:tcW w:type="dxa" w:w="3005"/>
            <w:shd w:val="clear" w:color="auto" w:fill="14452F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Used for</w:t>
            </w:r>
          </w:p>
        </w:tc>
        <w:tc>
          <w:tcPr>
            <w:tcW w:type="dxa" w:w="2948"/>
            <w:shd w:val="clear" w:color="auto" w:fill="14452F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Where to get it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Barlow Condensed</w:t>
            </w:r>
          </w:p>
        </w:tc>
        <w:tc>
          <w:tcPr>
            <w:tcW w:type="dxa" w:w="1191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900</w:t>
            </w:r>
          </w:p>
        </w:tc>
        <w:tc>
          <w:tcPr>
            <w:tcW w:type="dxa" w:w="3005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The wordmark, the greeting, any all-caps label</w:t>
            </w:r>
          </w:p>
        </w:tc>
        <w:tc>
          <w:tcPr>
            <w:tcW w:type="dxa" w:w="2948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fonts.google.com/specimen/Barlow+Condensed</w:t>
            </w:r>
          </w:p>
        </w:tc>
      </w:tr>
      <w:tr>
        <w:tc>
          <w:tcPr>
            <w:tcW w:type="dxa" w:w="2268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Archivo</w:t>
            </w:r>
          </w:p>
        </w:tc>
        <w:tc>
          <w:tcPr>
            <w:tcW w:type="dxa" w:w="1191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400</w:t>
            </w:r>
          </w:p>
        </w:tc>
        <w:tc>
          <w:tcPr>
            <w:tcW w:type="dxa" w:w="3005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Body copy — the note itself</w:t>
            </w:r>
          </w:p>
        </w:tc>
        <w:tc>
          <w:tcPr>
            <w:tcW w:type="dxa" w:w="2948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fonts.google.com/specimen/Archivo</w:t>
            </w:r>
          </w:p>
        </w:tc>
      </w:tr>
      <w:tr>
        <w:tc>
          <w:tcPr>
            <w:tcW w:type="dxa" w:w="2268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Archivo</w:t>
            </w:r>
          </w:p>
        </w:tc>
        <w:tc>
          <w:tcPr>
            <w:tcW w:type="dxa" w:w="1191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800</w:t>
            </w:r>
          </w:p>
        </w:tc>
        <w:tc>
          <w:tcPr>
            <w:tcW w:type="dxa" w:w="3005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The signature line and anything that needs weight</w:t>
            </w:r>
          </w:p>
        </w:tc>
        <w:tc>
          <w:tcPr>
            <w:tcW w:type="dxa" w:w="2948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fonts.google.com/specimen/Archivo</w:t>
            </w:r>
          </w:p>
        </w:tc>
      </w:tr>
      <w:tr>
        <w:tc>
          <w:tcPr>
            <w:tcW w:type="dxa" w:w="2268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Archivo Black</w:t>
            </w:r>
          </w:p>
        </w:tc>
        <w:tc>
          <w:tcPr>
            <w:tcW w:type="dxa" w:w="1191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—</w:t>
            </w:r>
          </w:p>
        </w:tc>
        <w:tc>
          <w:tcPr>
            <w:tcW w:type="dxa" w:w="3005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Large display headlines. Probably not needed at postcard size.</w:t>
            </w:r>
          </w:p>
        </w:tc>
        <w:tc>
          <w:tcPr>
            <w:tcW w:type="dxa" w:w="2948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fonts.google.com/specimen/Archivo+Black</w:t>
            </w:r>
          </w:p>
        </w:tc>
      </w:tr>
    </w:tbl>
    <w:p>
      <w:pPr>
        <w:spacing w:after="40" w:line="269" w:lineRule="auto"/>
      </w:pPr>
    </w:p>
    <w:p>
      <w:pPr>
        <w:spacing w:after="120" w:line="269" w:lineRule="auto"/>
      </w:pPr>
      <w:r>
        <w:rPr>
          <w:b/>
          <w:i w:val="0"/>
          <w:sz w:val="19"/>
        </w:rPr>
        <w:t>No handwriting face and no serif.</w:t>
      </w:r>
      <w:r>
        <w:rPr>
          <w:b w:val="0"/>
          <w:i w:val="0"/>
          <w:sz w:val="19"/>
        </w:rPr>
        <w:t xml:space="preserve"> The note looks handwritten in concept but is set in the product’s own sans, deliberately: somebody is being asked to read it and act on it, and a script face turns a request into a novelty.</w:t>
      </w:r>
    </w:p>
    <w:p>
      <w:pPr>
        <w:spacing w:before="280" w:after="80"/>
      </w:pPr>
      <w:r>
        <w:rPr>
          <w:b/>
          <w:color w:val="14452F"/>
          <w:sz w:val="30"/>
        </w:rPr>
        <w:t>4 · The wordmark</w:t>
      </w:r>
    </w:p>
    <w:p>
      <w:pPr>
        <w:spacing w:after="120" w:line="269" w:lineRule="auto"/>
      </w:pPr>
      <w:r>
        <w:rPr>
          <w:b w:val="0"/>
          <w:i w:val="0"/>
          <w:sz w:val="20"/>
        </w:rPr>
        <w:t xml:space="preserve">It is </w:t>
      </w:r>
      <w:r>
        <w:rPr>
          <w:b/>
          <w:i w:val="0"/>
          <w:sz w:val="20"/>
        </w:rPr>
        <w:t>set type, not a drawn logo</w:t>
      </w:r>
      <w:r>
        <w:rPr>
          <w:b w:val="0"/>
          <w:i w:val="0"/>
          <w:sz w:val="20"/>
        </w:rPr>
        <w:t xml:space="preserve"> — GOOD, then TIP, then a full stop, in Barlow Condensed 900, all capitals, tracked +10/1000 em. Reproduce it by setting it, not by scaling a bitmap. The full stop is full size, same weight, same colour as TIP.</w:t>
      </w:r>
    </w:p>
    <w:p>
      <w:pPr>
        <w:spacing w:after="120" w:line="269" w:lineRule="auto"/>
      </w:pPr>
      <w:r>
        <w:rPr>
          <w:b w:val="0"/>
          <w:i w:val="0"/>
          <w:sz w:val="20"/>
        </w:rPr>
        <w:t>Three approved colourways, and nothing else:</w:t>
      </w:r>
    </w:p>
    <w:p>
      <w:pPr>
        <w:pStyle w:val="ListBullet"/>
        <w:spacing w:after="60" w:line="264" w:lineRule="auto"/>
      </w:pPr>
      <w:r>
        <w:rPr>
          <w:b w:val="0"/>
          <w:sz w:val="19"/>
        </w:rPr>
        <w:t xml:space="preserve">On white, cream, or the lime bar — </w:t>
      </w:r>
      <w:r>
        <w:rPr>
          <w:b/>
          <w:sz w:val="19"/>
        </w:rPr>
        <w:t>GOOD #2A7337</w:t>
      </w:r>
      <w:r>
        <w:rPr>
          <w:b w:val="0"/>
          <w:sz w:val="19"/>
        </w:rPr>
        <w:t xml:space="preserve">, </w:t>
      </w:r>
      <w:r>
        <w:rPr>
          <w:b/>
          <w:sz w:val="19"/>
        </w:rPr>
        <w:t>TIP and the stop #072F1E</w:t>
      </w:r>
    </w:p>
    <w:p>
      <w:pPr>
        <w:pStyle w:val="ListBullet"/>
        <w:spacing w:after="60" w:line="264" w:lineRule="auto"/>
      </w:pPr>
      <w:r>
        <w:rPr>
          <w:b w:val="0"/>
          <w:sz w:val="19"/>
        </w:rPr>
        <w:t xml:space="preserve">Reversed out of deep green — </w:t>
      </w:r>
      <w:r>
        <w:rPr>
          <w:b/>
          <w:sz w:val="19"/>
        </w:rPr>
        <w:t>the whole mark #CFF93A</w:t>
      </w:r>
    </w:p>
    <w:p>
      <w:pPr>
        <w:spacing w:after="120" w:line="269" w:lineRule="auto"/>
      </w:pPr>
      <w:r>
        <w:rPr>
          <w:b w:val="0"/>
          <w:i w:val="0"/>
          <w:sz w:val="19"/>
        </w:rPr>
        <w:t xml:space="preserve">The name is </w:t>
      </w:r>
      <w:r>
        <w:rPr>
          <w:b/>
          <w:i w:val="0"/>
          <w:sz w:val="19"/>
        </w:rPr>
        <w:t>GoodTip</w:t>
      </w:r>
      <w:r>
        <w:rPr>
          <w:b w:val="0"/>
          <w:i w:val="0"/>
          <w:sz w:val="19"/>
        </w:rPr>
        <w:t>, one word, capital G and capital T. Not “Good Tips”, not “Good Tip”. An earlier version of this artwork carried a wax seal reading GOOD TIPS and it was the first thing the client caught.</w:t>
      </w:r>
    </w:p>
    <w:p>
      <w:pPr>
        <w:spacing w:before="280" w:after="80"/>
      </w:pPr>
      <w:r>
        <w:rPr>
          <w:b/>
          <w:color w:val="14452F"/>
          <w:sz w:val="30"/>
        </w:rPr>
        <w:t>5 · What makes the card a card</w:t>
      </w:r>
    </w:p>
    <w:p>
      <w:pPr>
        <w:spacing w:after="120" w:line="269" w:lineRule="auto"/>
      </w:pPr>
      <w:r>
        <w:rPr>
          <w:b w:val="0"/>
          <w:i w:val="0"/>
          <w:sz w:val="20"/>
        </w:rPr>
        <w:t xml:space="preserve">Its whole character comes from three things and the restraint around them. </w:t>
      </w:r>
      <w:r>
        <w:rPr>
          <w:b/>
          <w:i w:val="0"/>
          <w:sz w:val="20"/>
        </w:rPr>
        <w:t>The card is dead straight</w:t>
      </w:r>
      <w:r>
        <w:rPr>
          <w:b w:val="0"/>
          <w:i w:val="0"/>
          <w:sz w:val="20"/>
        </w:rPr>
        <w:t xml:space="preserve"> — no tilt, no paper texture, no props. That is deliberate, not an omission. The piece is a clean, modern object; the moment it starts imitating stationery it stops being this design.</w:t>
      </w:r>
    </w:p>
    <w:p>
      <w:pPr>
        <w:pStyle w:val="ListBullet"/>
        <w:spacing w:after="60" w:line="264" w:lineRule="auto"/>
      </w:pPr>
      <w:r>
        <w:rPr>
          <w:b/>
          <w:sz w:val="19"/>
        </w:rPr>
        <w:t>The lime bar.</w:t>
      </w:r>
      <w:r>
        <w:rPr>
          <w:b w:val="0"/>
          <w:sz w:val="19"/>
        </w:rPr>
        <w:t xml:space="preserve"> A band across the top carrying the wordmark on the left and a small all-caps label on the right. It is the only large piece of colour on the piece, which is what lets it carry the brand on its own.</w:t>
      </w:r>
    </w:p>
    <w:p>
      <w:pPr>
        <w:pStyle w:val="ListBullet"/>
        <w:spacing w:after="60" w:line="264" w:lineRule="auto"/>
      </w:pPr>
      <w:r>
        <w:rPr>
          <w:b/>
          <w:sz w:val="19"/>
        </w:rPr>
        <w:t>The white face, with room.</w:t>
      </w:r>
      <w:r>
        <w:rPr>
          <w:b w:val="0"/>
          <w:sz w:val="19"/>
        </w:rPr>
        <w:t xml:space="preserve"> Generous margins around the note — roughly 6 mm at postcard scale. The note is short; letting it sit in space is the difference between a card and a flyer.</w:t>
      </w:r>
    </w:p>
    <w:p>
      <w:pPr>
        <w:pStyle w:val="ListBullet"/>
        <w:spacing w:after="60" w:line="264" w:lineRule="auto"/>
      </w:pPr>
      <w:r>
        <w:rPr>
          <w:b/>
          <w:sz w:val="19"/>
        </w:rPr>
        <w:t>The quiet footer.</w:t>
      </w:r>
      <w:r>
        <w:rPr>
          <w:b w:val="0"/>
          <w:sz w:val="19"/>
        </w:rPr>
        <w:t xml:space="preserve"> A band of light paper at the bottom, one lime dot, and the provenance line in small sage type. It is deliberately the least interesting thing on the card.</w:t>
      </w:r>
    </w:p>
    <w:p>
      <w:pPr>
        <w:pStyle w:val="ListBullet"/>
        <w:spacing w:after="60" w:line="264" w:lineRule="auto"/>
      </w:pPr>
      <w:r>
        <w:rPr>
          <w:b/>
          <w:sz w:val="19"/>
        </w:rPr>
        <w:t>Soft corners and a soft shadow.</w:t>
      </w:r>
      <w:r>
        <w:rPr>
          <w:b w:val="0"/>
          <w:sz w:val="19"/>
        </w:rPr>
        <w:t xml:space="preserve"> 4.5 mm corner radius. On screen the card lifts off the page; in print that shadow either goes inside the artwork as a real gradient or it goes away entirely. A bad shadow is worse than none.</w:t>
      </w:r>
    </w:p>
    <w:p>
      <w:pPr>
        <w:spacing w:after="120" w:line="269" w:lineRule="auto"/>
      </w:pPr>
      <w:r>
        <w:rPr>
          <w:b/>
          <w:i w:val="0"/>
          <w:sz w:val="19"/>
        </w:rPr>
        <w:t>What not to add.</w:t>
      </w:r>
      <w:r>
        <w:rPr>
          <w:b w:val="0"/>
          <w:i w:val="0"/>
          <w:sz w:val="19"/>
        </w:rPr>
        <w:t xml:space="preserve"> No tilt, no paper grain, no tape, no pin, no torn edge, no drop shadow under the type. Each of those pulls the card toward looking like a note somebody left on a desk, which is the opposite of what it is for.</w:t>
      </w:r>
    </w:p>
    <w:p>
      <w:pPr>
        <w:spacing w:before="280" w:after="80"/>
      </w:pPr>
      <w:r>
        <w:rPr>
          <w:b/>
          <w:color w:val="14452F"/>
          <w:sz w:val="30"/>
        </w:rPr>
        <w:t>6 · Production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8E0DA"/>
          <w:left w:val="single" w:sz="4" w:color="D8E0DA"/>
          <w:bottom w:val="single" w:sz="4" w:color="D8E0DA"/>
          <w:right w:val="single" w:sz="4" w:color="D8E0DA"/>
          <w:insideH w:val="single" w:sz="4" w:color="D8E0DA"/>
          <w:insideV w:val="single" w:sz="4" w:color="D8E0DA"/>
        </w:tblBorders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2381"/>
            <w:shd w:val="clear" w:color="auto" w:fill="14452F"/>
          </w:tcPr>
          <w:p>
            <w:pPr>
              <w:spacing w:after="0" w:before="0" w:line="259" w:lineRule="auto"/>
            </w:pPr>
            <w:r/>
          </w:p>
        </w:tc>
        <w:tc>
          <w:tcPr>
            <w:tcW w:type="dxa" w:w="7030"/>
            <w:shd w:val="clear" w:color="auto" w:fill="14452F"/>
          </w:tcPr>
          <w:p>
            <w:pPr>
              <w:spacing w:after="0" w:before="0" w:line="259" w:lineRule="auto"/>
            </w:pPr>
            <w:r/>
          </w:p>
        </w:tc>
      </w:tr>
      <w:tr>
        <w:tc>
          <w:tcPr>
            <w:tcW w:type="dxa" w:w="2381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Size</w:t>
            </w:r>
          </w:p>
        </w:tc>
        <w:tc>
          <w:tcPr>
            <w:tcW w:type="dxa" w:w="7030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A6 portrait — 105 × 148 mm. That is how the card is drawn and how it is proportioned; landscape would need the note re-set.</w:t>
            </w:r>
          </w:p>
        </w:tc>
      </w:tr>
      <w:tr>
        <w:tc>
          <w:tcPr>
            <w:tcW w:type="dxa" w:w="2381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Bleed</w:t>
            </w:r>
          </w:p>
        </w:tc>
        <w:tc>
          <w:tcPr>
            <w:tcW w:type="dxa" w:w="7030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3 mm all round. The artboards are 154 × 111 mm and 111 × 154 mm accordingly.</w:t>
            </w:r>
          </w:p>
        </w:tc>
      </w:tr>
      <w:tr>
        <w:tc>
          <w:tcPr>
            <w:tcW w:type="dxa" w:w="2381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Safe margin</w:t>
            </w:r>
          </w:p>
        </w:tc>
        <w:tc>
          <w:tcPr>
            <w:tcW w:type="dxa" w:w="7030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5 mm inside trim. Nothing that matters closer than that to an edge.</w:t>
            </w:r>
          </w:p>
        </w:tc>
      </w:tr>
      <w:tr>
        <w:tc>
          <w:tcPr>
            <w:tcW w:type="dxa" w:w="2381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Resolution</w:t>
            </w:r>
          </w:p>
        </w:tc>
        <w:tc>
          <w:tcPr>
            <w:tcW w:type="dxa" w:w="7030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Vector throughout. Nothing in this pack is a raster image.</w:t>
            </w:r>
          </w:p>
        </w:tc>
      </w:tr>
      <w:tr>
        <w:tc>
          <w:tcPr>
            <w:tcW w:type="dxa" w:w="2381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Stock</w:t>
            </w:r>
          </w:p>
        </w:tc>
        <w:tc>
          <w:tcPr>
            <w:tcW w:type="dxa" w:w="7030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Matt or silk suits the card — it is a clean, modern object, not a piece of stationery. Avoid high gloss; it fights the lime.</w:t>
            </w:r>
          </w:p>
        </w:tc>
      </w:tr>
      <w:tr>
        <w:tc>
          <w:tcPr>
            <w:tcW w:type="dxa" w:w="2381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Back</w:t>
            </w:r>
          </w:p>
        </w:tc>
        <w:tc>
          <w:tcPr>
            <w:tcW w:type="dxa" w:w="7030"/>
            <w:shd w:val="clear" w:color="auto" w:fill="F2F6F3"/>
          </w:tcPr>
          <w:p>
            <w:pPr>
              <w:spacing w:after="0" w:before="0" w:line="259" w:lineRule="auto"/>
            </w:pPr>
            <w:r/>
            <w:r>
              <w:rPr>
                <w:rFonts w:ascii="Calibri" w:hAnsi="Calibri"/>
                <w:b w:val="0"/>
                <w:color w:val="12211A"/>
                <w:sz w:val="17"/>
              </w:rPr>
              <w:t>Not designed. It wants: the footer line, the wordmark, and a QR to goodtip.com.au. Ask before adding anything else.</w:t>
            </w:r>
          </w:p>
        </w:tc>
      </w:tr>
    </w:tbl>
    <w:p>
      <w:pPr>
        <w:spacing w:before="200" w:after="160"/>
        <w:pBdr>
          <w:bottom w:val="single" w:sz="8" w:space="1" w:color="9BD616"/>
        </w:pBdr>
      </w:pPr>
    </w:p>
    <w:p>
      <w:pPr>
        <w:spacing w:after="120" w:line="269" w:lineRule="auto"/>
      </w:pPr>
      <w:r>
        <w:rPr>
          <w:b w:val="0"/>
          <w:i/>
          <w:sz w:val="19"/>
        </w:rPr>
        <w:t>Questions on any of this, or if you want the artwork in another format — ask Erick.</w:t>
      </w:r>
    </w:p>
    <w:sectPr w:rsidR="00FC693F" w:rsidRPr="0006063C" w:rsidSect="00034616">
      <w:pgSz w:w="11906" w:h="16838"/>
      <w:pgMar w:top="1077" w:right="1247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221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