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14452F"/>
          <w:sz w:val="44"/>
        </w:rPr>
        <w:t>GoodTip — the nine items, answered</w:t>
      </w:r>
    </w:p>
    <w:p>
      <w:pPr>
        <w:spacing w:after="80"/>
      </w:pPr>
      <w:r>
        <w:rPr>
          <w:color w:val="5C6B62"/>
          <w:sz w:val="20"/>
        </w:rPr>
        <w:t>Erick Mbatha  ·  for Ian Hopkinson  ·  23 September 2026</w:t>
      </w:r>
    </w:p>
    <w:p>
      <w:pPr>
        <w:spacing w:before="0" w:after="240"/>
        <w:pBdr>
          <w:bottom w:val="single" w:sz="8" w:space="1" w:color="9BD616"/>
        </w:pBdr>
      </w:pPr>
    </w:p>
    <w:p>
      <w:pPr>
        <w:spacing w:after="120" w:line="269" w:lineRule="auto"/>
      </w:pPr>
      <w:r>
        <w:rPr>
          <w:b w:val="0"/>
          <w:sz w:val="20"/>
        </w:rPr>
        <w:t>Ian — thanks for the answers. Six of the nine closed the same day, and the feedback that came in alongside them is done too.</w:t>
      </w:r>
    </w:p>
    <w:p>
      <w:pPr>
        <w:spacing w:after="120" w:line="269" w:lineRule="auto"/>
      </w:pPr>
      <w:r>
        <w:rPr>
          <w:b/>
          <w:sz w:val="20"/>
        </w:rPr>
        <w:t>It is all on the server now — staging.goodtip.com.au — so you can click through any of it.</w:t>
      </w:r>
      <w:r>
        <w:rPr>
          <w:b w:val="0"/>
          <w:sz w:val="20"/>
        </w:rPr>
        <w:t xml:space="preserve"> The live site is untouched.</w:t>
      </w:r>
    </w:p>
    <w:p>
      <w:pPr>
        <w:spacing w:after="120" w:line="269" w:lineRule="auto"/>
      </w:pPr>
      <w:r>
        <w:rPr>
          <w:b/>
          <w:sz w:val="19"/>
        </w:rPr>
        <w:t>Two things before you look.</w:t>
      </w:r>
      <w:r>
        <w:rPr>
          <w:b w:val="0"/>
          <w:sz w:val="19"/>
        </w:rPr>
        <w:t xml:space="preserve"> Hard-refresh once (Ctrl+Shift+R), or your browser will serve you the old stylesheet and a rebuilt page will look unchanged. And your machine has “reduce motion” switched on at the operating-system level — the site honours it, so every animation you have seen has been the slowed or suppressed version. Add </w:t>
      </w:r>
      <w:r>
        <w:rPr>
          <w:b/>
          <w:sz w:val="19"/>
        </w:rPr>
        <w:t>?motion=1</w:t>
      </w:r>
      <w:r>
        <w:rPr>
          <w:b w:val="0"/>
          <w:sz w:val="19"/>
        </w:rPr>
        <w:t xml:space="preserve"> to any address once to see them properly; </w:t>
      </w:r>
      <w:r>
        <w:rPr>
          <w:b/>
          <w:sz w:val="19"/>
        </w:rPr>
        <w:t>?motion=0</w:t>
      </w:r>
      <w:r>
        <w:rPr>
          <w:b w:val="0"/>
          <w:sz w:val="19"/>
        </w:rPr>
        <w:t xml:space="preserve"> puts it back.</w:t>
      </w:r>
    </w:p>
    <w:p>
      <w:pPr>
        <w:spacing w:after="240"/>
      </w:pPr>
      <w:r>
        <w:rPr>
          <w:b/>
          <w:color w:val="14452F"/>
          <w:sz w:val="19"/>
        </w:rPr>
        <w:t>9 items answered  ·  6 closed  ·  1,543 tests passing  ·  0 colour pairs below WCAG AA</w:t>
      </w:r>
    </w:p>
    <w:p>
      <w:pPr>
        <w:spacing w:before="40" w:after="60"/>
      </w:pPr>
      <w:r>
        <w:rPr>
          <w:b/>
          <w:color w:val="14452F"/>
          <w:sz w:val="32"/>
        </w:rPr>
        <w:t>Table 1 — Your nine items</w:t>
      </w:r>
    </w:p>
    <w:p>
      <w:pPr>
        <w:spacing w:after="160"/>
      </w:pPr>
      <w:r>
        <w:rPr>
          <w:i/>
          <w:color w:val="5C6B62"/>
          <w:sz w:val="19"/>
        </w:rPr>
        <w:t>Your answer, and what was built from it.</w:t>
      </w:r>
    </w:p>
    <w:tbl>
      <w:tblPr>
        <w:tblW w:type="auto" w:w="0"/>
        <w:jc w:val="left"/>
        <w:tblLayout w:type="fixed"/>
        <w:tblLook w:firstColumn="1" w:firstRow="1" w:lastColumn="0" w:lastRow="0" w:noHBand="0" w:noVBand="1" w:val="04A0"/>
        <w:tblLayout w:type="fixed"/>
        <w:tblBorders>
          <w:top w:val="single" w:sz="4" w:color="D8E0DA"/>
          <w:left w:val="single" w:sz="4" w:color="D8E0DA"/>
          <w:bottom w:val="single" w:sz="4" w:color="D8E0DA"/>
          <w:right w:val="single" w:sz="4" w:color="D8E0DA"/>
          <w:insideH w:val="single" w:sz="4" w:color="D8E0DA"/>
          <w:insideV w:val="single" w:sz="4" w:color="D8E0DA"/>
        </w:tblBorders>
        <w:tblCellMar>
          <w:top w:w="80" w:type="dxa"/>
          <w:left w:w="110" w:type="dxa"/>
          <w:bottom w:w="80" w:type="dxa"/>
          <w:right w:w="110" w:type="dxa"/>
        </w:tblCellMar>
      </w:tblPr>
      <w:tblGrid>
        <w:gridCol w:w="4857"/>
        <w:gridCol w:w="4857"/>
        <w:gridCol w:w="4857"/>
      </w:tblGrid>
      <w:tr>
        <w:trPr>
          <w:tblHeader w:val="true"/>
          <w:cantSplit/>
        </w:trPr>
        <w:tc>
          <w:tcPr>
            <w:tcW w:type="dxa" w:w="624"/>
            <w:shd w:val="clear" w:color="auto" w:fill="14452F"/>
          </w:tcPr>
          <w:p>
            <w:pPr>
              <w:spacing w:after="0" w:before="0" w:line="264" w:lineRule="auto"/>
            </w:pPr>
            <w:r/>
            <w:r>
              <w:rPr>
                <w:rFonts w:ascii="Calibri" w:hAnsi="Calibri"/>
                <w:b/>
                <w:color w:val="FFFFFF"/>
                <w:sz w:val="19"/>
              </w:rPr>
              <w:t>#</w:t>
            </w:r>
          </w:p>
        </w:tc>
        <w:tc>
          <w:tcPr>
            <w:tcW w:type="dxa" w:w="5329"/>
            <w:shd w:val="clear" w:color="auto" w:fill="14452F"/>
          </w:tcPr>
          <w:p>
            <w:pPr>
              <w:spacing w:after="0" w:before="0" w:line="264" w:lineRule="auto"/>
            </w:pPr>
            <w:r/>
            <w:r>
              <w:rPr>
                <w:rFonts w:ascii="Calibri" w:hAnsi="Calibri"/>
                <w:b/>
                <w:color w:val="FFFFFF"/>
                <w:sz w:val="19"/>
              </w:rPr>
              <w:t>What you said</w:t>
            </w:r>
          </w:p>
        </w:tc>
        <w:tc>
          <w:tcPr>
            <w:tcW w:type="dxa" w:w="8617"/>
            <w:shd w:val="clear" w:color="auto" w:fill="14452F"/>
          </w:tcPr>
          <w:p>
            <w:pPr>
              <w:spacing w:after="0" w:before="0" w:line="264" w:lineRule="auto"/>
            </w:pPr>
            <w:r/>
            <w:r>
              <w:rPr>
                <w:rFonts w:ascii="Calibri" w:hAnsi="Calibri"/>
                <w:b/>
                <w:color w:val="FFFFFF"/>
                <w:sz w:val="19"/>
              </w:rPr>
              <w:t>What was done</w:t>
            </w:r>
          </w:p>
        </w:tc>
      </w:tr>
      <w:tr>
        <w:trPr>
          <w:cantSplit/>
        </w:trPr>
        <w:tc>
          <w:tcPr>
            <w:tcW w:type="dxa" w:w="624"/>
          </w:tcPr>
          <w:p>
            <w:pPr>
              <w:spacing w:after="0" w:before="0" w:line="264" w:lineRule="auto"/>
            </w:pPr>
            <w:r/>
            <w:r>
              <w:rPr>
                <w:rFonts w:ascii="Calibri" w:hAnsi="Calibri"/>
                <w:b w:val="0"/>
                <w:color w:val="12211A"/>
                <w:sz w:val="19"/>
              </w:rPr>
              <w:t>1</w:t>
            </w:r>
          </w:p>
        </w:tc>
        <w:tc>
          <w:tcPr>
            <w:tcW w:type="dxa" w:w="5329"/>
          </w:tcPr>
          <w:p>
            <w:pPr>
              <w:spacing w:after="0" w:before="0" w:line="264" w:lineRule="auto"/>
            </w:pPr>
            <w:r/>
            <w:r>
              <w:rPr>
                <w:rFonts w:ascii="Calibri" w:hAnsi="Calibri"/>
                <w:b/>
                <w:color w:val="12211A"/>
                <w:sz w:val="19"/>
              </w:rPr>
              <w:t>Stripe access</w:t>
            </w:r>
            <w:r>
              <w:rPr>
                <w:rFonts w:ascii="Calibri" w:hAnsi="Calibri"/>
                <w:b w:val="0"/>
                <w:color w:val="12211A"/>
                <w:sz w:val="19"/>
              </w:rPr>
              <w:t xml:space="preserve"> — “full access already sent to your email, the invite could be a month old.”</w:t>
            </w:r>
          </w:p>
        </w:tc>
        <w:tc>
          <w:tcPr>
            <w:tcW w:type="dxa" w:w="8617"/>
          </w:tcPr>
          <w:p>
            <w:pPr>
              <w:spacing w:after="0" w:before="0" w:line="264" w:lineRule="auto"/>
            </w:pPr>
            <w:r/>
            <w:r>
              <w:rPr>
                <w:rFonts w:ascii="Calibri" w:hAnsi="Calibri"/>
                <w:b/>
                <w:color w:val="12211A"/>
                <w:sz w:val="19"/>
              </w:rPr>
              <w:t>Found and actioned.</w:t>
            </w:r>
            <w:r>
              <w:rPr>
                <w:rFonts w:ascii="Calibri" w:hAnsi="Calibri"/>
                <w:b w:val="0"/>
                <w:color w:val="12211A"/>
                <w:sz w:val="19"/>
              </w:rPr>
              <w:t xml:space="preserve"> The code was finished and waiting: checkout, the webhook, payment recording, and the staging gate already lets Stripe's callback through. What is left is mine — generate the test keys, add the webhook endpoint, run the test cards. Live keys never go on staging.</w:t>
            </w:r>
          </w:p>
        </w:tc>
      </w:tr>
      <w:tr>
        <w:trPr>
          <w:cantSplit/>
        </w:trPr>
        <w:tc>
          <w:tcPr>
            <w:tcW w:type="dxa" w:w="624"/>
            <w:shd w:val="clear" w:color="auto" w:fill="F2F6F3"/>
          </w:tcPr>
          <w:p>
            <w:pPr>
              <w:spacing w:after="0" w:before="0" w:line="264" w:lineRule="auto"/>
            </w:pPr>
            <w:r/>
            <w:r>
              <w:rPr>
                <w:rFonts w:ascii="Calibri" w:hAnsi="Calibri"/>
                <w:b w:val="0"/>
                <w:color w:val="12211A"/>
                <w:sz w:val="19"/>
              </w:rPr>
              <w:t>2</w:t>
            </w:r>
          </w:p>
        </w:tc>
        <w:tc>
          <w:tcPr>
            <w:tcW w:type="dxa" w:w="5329"/>
            <w:shd w:val="clear" w:color="auto" w:fill="F2F6F3"/>
          </w:tcPr>
          <w:p>
            <w:pPr>
              <w:spacing w:after="0" w:before="0" w:line="264" w:lineRule="auto"/>
            </w:pPr>
            <w:r/>
            <w:r>
              <w:rPr>
                <w:rFonts w:ascii="Calibri" w:hAnsi="Calibri"/>
                <w:b/>
                <w:color w:val="12211A"/>
                <w:sz w:val="19"/>
              </w:rPr>
              <w:t>Founding rate</w:t>
            </w:r>
            <w:r>
              <w:rPr>
                <w:rFonts w:ascii="Calibri" w:hAnsi="Calibri"/>
                <w:b w:val="0"/>
                <w:color w:val="12211A"/>
                <w:sz w:val="19"/>
              </w:rPr>
              <w:t xml:space="preserve"> — 3 years, with a stub first term running to the end of the 2027 season, window closing end of January.</w:t>
            </w:r>
          </w:p>
        </w:tc>
        <w:tc>
          <w:tcPr>
            <w:tcW w:type="dxa" w:w="8617"/>
            <w:shd w:val="clear" w:color="auto" w:fill="F2F6F3"/>
          </w:tcPr>
          <w:p>
            <w:pPr>
              <w:spacing w:after="0" w:before="0" w:line="264" w:lineRule="auto"/>
            </w:pPr>
            <w:r/>
            <w:r>
              <w:rPr>
                <w:rFonts w:ascii="Calibri" w:hAnsi="Calibri"/>
                <w:b/>
                <w:color w:val="12211A"/>
                <w:sz w:val="19"/>
              </w:rPr>
              <w:t>Built exactly that.</w:t>
            </w:r>
            <w:r>
              <w:rPr>
                <w:rFonts w:ascii="Calibri" w:hAnsi="Calibri"/>
                <w:b w:val="0"/>
                <w:color w:val="12211A"/>
                <w:sz w:val="19"/>
              </w:rPr>
              <w:t xml:space="preserve"> The window now closes 31 January 2027; the first term runs from sign-up to the end of the 2027 season; two full seasons follow. The lock therefore ends on the same day for everyone, whether they join in October or January. Worth knowing: the old formula added three years to the window's close, which with the window in 2027 would have run every lock to 2030.</w:t>
            </w:r>
          </w:p>
        </w:tc>
      </w:tr>
      <w:tr>
        <w:trPr>
          <w:cantSplit/>
        </w:trPr>
        <w:tc>
          <w:tcPr>
            <w:tcW w:type="dxa" w:w="624"/>
          </w:tcPr>
          <w:p>
            <w:pPr>
              <w:spacing w:after="0" w:before="0" w:line="264" w:lineRule="auto"/>
            </w:pPr>
            <w:r/>
            <w:r>
              <w:rPr>
                <w:rFonts w:ascii="Calibri" w:hAnsi="Calibri"/>
                <w:b w:val="0"/>
                <w:color w:val="12211A"/>
                <w:sz w:val="19"/>
              </w:rPr>
              <w:t>3</w:t>
            </w:r>
          </w:p>
        </w:tc>
        <w:tc>
          <w:tcPr>
            <w:tcW w:type="dxa" w:w="5329"/>
          </w:tcPr>
          <w:p>
            <w:pPr>
              <w:spacing w:after="0" w:before="0" w:line="264" w:lineRule="auto"/>
            </w:pPr>
            <w:r/>
            <w:r>
              <w:rPr>
                <w:rFonts w:ascii="Calibri" w:hAnsi="Calibri"/>
                <w:b/>
                <w:color w:val="12211A"/>
                <w:sz w:val="19"/>
              </w:rPr>
              <w:t>Terms and Privacy</w:t>
            </w:r>
            <w:r>
              <w:rPr>
                <w:rFonts w:ascii="Calibri" w:hAnsi="Calibri"/>
                <w:b w:val="0"/>
                <w:color w:val="12211A"/>
                <w:sz w:val="19"/>
              </w:rPr>
              <w:t xml:space="preserve"> — approved, take the banner down. On clause 3: side stakes are nothing to do with GoodTip, but we discourage them.</w:t>
            </w:r>
          </w:p>
        </w:tc>
        <w:tc>
          <w:tcPr>
            <w:tcW w:type="dxa" w:w="8617"/>
          </w:tcPr>
          <w:p>
            <w:pPr>
              <w:spacing w:after="0" w:before="0" w:line="264" w:lineRule="auto"/>
            </w:pPr>
            <w:r/>
            <w:r>
              <w:rPr>
                <w:rFonts w:ascii="Calibri" w:hAnsi="Calibri"/>
                <w:b/>
                <w:color w:val="12211A"/>
                <w:sz w:val="19"/>
              </w:rPr>
              <w:t>Banner gone from both pages</w:t>
            </w:r>
            <w:r>
              <w:rPr>
                <w:rFonts w:ascii="Calibri" w:hAnsi="Calibri"/>
                <w:b w:val="0"/>
                <w:color w:val="12211A"/>
                <w:sz w:val="19"/>
              </w:rPr>
              <w:t>, and the version stamp moved so sign-ups against the draft and the approved wording can still be told apart. Clause 3 is reworded to your framing. The old text promised to close the comp of anyone running a side pot — policing we have no way of doing. It now says: nothing of that kind through the platform, nothing wearing GoodTip's name, and what a group does privately is their own affair.</w:t>
            </w:r>
          </w:p>
        </w:tc>
      </w:tr>
      <w:tr>
        <w:trPr>
          <w:cantSplit/>
        </w:trPr>
        <w:tc>
          <w:tcPr>
            <w:tcW w:type="dxa" w:w="624"/>
            <w:shd w:val="clear" w:color="auto" w:fill="F2F6F3"/>
          </w:tcPr>
          <w:p>
            <w:pPr>
              <w:spacing w:after="0" w:before="0" w:line="264" w:lineRule="auto"/>
            </w:pPr>
            <w:r/>
            <w:r>
              <w:rPr>
                <w:rFonts w:ascii="Calibri" w:hAnsi="Calibri"/>
                <w:b w:val="0"/>
                <w:color w:val="12211A"/>
                <w:sz w:val="19"/>
              </w:rPr>
              <w:t>4</w:t>
            </w:r>
          </w:p>
        </w:tc>
        <w:tc>
          <w:tcPr>
            <w:tcW w:type="dxa" w:w="5329"/>
            <w:shd w:val="clear" w:color="auto" w:fill="F2F6F3"/>
          </w:tcPr>
          <w:p>
            <w:pPr>
              <w:spacing w:after="0" w:before="0" w:line="264" w:lineRule="auto"/>
            </w:pPr>
            <w:r/>
            <w:r>
              <w:rPr>
                <w:rFonts w:ascii="Calibri" w:hAnsi="Calibri"/>
                <w:b/>
                <w:color w:val="12211A"/>
                <w:sz w:val="19"/>
              </w:rPr>
              <w:t>50 blog posts</w:t>
            </w:r>
            <w:r>
              <w:rPr>
                <w:rFonts w:ascii="Calibri" w:hAnsi="Calibri"/>
                <w:b w:val="0"/>
                <w:color w:val="12211A"/>
                <w:sz w:val="19"/>
              </w:rPr>
              <w:t xml:space="preserve"> — still working on it, not a priority.</w:t>
            </w:r>
          </w:p>
        </w:tc>
        <w:tc>
          <w:tcPr>
            <w:tcW w:type="dxa" w:w="8617"/>
            <w:shd w:val="clear" w:color="auto" w:fill="F2F6F3"/>
          </w:tcPr>
          <w:p>
            <w:pPr>
              <w:spacing w:after="0" w:before="0" w:line="264" w:lineRule="auto"/>
            </w:pPr>
            <w:r/>
            <w:r>
              <w:rPr>
                <w:rFonts w:ascii="Calibri" w:hAnsi="Calibri"/>
                <w:b/>
                <w:color w:val="12211A"/>
                <w:sz w:val="19"/>
              </w:rPr>
              <w:t>Nothing from me.</w:t>
            </w:r>
            <w:r>
              <w:rPr>
                <w:rFonts w:ascii="Calibri" w:hAnsi="Calibri"/>
                <w:b w:val="0"/>
                <w:color w:val="12211A"/>
                <w:sz w:val="19"/>
              </w:rPr>
              <w:t xml:space="preserve"> There are 15 published. Say the word and I will draft outlines or write to a brief you sign off.</w:t>
            </w:r>
          </w:p>
        </w:tc>
      </w:tr>
      <w:tr>
        <w:trPr>
          <w:cantSplit/>
        </w:trPr>
        <w:tc>
          <w:tcPr>
            <w:tcW w:type="dxa" w:w="624"/>
          </w:tcPr>
          <w:p>
            <w:pPr>
              <w:spacing w:after="0" w:before="0" w:line="264" w:lineRule="auto"/>
            </w:pPr>
            <w:r/>
            <w:r>
              <w:rPr>
                <w:rFonts w:ascii="Calibri" w:hAnsi="Calibri"/>
                <w:b w:val="0"/>
                <w:color w:val="12211A"/>
                <w:sz w:val="19"/>
              </w:rPr>
              <w:t>5</w:t>
            </w:r>
          </w:p>
        </w:tc>
        <w:tc>
          <w:tcPr>
            <w:tcW w:type="dxa" w:w="5329"/>
          </w:tcPr>
          <w:p>
            <w:pPr>
              <w:spacing w:after="0" w:before="0" w:line="264" w:lineRule="auto"/>
            </w:pPr>
            <w:r/>
            <w:r>
              <w:rPr>
                <w:rFonts w:ascii="Calibri" w:hAnsi="Calibri"/>
                <w:b/>
                <w:color w:val="12211A"/>
                <w:sz w:val="19"/>
              </w:rPr>
              <w:t>SEO, analytics, conversion tracking</w:t>
            </w:r>
            <w:r>
              <w:rPr>
                <w:rFonts w:ascii="Calibri" w:hAnsi="Calibri"/>
                <w:b w:val="0"/>
                <w:color w:val="12211A"/>
                <w:sz w:val="19"/>
              </w:rPr>
              <w:t xml:space="preserve"> — confirmed Mad Scientist's, handing over Monday.</w:t>
            </w:r>
          </w:p>
        </w:tc>
        <w:tc>
          <w:tcPr>
            <w:tcW w:type="dxa" w:w="8617"/>
          </w:tcPr>
          <w:p>
            <w:pPr>
              <w:spacing w:after="0" w:before="0" w:line="264" w:lineRule="auto"/>
            </w:pPr>
            <w:r/>
            <w:r>
              <w:rPr>
                <w:rFonts w:ascii="Calibri" w:hAnsi="Calibri"/>
                <w:b/>
                <w:color w:val="12211A"/>
                <w:sz w:val="19"/>
              </w:rPr>
              <w:t>Theirs.</w:t>
            </w:r>
            <w:r>
              <w:rPr>
                <w:rFonts w:ascii="Calibri" w:hAnsi="Calibri"/>
                <w:b w:val="0"/>
                <w:color w:val="12211A"/>
                <w:sz w:val="19"/>
              </w:rPr>
              <w:t xml:space="preserve"> One thing to pass on: nothing is installed at all today, so there is no page-view data anywhere — the Services screen says so plainly rather than showing an invented number. Conversion tracking is the blocker for the PNG ad tests on your own sheet, so it is the piece to do first.</w:t>
            </w:r>
          </w:p>
        </w:tc>
      </w:tr>
      <w:tr>
        <w:trPr>
          <w:cantSplit/>
        </w:trPr>
        <w:tc>
          <w:tcPr>
            <w:tcW w:type="dxa" w:w="624"/>
            <w:shd w:val="clear" w:color="auto" w:fill="F2F6F3"/>
          </w:tcPr>
          <w:p>
            <w:pPr>
              <w:spacing w:after="0" w:before="0" w:line="264" w:lineRule="auto"/>
            </w:pPr>
            <w:r/>
            <w:r>
              <w:rPr>
                <w:rFonts w:ascii="Calibri" w:hAnsi="Calibri"/>
                <w:b w:val="0"/>
                <w:color w:val="12211A"/>
                <w:sz w:val="19"/>
              </w:rPr>
              <w:t>6</w:t>
            </w:r>
          </w:p>
        </w:tc>
        <w:tc>
          <w:tcPr>
            <w:tcW w:type="dxa" w:w="5329"/>
            <w:shd w:val="clear" w:color="auto" w:fill="F2F6F3"/>
          </w:tcPr>
          <w:p>
            <w:pPr>
              <w:spacing w:after="0" w:before="0" w:line="264" w:lineRule="auto"/>
            </w:pPr>
            <w:r/>
            <w:r>
              <w:rPr>
                <w:rFonts w:ascii="Calibri" w:hAnsi="Calibri"/>
                <w:b/>
                <w:color w:val="12211A"/>
                <w:sz w:val="19"/>
              </w:rPr>
              <w:t>Walkthrough video</w:t>
            </w:r>
            <w:r>
              <w:rPr>
                <w:rFonts w:ascii="Calibri" w:hAnsi="Calibri"/>
                <w:b w:val="0"/>
                <w:color w:val="12211A"/>
                <w:sz w:val="19"/>
              </w:rPr>
              <w:t xml:space="preserve"> — already done some, nothing to action.</w:t>
            </w:r>
          </w:p>
        </w:tc>
        <w:tc>
          <w:tcPr>
            <w:tcW w:type="dxa" w:w="8617"/>
            <w:shd w:val="clear" w:color="auto" w:fill="F2F6F3"/>
          </w:tcPr>
          <w:p>
            <w:pPr>
              <w:spacing w:after="0" w:before="0" w:line="264" w:lineRule="auto"/>
            </w:pPr>
            <w:r/>
            <w:r>
              <w:rPr>
                <w:rFonts w:ascii="Calibri" w:hAnsi="Calibri"/>
                <w:b/>
                <w:color w:val="12211A"/>
                <w:sz w:val="19"/>
              </w:rPr>
              <w:t>Closed.</w:t>
            </w:r>
            <w:r>
              <w:rPr>
                <w:rFonts w:ascii="Calibri" w:hAnsi="Calibri"/>
                <w:b w:val="0"/>
                <w:color w:val="12211A"/>
                <w:sz w:val="19"/>
              </w:rPr>
              <w:t xml:space="preserve"> I can record a screen walkthrough if it helps.</w:t>
            </w:r>
          </w:p>
        </w:tc>
      </w:tr>
      <w:tr>
        <w:trPr>
          <w:cantSplit/>
        </w:trPr>
        <w:tc>
          <w:tcPr>
            <w:tcW w:type="dxa" w:w="624"/>
          </w:tcPr>
          <w:p>
            <w:pPr>
              <w:spacing w:after="0" w:before="0" w:line="264" w:lineRule="auto"/>
            </w:pPr>
            <w:r/>
            <w:r>
              <w:rPr>
                <w:rFonts w:ascii="Calibri" w:hAnsi="Calibri"/>
                <w:b w:val="0"/>
                <w:color w:val="12211A"/>
                <w:sz w:val="19"/>
              </w:rPr>
              <w:t>7</w:t>
            </w:r>
          </w:p>
        </w:tc>
        <w:tc>
          <w:tcPr>
            <w:tcW w:type="dxa" w:w="5329"/>
          </w:tcPr>
          <w:p>
            <w:pPr>
              <w:spacing w:after="0" w:before="0" w:line="264" w:lineRule="auto"/>
            </w:pPr>
            <w:r/>
            <w:r>
              <w:rPr>
                <w:rFonts w:ascii="Calibri" w:hAnsi="Calibri"/>
                <w:b/>
                <w:color w:val="12211A"/>
                <w:sz w:val="19"/>
              </w:rPr>
              <w:t>“Tell the Boss” postcards</w:t>
            </w:r>
            <w:r>
              <w:rPr>
                <w:rFonts w:ascii="Calibri" w:hAnsi="Calibri"/>
                <w:b w:val="0"/>
                <w:color w:val="12211A"/>
                <w:sz w:val="19"/>
              </w:rPr>
              <w:t xml:space="preserve"> — send the design elements through, your wife will design the print piece.</w:t>
            </w:r>
          </w:p>
        </w:tc>
        <w:tc>
          <w:tcPr>
            <w:tcW w:type="dxa" w:w="8617"/>
          </w:tcPr>
          <w:p>
            <w:pPr>
              <w:spacing w:after="0" w:before="0" w:line="264" w:lineRule="auto"/>
            </w:pPr>
            <w:r/>
            <w:r>
              <w:rPr>
                <w:rFonts w:ascii="Calibri" w:hAnsi="Calibri"/>
                <w:b/>
                <w:color w:val="12211A"/>
                <w:sz w:val="19"/>
              </w:rPr>
              <w:t>Sent with this.</w:t>
            </w:r>
            <w:r>
              <w:rPr>
                <w:rFonts w:ascii="Calibri" w:hAnsi="Calibri"/>
                <w:b w:val="0"/>
                <w:color w:val="12211A"/>
                <w:sz w:val="19"/>
              </w:rPr>
              <w:t xml:space="preserve"> A folder with the card redrawn as an editable vector at A6 with bleed, the wordmark in its approved treatments, the copy word for word, the brand palette with print values, both typefaces and where to download them free, production specs, and what makes the card a card — including what not to add.</w:t>
            </w:r>
          </w:p>
        </w:tc>
      </w:tr>
      <w:tr>
        <w:trPr>
          <w:cantSplit/>
        </w:trPr>
        <w:tc>
          <w:tcPr>
            <w:tcW w:type="dxa" w:w="624"/>
            <w:shd w:val="clear" w:color="auto" w:fill="F2F6F3"/>
          </w:tcPr>
          <w:p>
            <w:pPr>
              <w:spacing w:after="0" w:before="0" w:line="264" w:lineRule="auto"/>
            </w:pPr>
            <w:r/>
            <w:r>
              <w:rPr>
                <w:rFonts w:ascii="Calibri" w:hAnsi="Calibri"/>
                <w:b w:val="0"/>
                <w:color w:val="12211A"/>
                <w:sz w:val="19"/>
              </w:rPr>
              <w:t>8</w:t>
            </w:r>
          </w:p>
        </w:tc>
        <w:tc>
          <w:tcPr>
            <w:tcW w:type="dxa" w:w="5329"/>
            <w:shd w:val="clear" w:color="auto" w:fill="F2F6F3"/>
          </w:tcPr>
          <w:p>
            <w:pPr>
              <w:spacing w:after="0" w:before="0" w:line="264" w:lineRule="auto"/>
            </w:pPr>
            <w:r/>
            <w:r>
              <w:rPr>
                <w:rFonts w:ascii="Calibri" w:hAnsi="Calibri"/>
                <w:b/>
                <w:color w:val="12211A"/>
                <w:sz w:val="19"/>
              </w:rPr>
              <w:t>MatchReader round-by-round accuracy</w:t>
            </w:r>
            <w:r>
              <w:rPr>
                <w:rFonts w:ascii="Calibri" w:hAnsi="Calibri"/>
                <w:b w:val="0"/>
                <w:color w:val="12211A"/>
                <w:sz w:val="19"/>
              </w:rPr>
              <w:t xml:space="preserve"> — leaning yes, want a quick discussion first.</w:t>
            </w:r>
          </w:p>
        </w:tc>
        <w:tc>
          <w:tcPr>
            <w:tcW w:type="dxa" w:w="8617"/>
            <w:shd w:val="clear" w:color="auto" w:fill="F2F6F3"/>
          </w:tcPr>
          <w:p>
            <w:pPr>
              <w:spacing w:after="0" w:before="0" w:line="264" w:lineRule="auto"/>
            </w:pPr>
            <w:r/>
            <w:r>
              <w:rPr>
                <w:rFonts w:ascii="Calibri" w:hAnsi="Calibri"/>
                <w:b/>
                <w:color w:val="12211A"/>
                <w:sz w:val="19"/>
              </w:rPr>
              <w:t>Waiting on that conversation.</w:t>
            </w:r>
            <w:r>
              <w:rPr>
                <w:rFonts w:ascii="Calibri" w:hAnsi="Calibri"/>
                <w:b w:val="0"/>
                <w:color w:val="12211A"/>
                <w:sz w:val="19"/>
              </w:rPr>
              <w:t xml:space="preserve"> Fifteen minutes whenever suits. What needs agreeing is small: record every prediction when it is made, score it once the result lands, and show “last round: 6 of 9” beside the model's overall accuracy. Nothing existing changes; it only starts keeping what it already works out.</w:t>
            </w:r>
          </w:p>
        </w:tc>
      </w:tr>
      <w:tr>
        <w:trPr>
          <w:cantSplit/>
        </w:trPr>
        <w:tc>
          <w:tcPr>
            <w:tcW w:type="dxa" w:w="624"/>
          </w:tcPr>
          <w:p>
            <w:pPr>
              <w:spacing w:after="0" w:before="0" w:line="264" w:lineRule="auto"/>
            </w:pPr>
            <w:r/>
            <w:r>
              <w:rPr>
                <w:rFonts w:ascii="Calibri" w:hAnsi="Calibri"/>
                <w:b w:val="0"/>
                <w:color w:val="12211A"/>
                <w:sz w:val="19"/>
              </w:rPr>
              <w:t>9</w:t>
            </w:r>
          </w:p>
        </w:tc>
        <w:tc>
          <w:tcPr>
            <w:tcW w:type="dxa" w:w="5329"/>
          </w:tcPr>
          <w:p>
            <w:pPr>
              <w:spacing w:after="0" w:before="0" w:line="264" w:lineRule="auto"/>
            </w:pPr>
            <w:r/>
            <w:r>
              <w:rPr>
                <w:rFonts w:ascii="Calibri" w:hAnsi="Calibri"/>
                <w:b/>
                <w:color w:val="12211A"/>
                <w:sz w:val="19"/>
              </w:rPr>
              <w:t>The app loader</w:t>
            </w:r>
            <w:r>
              <w:rPr>
                <w:rFonts w:ascii="Calibri" w:hAnsi="Calibri"/>
                <w:b w:val="0"/>
                <w:color w:val="12211A"/>
                <w:sz w:val="19"/>
              </w:rPr>
              <w:t xml:space="preserve"> — not sure, want to see it. What do you think?</w:t>
            </w:r>
          </w:p>
        </w:tc>
        <w:tc>
          <w:tcPr>
            <w:tcW w:type="dxa" w:w="8617"/>
          </w:tcPr>
          <w:p>
            <w:pPr>
              <w:spacing w:after="0" w:before="0" w:line="264" w:lineRule="auto"/>
            </w:pPr>
            <w:r/>
            <w:r>
              <w:rPr>
                <w:rFonts w:ascii="Calibri" w:hAnsi="Calibri"/>
                <w:b/>
                <w:color w:val="12211A"/>
                <w:sz w:val="19"/>
              </w:rPr>
              <w:t>My answer: leave it as the thin bar.</w:t>
            </w:r>
            <w:r>
              <w:rPr>
                <w:rFonts w:ascii="Calibri" w:hAnsi="Calibri"/>
                <w:b w:val="0"/>
                <w:color w:val="12211A"/>
                <w:sz w:val="19"/>
              </w:rPr>
              <w:t xml:space="preserve"> Signed in, you open twenty-odd pages in a sitting; a full-screen animation is a delight on the first and an obstacle by the fifth. The eight scenes earn their keep on the public pages, where showing four codes is the job. The competition's colour still does its work where it belongs — the ladder and leaderboard filters load in place, in that competition's colour.</w:t>
            </w:r>
          </w:p>
        </w:tc>
      </w:tr>
    </w:tbl>
    <w:p>
      <w:r>
        <w:br w:type="page"/>
      </w:r>
    </w:p>
    <w:p>
      <w:pPr>
        <w:spacing w:before="40" w:after="60"/>
      </w:pPr>
      <w:r>
        <w:rPr>
          <w:b/>
          <w:color w:val="14452F"/>
          <w:sz w:val="32"/>
        </w:rPr>
        <w:t>Table 2 — Everything else raised</w:t>
      </w:r>
    </w:p>
    <w:p>
      <w:pPr>
        <w:spacing w:after="160"/>
      </w:pPr>
      <w:r>
        <w:rPr>
          <w:i/>
          <w:color w:val="5C6B62"/>
          <w:sz w:val="19"/>
        </w:rPr>
        <w:t>From your emails and the sessions on the 22nd and 23rd.</w:t>
      </w:r>
    </w:p>
    <w:tbl>
      <w:tblPr>
        <w:tblW w:type="auto" w:w="0"/>
        <w:jc w:val="left"/>
        <w:tblLayout w:type="fixed"/>
        <w:tblLook w:firstColumn="1" w:firstRow="1" w:lastColumn="0" w:lastRow="0" w:noHBand="0" w:noVBand="1" w:val="04A0"/>
        <w:tblLayout w:type="fixed"/>
        <w:tblBorders>
          <w:top w:val="single" w:sz="4" w:color="D8E0DA"/>
          <w:left w:val="single" w:sz="4" w:color="D8E0DA"/>
          <w:bottom w:val="single" w:sz="4" w:color="D8E0DA"/>
          <w:right w:val="single" w:sz="4" w:color="D8E0DA"/>
          <w:insideH w:val="single" w:sz="4" w:color="D8E0DA"/>
          <w:insideV w:val="single" w:sz="4" w:color="D8E0DA"/>
        </w:tblBorders>
        <w:tblCellMar>
          <w:top w:w="80" w:type="dxa"/>
          <w:left w:w="110" w:type="dxa"/>
          <w:bottom w:w="80" w:type="dxa"/>
          <w:right w:w="110" w:type="dxa"/>
        </w:tblCellMar>
      </w:tblPr>
      <w:tblGrid>
        <w:gridCol w:w="7285"/>
        <w:gridCol w:w="7285"/>
      </w:tblGrid>
      <w:tr>
        <w:trPr>
          <w:tblHeader w:val="true"/>
          <w:cantSplit/>
        </w:trPr>
        <w:tc>
          <w:tcPr>
            <w:tcW w:type="dxa" w:w="4535"/>
            <w:shd w:val="clear" w:color="auto" w:fill="14452F"/>
          </w:tcPr>
          <w:p>
            <w:pPr>
              <w:spacing w:after="0" w:before="0" w:line="264" w:lineRule="auto"/>
            </w:pPr>
            <w:r/>
            <w:r>
              <w:rPr>
                <w:rFonts w:ascii="Calibri" w:hAnsi="Calibri"/>
                <w:b/>
                <w:color w:val="FFFFFF"/>
                <w:sz w:val="19"/>
              </w:rPr>
              <w:t>What was raised</w:t>
            </w:r>
          </w:p>
        </w:tc>
        <w:tc>
          <w:tcPr>
            <w:tcW w:type="dxa" w:w="10035"/>
            <w:shd w:val="clear" w:color="auto" w:fill="14452F"/>
          </w:tcPr>
          <w:p>
            <w:pPr>
              <w:spacing w:after="0" w:before="0" w:line="264" w:lineRule="auto"/>
            </w:pPr>
            <w:r/>
            <w:r>
              <w:rPr>
                <w:rFonts w:ascii="Calibri" w:hAnsi="Calibri"/>
                <w:b/>
                <w:color w:val="FFFFFF"/>
                <w:sz w:val="19"/>
              </w:rPr>
              <w:t>What was done</w:t>
            </w:r>
          </w:p>
        </w:tc>
      </w:tr>
      <w:tr>
        <w:trPr>
          <w:cantSplit/>
        </w:trPr>
        <w:tc>
          <w:tcPr>
            <w:tcW w:type="dxa" w:w="4535"/>
          </w:tcPr>
          <w:p>
            <w:pPr>
              <w:spacing w:after="0" w:before="0" w:line="264" w:lineRule="auto"/>
            </w:pPr>
            <w:r/>
            <w:r>
              <w:rPr>
                <w:rFonts w:ascii="Calibri" w:hAnsi="Calibri"/>
                <w:b/>
                <w:color w:val="12211A"/>
                <w:sz w:val="19"/>
              </w:rPr>
              <w:t>“Tell me when it's ready” form on the home page</w:t>
            </w:r>
            <w:r>
              <w:rPr>
                <w:rFonts w:ascii="Calibri" w:hAnsi="Calibri"/>
                <w:b w:val="0"/>
                <w:color w:val="12211A"/>
                <w:sz w:val="19"/>
              </w:rPr>
              <w:t>, and move the preview login to the bottom</w:t>
            </w:r>
          </w:p>
        </w:tc>
        <w:tc>
          <w:tcPr>
            <w:tcW w:type="dxa" w:w="10035"/>
          </w:tcPr>
          <w:p>
            <w:pPr>
              <w:spacing w:after="0" w:before="0" w:line="264" w:lineRule="auto"/>
            </w:pPr>
            <w:r/>
            <w:r>
              <w:rPr>
                <w:rFonts w:ascii="Calibri" w:hAnsi="Calibri"/>
                <w:b w:val="0"/>
                <w:color w:val="12211A"/>
                <w:sz w:val="19"/>
              </w:rPr>
              <w:t>Built, on the home page and on the coming-soon page. Name, email, org type, current tipping platform — only the first two required, because somebody standing in a room with a phone abandons a form that argues. The sign-in link is now a quiet line at the foot of the page. Worth knowing the form already existed on the coming-soon page and nowhere else, which is why it had never been used: the address you give people is the home page.</w:t>
            </w:r>
          </w:p>
        </w:tc>
      </w:tr>
      <w:tr>
        <w:trPr>
          <w:cantSplit/>
        </w:trPr>
        <w:tc>
          <w:tcPr>
            <w:tcW w:type="dxa" w:w="4535"/>
            <w:shd w:val="clear" w:color="auto" w:fill="F2F6F3"/>
          </w:tcPr>
          <w:p>
            <w:pPr>
              <w:spacing w:after="0" w:before="0" w:line="264" w:lineRule="auto"/>
            </w:pPr>
            <w:r/>
            <w:r>
              <w:rPr>
                <w:rFonts w:ascii="Calibri" w:hAnsi="Calibri"/>
                <w:b/>
                <w:color w:val="12211A"/>
                <w:sz w:val="19"/>
              </w:rPr>
              <w:t>“Just have to match the changes to the pricing page”</w:t>
            </w:r>
          </w:p>
        </w:tc>
        <w:tc>
          <w:tcPr>
            <w:tcW w:type="dxa" w:w="10035"/>
            <w:shd w:val="clear" w:color="auto" w:fill="F2F6F3"/>
          </w:tcPr>
          <w:p>
            <w:pPr>
              <w:spacing w:after="0" w:before="0" w:line="264" w:lineRule="auto"/>
            </w:pPr>
            <w:r/>
            <w:r>
              <w:rPr>
                <w:rFonts w:ascii="Calibri" w:hAnsi="Calibri"/>
                <w:b w:val="0"/>
                <w:color w:val="12211A"/>
                <w:sz w:val="19"/>
              </w:rPr>
              <w:t>Root cause removed. The home page and /pricing/ were two hand-typed copies of the same five plans, so every correction since 16 September landed on one of them and not the other — which is why your screenshot still had MOST POPULAR on the $299 plan. Both now print from one file. Also fixed in the same screenshot: three of the four plan icons were rendering as a blank square, a black rectangle and a black disc.</w:t>
            </w:r>
          </w:p>
        </w:tc>
      </w:tr>
      <w:tr>
        <w:trPr>
          <w:cantSplit/>
        </w:trPr>
        <w:tc>
          <w:tcPr>
            <w:tcW w:type="dxa" w:w="4535"/>
          </w:tcPr>
          <w:p>
            <w:pPr>
              <w:spacing w:after="0" w:before="0" w:line="264" w:lineRule="auto"/>
            </w:pPr>
            <w:r/>
            <w:r>
              <w:rPr>
                <w:rFonts w:ascii="Calibri" w:hAnsi="Calibri"/>
                <w:b/>
                <w:color w:val="12211A"/>
                <w:sz w:val="19"/>
              </w:rPr>
              <w:t>Hierarchy on the public pages</w:t>
            </w:r>
            <w:r>
              <w:rPr>
                <w:rFonts w:ascii="Calibri" w:hAnsi="Calibri"/>
                <w:b w:val="0"/>
                <w:color w:val="12211A"/>
                <w:sz w:val="19"/>
              </w:rPr>
              <w:t xml:space="preserve"> — “the one that comes first should be much bigger”</w:t>
            </w:r>
          </w:p>
        </w:tc>
        <w:tc>
          <w:tcPr>
            <w:tcW w:type="dxa" w:w="10035"/>
          </w:tcPr>
          <w:p>
            <w:pPr>
              <w:spacing w:after="0" w:before="0" w:line="264" w:lineRule="auto"/>
            </w:pPr>
            <w:r/>
            <w:r>
              <w:rPr>
                <w:rFonts w:ascii="Calibri" w:hAnsi="Calibri"/>
                <w:b w:val="0"/>
                <w:color w:val="12211A"/>
                <w:sz w:val="19"/>
              </w:rPr>
              <w:t>Every section used to open with a 12px label above a 46px headline, so scanning the page gave you the sentence before the subject. The two are swapped everywhere at once: the label is now the section title at 26–44px, and the headline is the statement under it.</w:t>
            </w:r>
          </w:p>
        </w:tc>
      </w:tr>
      <w:tr>
        <w:trPr>
          <w:cantSplit/>
        </w:trPr>
        <w:tc>
          <w:tcPr>
            <w:tcW w:type="dxa" w:w="4535"/>
            <w:shd w:val="clear" w:color="auto" w:fill="F2F6F3"/>
          </w:tcPr>
          <w:p>
            <w:pPr>
              <w:spacing w:after="0" w:before="0" w:line="264" w:lineRule="auto"/>
            </w:pPr>
            <w:r/>
            <w:r>
              <w:rPr>
                <w:rFonts w:ascii="Calibri" w:hAnsi="Calibri"/>
                <w:b/>
                <w:color w:val="12211A"/>
                <w:sz w:val="19"/>
              </w:rPr>
              <w:t>The Wall should feel live, like you see it being typed</w:t>
            </w:r>
          </w:p>
        </w:tc>
        <w:tc>
          <w:tcPr>
            <w:tcW w:type="dxa" w:w="10035"/>
            <w:shd w:val="clear" w:color="auto" w:fill="F2F6F3"/>
          </w:tcPr>
          <w:p>
            <w:pPr>
              <w:spacing w:after="0" w:before="0" w:line="264" w:lineRule="auto"/>
            </w:pPr>
            <w:r/>
            <w:r>
              <w:rPr>
                <w:rFonts w:ascii="Calibri" w:hAnsi="Calibri"/>
                <w:b w:val="0"/>
                <w:color w:val="12211A"/>
                <w:sz w:val="19"/>
              </w:rPr>
              <w:t>The Wall types itself out — on the home page and on the public Wall. Six posts, in the order a room would have said them: somebody sledges, the room answers, the system posts the ladder, the quiet one lands the punchline. It starts when you reach the section, so you never scroll down to find it already finished.</w:t>
            </w:r>
          </w:p>
        </w:tc>
      </w:tr>
      <w:tr>
        <w:trPr>
          <w:cantSplit/>
        </w:trPr>
        <w:tc>
          <w:tcPr>
            <w:tcW w:type="dxa" w:w="4535"/>
          </w:tcPr>
          <w:p>
            <w:pPr>
              <w:spacing w:after="0" w:before="0" w:line="264" w:lineRule="auto"/>
            </w:pPr>
            <w:r/>
            <w:r>
              <w:rPr>
                <w:rFonts w:ascii="Calibri" w:hAnsi="Calibri"/>
                <w:b/>
                <w:color w:val="12211A"/>
                <w:sz w:val="19"/>
              </w:rPr>
              <w:t>Terms, Privacy and About Us</w:t>
            </w:r>
            <w:r>
              <w:rPr>
                <w:rFonts w:ascii="Calibri" w:hAnsi="Calibri"/>
                <w:b w:val="0"/>
                <w:color w:val="12211A"/>
                <w:sz w:val="19"/>
              </w:rPr>
              <w:t xml:space="preserve"> — cards, flow, no translucent feel, white and green, centred</w:t>
            </w:r>
          </w:p>
        </w:tc>
        <w:tc>
          <w:tcPr>
            <w:tcW w:type="dxa" w:w="10035"/>
          </w:tcPr>
          <w:p>
            <w:pPr>
              <w:spacing w:after="0" w:before="0" w:line="264" w:lineRule="auto"/>
            </w:pPr>
            <w:r/>
            <w:r>
              <w:rPr>
                <w:rFonts w:ascii="Calibri" w:hAnsi="Calibri"/>
                <w:b w:val="0"/>
                <w:color w:val="12211A"/>
                <w:sz w:val="19"/>
              </w:rPr>
              <w:t>Split hero with the picture beside the words rather than behind them, white cards, each clause taking a competition colour across the whole card as you reach it, uniform card heights so a short clause does not read as the document running out, and a contents rail you can actually see. Side images are back in the margins, washed into the page rather than butted against it.</w:t>
            </w:r>
          </w:p>
        </w:tc>
      </w:tr>
      <w:tr>
        <w:trPr>
          <w:cantSplit/>
        </w:trPr>
        <w:tc>
          <w:tcPr>
            <w:tcW w:type="dxa" w:w="4535"/>
            <w:shd w:val="clear" w:color="auto" w:fill="F2F6F3"/>
          </w:tcPr>
          <w:p>
            <w:pPr>
              <w:spacing w:after="0" w:before="0" w:line="264" w:lineRule="auto"/>
            </w:pPr>
            <w:r/>
            <w:r>
              <w:rPr>
                <w:rFonts w:ascii="Calibri" w:hAnsi="Calibri"/>
                <w:b/>
                <w:color w:val="12211A"/>
                <w:sz w:val="19"/>
              </w:rPr>
              <w:t>The sponsorship page is not well centred, and the form needs work</w:t>
            </w:r>
          </w:p>
        </w:tc>
        <w:tc>
          <w:tcPr>
            <w:tcW w:type="dxa" w:w="10035"/>
            <w:shd w:val="clear" w:color="auto" w:fill="F2F6F3"/>
          </w:tcPr>
          <w:p>
            <w:pPr>
              <w:spacing w:after="0" w:before="0" w:line="264" w:lineRule="auto"/>
            </w:pPr>
            <w:r/>
            <w:r>
              <w:rPr>
                <w:rFonts w:ascii="Calibri" w:hAnsi="Calibri"/>
                <w:b w:val="0"/>
                <w:color w:val="12211A"/>
                <w:sz w:val="19"/>
              </w:rPr>
              <w:t>The cause was the same everywhere it happened — a block given a maximum width inside a wider one, with no automatic margin, so it sat hard left with the rest of the page empty beside it. Fixed with two shared utilities rather than page-by-page, so the next one does not bring it back.</w:t>
            </w:r>
          </w:p>
        </w:tc>
      </w:tr>
      <w:tr>
        <w:trPr>
          <w:cantSplit/>
        </w:trPr>
        <w:tc>
          <w:tcPr>
            <w:tcW w:type="dxa" w:w="4535"/>
          </w:tcPr>
          <w:p>
            <w:pPr>
              <w:spacing w:after="0" w:before="0" w:line="264" w:lineRule="auto"/>
            </w:pPr>
            <w:r/>
            <w:r>
              <w:rPr>
                <w:rFonts w:ascii="Calibri" w:hAnsi="Calibri"/>
                <w:b/>
                <w:color w:val="12211A"/>
                <w:sz w:val="19"/>
              </w:rPr>
              <w:t>The organisation name in the menu is cut off, and you cannot tell it is a dropdown</w:t>
            </w:r>
          </w:p>
        </w:tc>
        <w:tc>
          <w:tcPr>
            <w:tcW w:type="dxa" w:w="10035"/>
          </w:tcPr>
          <w:p>
            <w:pPr>
              <w:spacing w:after="0" w:before="0" w:line="264" w:lineRule="auto"/>
            </w:pPr>
            <w:r/>
            <w:r>
              <w:rPr>
                <w:rFonts w:ascii="Calibri" w:hAnsi="Calibri"/>
                <w:b w:val="0"/>
                <w:color w:val="12211A"/>
                <w:sz w:val="19"/>
              </w:rPr>
              <w:t>The bar was capped and centred, leaving 300px of empty space at each end while the name was squeezed in the middle. It spans the window now, the brand sits at the far left, and the chip is two centred lines — the organisation in full on top, what you are in it underneath — with a caret that turns over when it opens.</w:t>
            </w:r>
          </w:p>
        </w:tc>
      </w:tr>
      <w:tr>
        <w:trPr>
          <w:cantSplit/>
        </w:trPr>
        <w:tc>
          <w:tcPr>
            <w:tcW w:type="dxa" w:w="4535"/>
            <w:shd w:val="clear" w:color="auto" w:fill="F2F6F3"/>
          </w:tcPr>
          <w:p>
            <w:pPr>
              <w:spacing w:after="0" w:before="0" w:line="264" w:lineRule="auto"/>
            </w:pPr>
            <w:r/>
            <w:r>
              <w:rPr>
                <w:rFonts w:ascii="Calibri" w:hAnsi="Calibri"/>
                <w:b/>
                <w:color w:val="12211A"/>
                <w:sz w:val="19"/>
              </w:rPr>
              <w:t>The Groups page does not look like the reference</w:t>
            </w:r>
          </w:p>
        </w:tc>
        <w:tc>
          <w:tcPr>
            <w:tcW w:type="dxa" w:w="10035"/>
            <w:shd w:val="clear" w:color="auto" w:fill="F2F6F3"/>
          </w:tcPr>
          <w:p>
            <w:pPr>
              <w:spacing w:after="0" w:before="0" w:line="264" w:lineRule="auto"/>
            </w:pPr>
            <w:r/>
            <w:r>
              <w:rPr>
                <w:rFonts w:ascii="Calibri" w:hAnsi="Calibri"/>
                <w:b w:val="0"/>
                <w:color w:val="12211A"/>
                <w:sz w:val="19"/>
              </w:rPr>
              <w:t>Rebuilt: a hero with the organisation's name leading, a bordered working panel holding the search and the list, a labelled header row with the group count, and dark cards with coloured icon tiles and readable actions. The list is built for many groups — it holds 50+ without breaking. The hero picture is off at your request; the machinery behind it stays, so putting it back is markup and nothing else.</w:t>
            </w:r>
          </w:p>
        </w:tc>
      </w:tr>
      <w:tr>
        <w:trPr>
          <w:cantSplit/>
        </w:trPr>
        <w:tc>
          <w:tcPr>
            <w:tcW w:type="dxa" w:w="4535"/>
          </w:tcPr>
          <w:p>
            <w:pPr>
              <w:spacing w:after="0" w:before="0" w:line="264" w:lineRule="auto"/>
            </w:pPr>
            <w:r/>
            <w:r>
              <w:rPr>
                <w:rFonts w:ascii="Calibri" w:hAnsi="Calibri"/>
                <w:b/>
                <w:color w:val="12211A"/>
                <w:sz w:val="19"/>
              </w:rPr>
              <w:t>Light mode: the Groups text cannot be seen, and the admin menu is wrong</w:t>
            </w:r>
          </w:p>
        </w:tc>
        <w:tc>
          <w:tcPr>
            <w:tcW w:type="dxa" w:w="10035"/>
          </w:tcPr>
          <w:p>
            <w:pPr>
              <w:spacing w:after="0" w:before="0" w:line="264" w:lineRule="auto"/>
            </w:pPr>
            <w:r/>
            <w:r>
              <w:rPr>
                <w:rFonts w:ascii="Calibri" w:hAnsi="Calibri"/>
                <w:b w:val="0"/>
                <w:color w:val="12211A"/>
                <w:sz w:val="19"/>
              </w:rPr>
              <w:t>Both fixed. Everything on that page had been written for the dark theme in absolute terms — white names, cream supporting copy — so on the light theme it was cream on white. The admin area turned out never to have received the light theme at all: its pages carry a different body class from the member app, and every light rule was written against the member app's. The navigation is themed as a shared component now, so the two areas cannot drift again.</w:t>
            </w:r>
          </w:p>
        </w:tc>
      </w:tr>
      <w:tr>
        <w:trPr>
          <w:cantSplit/>
        </w:trPr>
        <w:tc>
          <w:tcPr>
            <w:tcW w:type="dxa" w:w="4535"/>
            <w:shd w:val="clear" w:color="auto" w:fill="F2F6F3"/>
          </w:tcPr>
          <w:p>
            <w:pPr>
              <w:spacing w:after="0" w:before="0" w:line="264" w:lineRule="auto"/>
            </w:pPr>
            <w:r/>
            <w:r>
              <w:rPr>
                <w:rFonts w:ascii="Calibri" w:hAnsi="Calibri"/>
                <w:b/>
                <w:color w:val="12211A"/>
                <w:sz w:val="19"/>
              </w:rPr>
              <w:t>Light mode: make the green and white on the menu stronger</w:t>
            </w:r>
          </w:p>
        </w:tc>
        <w:tc>
          <w:tcPr>
            <w:tcW w:type="dxa" w:w="10035"/>
            <w:shd w:val="clear" w:color="auto" w:fill="F2F6F3"/>
          </w:tcPr>
          <w:p>
            <w:pPr>
              <w:spacing w:after="0" w:before="0" w:line="264" w:lineRule="auto"/>
            </w:pPr>
            <w:r/>
            <w:r>
              <w:rPr>
                <w:rFonts w:ascii="Calibri" w:hAnsi="Calibri"/>
                <w:b w:val="0"/>
                <w:color w:val="12211A"/>
                <w:sz w:val="19"/>
              </w:rPr>
              <w:t>The bar's diagonal pattern was 4% green on a 1.5px pitch — below what most screens resolve — over a sweep of four nearly identical values. The stripe is now 9% on a wider band and the sweep's green ends go deeper, so the white in the middle reads as white because there is something beside it. No type moved: every colour on that bar was measured against the white in the middle, which is still white.</w:t>
            </w:r>
          </w:p>
        </w:tc>
      </w:tr>
    </w:tbl>
    <w:p>
      <w:r>
        <w:br w:type="page"/>
      </w:r>
    </w:p>
    <w:p>
      <w:pPr>
        <w:spacing w:before="40" w:after="60"/>
      </w:pPr>
      <w:r>
        <w:rPr>
          <w:b/>
          <w:color w:val="14452F"/>
          <w:sz w:val="32"/>
        </w:rPr>
        <w:t>How the forms behave now, and what happens to the email</w:t>
      </w:r>
    </w:p>
    <w:p>
      <w:pPr>
        <w:spacing w:after="120" w:line="269" w:lineRule="auto"/>
      </w:pPr>
      <w:r>
        <w:rPr>
          <w:b w:val="0"/>
          <w:sz w:val="20"/>
        </w:rPr>
        <w:t>This applies to every form on the public side — the “tell me when it's ready” sign-up, the contact form, the sponsorship application and the “tell the boss” note.</w:t>
      </w:r>
    </w:p>
    <w:p>
      <w:pPr>
        <w:spacing w:after="60" w:line="269" w:lineRule="auto"/>
      </w:pPr>
      <w:r>
        <w:rPr>
          <w:b/>
          <w:sz w:val="20"/>
        </w:rPr>
        <w:t>On screen, three things happen in place. The page never reloads and you never lose your scroll position.</w:t>
      </w:r>
    </w:p>
    <w:p>
      <w:pPr>
        <w:pStyle w:val="ListBullet"/>
        <w:spacing w:after="80" w:line="269" w:lineRule="auto"/>
      </w:pPr>
      <w:r>
        <w:rPr>
          <w:b/>
          <w:sz w:val="19"/>
        </w:rPr>
        <w:t>1 · A loader over the form itself</w:t>
      </w:r>
      <w:r>
        <w:rPr>
          <w:b w:val="0"/>
          <w:sz w:val="19"/>
        </w:rPr>
        <w:t xml:space="preserve"> — not the whole page. The form's own card goes behind a frosted veil with a label saying what is happening. Scoped deliberately: veiling a whole page to save one row overstates how much is going on.</w:t>
      </w:r>
    </w:p>
    <w:p>
      <w:pPr>
        <w:pStyle w:val="ListBullet"/>
        <w:spacing w:after="80" w:line="269" w:lineRule="auto"/>
      </w:pPr>
      <w:r>
        <w:rPr>
          <w:b/>
          <w:sz w:val="19"/>
        </w:rPr>
        <w:t>2 · A thank-you replaces the form.</w:t>
      </w:r>
      <w:r>
        <w:rPr>
          <w:b w:val="0"/>
          <w:sz w:val="19"/>
        </w:rPr>
        <w:t xml:space="preserve"> It does not sit above it. A filled-in form still on screen under a success message is the most reliable way to get the same person submitted twice.</w:t>
      </w:r>
    </w:p>
    <w:p>
      <w:pPr>
        <w:pStyle w:val="ListBullet"/>
        <w:spacing w:after="80" w:line="269" w:lineRule="auto"/>
      </w:pPr>
      <w:r>
        <w:rPr>
          <w:b/>
          <w:sz w:val="19"/>
        </w:rPr>
        <w:t>3 · The form comes back</w:t>
      </w:r>
      <w:r>
        <w:rPr>
          <w:b w:val="0"/>
          <w:sz w:val="19"/>
        </w:rPr>
        <w:t>, clean and empty, about four seconds later — long enough to read the thank-you, short enough that somebody sending a second enquiry is not stuck.</w:t>
      </w:r>
    </w:p>
    <w:p>
      <w:pPr>
        <w:spacing w:after="60" w:line="269" w:lineRule="auto"/>
      </w:pPr>
      <w:r>
        <w:rPr>
          <w:b/>
          <w:sz w:val="20"/>
        </w:rPr>
        <w:t>And an email goes out, worded for what they were actually doing.</w:t>
      </w:r>
      <w:r>
        <w:rPr>
          <w:b w:val="0"/>
          <w:sz w:val="20"/>
        </w:rPr>
        <w:t xml:space="preserve"> Each form has its own acknowledgement rather than one generic receipt:</w:t>
      </w:r>
    </w:p>
    <w:tbl>
      <w:tblPr>
        <w:tblW w:type="auto" w:w="0"/>
        <w:jc w:val="left"/>
        <w:tblLayout w:type="fixed"/>
        <w:tblLook w:firstColumn="1" w:firstRow="1" w:lastColumn="0" w:lastRow="0" w:noHBand="0" w:noVBand="1" w:val="04A0"/>
        <w:tblLayout w:type="fixed"/>
        <w:tblBorders>
          <w:top w:val="single" w:sz="4" w:color="D8E0DA"/>
          <w:left w:val="single" w:sz="4" w:color="D8E0DA"/>
          <w:bottom w:val="single" w:sz="4" w:color="D8E0DA"/>
          <w:right w:val="single" w:sz="4" w:color="D8E0DA"/>
          <w:insideH w:val="single" w:sz="4" w:color="D8E0DA"/>
          <w:insideV w:val="single" w:sz="4" w:color="D8E0DA"/>
        </w:tblBorders>
        <w:tblCellMar>
          <w:top w:w="80" w:type="dxa"/>
          <w:left w:w="110" w:type="dxa"/>
          <w:bottom w:w="80" w:type="dxa"/>
          <w:right w:w="110" w:type="dxa"/>
        </w:tblCellMar>
      </w:tblPr>
      <w:tblGrid>
        <w:gridCol w:w="7285"/>
        <w:gridCol w:w="7285"/>
      </w:tblGrid>
      <w:tr>
        <w:trPr>
          <w:tblHeader w:val="true"/>
          <w:cantSplit/>
        </w:trPr>
        <w:tc>
          <w:tcPr>
            <w:tcW w:type="dxa" w:w="3628"/>
            <w:shd w:val="clear" w:color="auto" w:fill="14452F"/>
          </w:tcPr>
          <w:p>
            <w:pPr>
              <w:spacing w:after="0" w:before="0" w:line="264" w:lineRule="auto"/>
            </w:pPr>
            <w:r/>
            <w:r>
              <w:rPr>
                <w:rFonts w:ascii="Calibri" w:hAnsi="Calibri"/>
                <w:b/>
                <w:color w:val="FFFFFF"/>
                <w:sz w:val="19"/>
              </w:rPr>
              <w:t>Form</w:t>
            </w:r>
          </w:p>
        </w:tc>
        <w:tc>
          <w:tcPr>
            <w:tcW w:type="dxa" w:w="10942"/>
            <w:shd w:val="clear" w:color="auto" w:fill="14452F"/>
          </w:tcPr>
          <w:p>
            <w:pPr>
              <w:spacing w:after="0" w:before="0" w:line="264" w:lineRule="auto"/>
            </w:pPr>
            <w:r/>
            <w:r>
              <w:rPr>
                <w:rFonts w:ascii="Calibri" w:hAnsi="Calibri"/>
                <w:b/>
                <w:color w:val="FFFFFF"/>
                <w:sz w:val="19"/>
              </w:rPr>
              <w:t>What the email says</w:t>
            </w:r>
          </w:p>
        </w:tc>
      </w:tr>
      <w:tr>
        <w:trPr>
          <w:cantSplit/>
        </w:trPr>
        <w:tc>
          <w:tcPr>
            <w:tcW w:type="dxa" w:w="3628"/>
          </w:tcPr>
          <w:p>
            <w:pPr>
              <w:spacing w:after="0" w:before="0" w:line="264" w:lineRule="auto"/>
            </w:pPr>
            <w:r/>
            <w:r>
              <w:rPr>
                <w:rFonts w:ascii="Calibri" w:hAnsi="Calibri"/>
                <w:b w:val="0"/>
                <w:color w:val="12211A"/>
                <w:sz w:val="19"/>
              </w:rPr>
              <w:t>Tell me when it's ready</w:t>
            </w:r>
          </w:p>
        </w:tc>
        <w:tc>
          <w:tcPr>
            <w:tcW w:type="dxa" w:w="10942"/>
          </w:tcPr>
          <w:p>
            <w:pPr>
              <w:spacing w:after="0" w:before="0" w:line="264" w:lineRule="auto"/>
            </w:pPr>
            <w:r/>
            <w:r>
              <w:rPr>
                <w:rFonts w:ascii="Calibri" w:hAnsi="Calibri"/>
                <w:b w:val="0"/>
                <w:color w:val="12211A"/>
                <w:sz w:val="19"/>
              </w:rPr>
              <w:t>“You're on the list.” It says when they will next hear from us, how many times, and about what — one email, the day sign-ups open, and nothing before or after. It quotes their own answers back so it does not read as an autoresponder.</w:t>
            </w:r>
          </w:p>
        </w:tc>
      </w:tr>
      <w:tr>
        <w:trPr>
          <w:cantSplit/>
        </w:trPr>
        <w:tc>
          <w:tcPr>
            <w:tcW w:type="dxa" w:w="3628"/>
            <w:shd w:val="clear" w:color="auto" w:fill="F2F6F3"/>
          </w:tcPr>
          <w:p>
            <w:pPr>
              <w:spacing w:after="0" w:before="0" w:line="264" w:lineRule="auto"/>
            </w:pPr>
            <w:r/>
            <w:r>
              <w:rPr>
                <w:rFonts w:ascii="Calibri" w:hAnsi="Calibri"/>
                <w:b w:val="0"/>
                <w:color w:val="12211A"/>
                <w:sz w:val="19"/>
              </w:rPr>
              <w:t>Contact / enquiry</w:t>
            </w:r>
          </w:p>
        </w:tc>
        <w:tc>
          <w:tcPr>
            <w:tcW w:type="dxa" w:w="10942"/>
            <w:shd w:val="clear" w:color="auto" w:fill="F2F6F3"/>
          </w:tcPr>
          <w:p>
            <w:pPr>
              <w:spacing w:after="0" w:before="0" w:line="264" w:lineRule="auto"/>
            </w:pPr>
            <w:r/>
            <w:r>
              <w:rPr>
                <w:rFonts w:ascii="Calibri" w:hAnsi="Calibri"/>
                <w:b w:val="0"/>
                <w:color w:val="12211A"/>
                <w:sz w:val="19"/>
              </w:rPr>
              <w:t>Confirms the message arrived, says a real person reads every one, and that we will come back as quickly as we can. It quotes what they wrote so they can see it is the right message.</w:t>
            </w:r>
          </w:p>
        </w:tc>
      </w:tr>
      <w:tr>
        <w:trPr>
          <w:cantSplit/>
        </w:trPr>
        <w:tc>
          <w:tcPr>
            <w:tcW w:type="dxa" w:w="3628"/>
          </w:tcPr>
          <w:p>
            <w:pPr>
              <w:spacing w:after="0" w:before="0" w:line="264" w:lineRule="auto"/>
            </w:pPr>
            <w:r/>
            <w:r>
              <w:rPr>
                <w:rFonts w:ascii="Calibri" w:hAnsi="Calibri"/>
                <w:b w:val="0"/>
                <w:color w:val="12211A"/>
                <w:sz w:val="19"/>
              </w:rPr>
              <w:t>Sponsorship application</w:t>
            </w:r>
          </w:p>
        </w:tc>
        <w:tc>
          <w:tcPr>
            <w:tcW w:type="dxa" w:w="10942"/>
          </w:tcPr>
          <w:p>
            <w:pPr>
              <w:spacing w:after="0" w:before="0" w:line="264" w:lineRule="auto"/>
            </w:pPr>
            <w:r/>
            <w:r>
              <w:rPr>
                <w:rFonts w:ascii="Calibri" w:hAnsi="Calibri"/>
                <w:b w:val="0"/>
                <w:color w:val="12211A"/>
                <w:sz w:val="19"/>
              </w:rPr>
              <w:t>Confirms it arrived, and repeats the promise the page makes: we read every one ourselves, and nothing written there is published anywhere.</w:t>
            </w:r>
          </w:p>
        </w:tc>
      </w:tr>
      <w:tr>
        <w:trPr>
          <w:cantSplit/>
        </w:trPr>
        <w:tc>
          <w:tcPr>
            <w:tcW w:type="dxa" w:w="3628"/>
            <w:shd w:val="clear" w:color="auto" w:fill="F2F6F3"/>
          </w:tcPr>
          <w:p>
            <w:pPr>
              <w:spacing w:after="0" w:before="0" w:line="264" w:lineRule="auto"/>
            </w:pPr>
            <w:r/>
            <w:r>
              <w:rPr>
                <w:rFonts w:ascii="Calibri" w:hAnsi="Calibri"/>
                <w:b w:val="0"/>
                <w:color w:val="12211A"/>
                <w:sz w:val="19"/>
              </w:rPr>
              <w:t>Tell the boss</w:t>
            </w:r>
          </w:p>
        </w:tc>
        <w:tc>
          <w:tcPr>
            <w:tcW w:type="dxa" w:w="10942"/>
            <w:shd w:val="clear" w:color="auto" w:fill="F2F6F3"/>
          </w:tcPr>
          <w:p>
            <w:pPr>
              <w:spacing w:after="0" w:before="0" w:line="264" w:lineRule="auto"/>
            </w:pPr>
            <w:r/>
            <w:r>
              <w:rPr>
                <w:rFonts w:ascii="Calibri" w:hAnsi="Calibri"/>
                <w:b w:val="0"/>
                <w:color w:val="12211A"/>
                <w:sz w:val="19"/>
              </w:rPr>
              <w:t>No acknowledgement to the sender — the note itself goes to the boss, which is the email that matters. The sender sees the confirmation on screen.</w:t>
            </w:r>
          </w:p>
        </w:tc>
      </w:tr>
    </w:tbl>
    <w:p>
      <w:pPr>
        <w:spacing w:after="40" w:line="269" w:lineRule="auto"/>
      </w:pPr>
    </w:p>
    <w:p>
      <w:pPr>
        <w:spacing w:after="120" w:line="269" w:lineRule="auto"/>
      </w:pPr>
      <w:r>
        <w:rPr>
          <w:b/>
          <w:sz w:val="19"/>
        </w:rPr>
        <w:t>The wording on the screen and the wording in the email live in one file</w:t>
      </w:r>
      <w:r>
        <w:rPr>
          <w:b w:val="0"/>
          <w:sz w:val="19"/>
        </w:rPr>
        <w:t>, so they cannot come to promise different things. That is the failure people notice: the page says you will hear back quickly and the email does not mention it, and then neither is believed.</w:t>
      </w:r>
    </w:p>
    <w:p>
      <w:pPr>
        <w:spacing w:after="120" w:line="269" w:lineRule="auto"/>
      </w:pPr>
      <w:r>
        <w:rPr>
          <w:b/>
          <w:sz w:val="19"/>
        </w:rPr>
        <w:t>Nothing promises a turnaround nobody has committed to.</w:t>
      </w:r>
      <w:r>
        <w:rPr>
          <w:b w:val="0"/>
          <w:sz w:val="19"/>
        </w:rPr>
        <w:t xml:space="preserve"> “As quickly as we can” and “within 24 hours” are different sentences, and only one of them is a promise the inbox has to keep.</w:t>
      </w:r>
    </w:p>
    <w:p>
      <w:pPr>
        <w:spacing w:before="240" w:after="60"/>
      </w:pPr>
      <w:r>
        <w:rPr>
          <w:b/>
          <w:color w:val="14452F"/>
          <w:sz w:val="32"/>
        </w:rPr>
        <w:t>Is it tested?</w:t>
      </w:r>
    </w:p>
    <w:p>
      <w:pPr>
        <w:spacing w:after="120" w:line="269" w:lineRule="auto"/>
      </w:pPr>
      <w:r>
        <w:rPr>
          <w:b/>
          <w:sz w:val="20"/>
        </w:rPr>
        <w:t>Yes — and the failure paths are what the tests are mostly about</w:t>
      </w:r>
      <w:r>
        <w:rPr>
          <w:b w:val="0"/>
          <w:sz w:val="20"/>
        </w:rPr>
        <w:t xml:space="preserve">, because those are the ways a lead gets lost rather than the ways a field gets stored. There are automated tests covering: a good submission stores every field; the same address twice is one record and not two (a room of people pointed at one address will produce duplicates); a bad email address is refused without wiping what they typed; an unrecognised dropdown value is dropped rather than costing the lead its name and address; the thank-you replaces the form rather than sitting under it; the acknowledgement email goes out and quotes the right answers; and — the important one — </w:t>
      </w:r>
      <w:r>
        <w:rPr>
          <w:b/>
          <w:sz w:val="20"/>
        </w:rPr>
        <w:t>if the email fails to send, the lead is still saved.</w:t>
      </w:r>
      <w:r>
        <w:rPr>
          <w:b w:val="0"/>
          <w:sz w:val="20"/>
        </w:rPr>
        <w:t xml:space="preserve"> The record is the asset; the email is a courtesy.</w:t>
      </w:r>
    </w:p>
    <w:p>
      <w:pPr>
        <w:spacing w:after="120" w:line="269" w:lineRule="auto"/>
      </w:pPr>
      <w:r>
        <w:rPr>
          <w:b w:val="0"/>
          <w:sz w:val="20"/>
        </w:rPr>
        <w:t>There is also a test that the form still works with JavaScript switched off entirely. It falls back to an ordinary page submit, and the lead still arrives.</w:t>
      </w:r>
    </w:p>
    <w:p>
      <w:pPr>
        <w:spacing w:after="120" w:line="269" w:lineRule="auto"/>
      </w:pPr>
      <w:r>
        <w:rPr>
          <w:b/>
          <w:sz w:val="19"/>
        </w:rPr>
        <w:t>1,543 automated tests pass in total, and no colour pair on the site falls below the accessibility contrast standard.</w:t>
      </w:r>
    </w:p>
    <w:p>
      <w:pPr>
        <w:spacing w:before="200" w:after="160"/>
        <w:pBdr>
          <w:bottom w:val="single" w:sz="8" w:space="1" w:color="9BD616"/>
        </w:pBdr>
      </w:pPr>
    </w:p>
    <w:p>
      <w:pPr>
        <w:spacing w:before="0" w:after="60"/>
      </w:pPr>
      <w:r>
        <w:rPr>
          <w:b/>
          <w:color w:val="14452F"/>
          <w:sz w:val="32"/>
        </w:rPr>
        <w:t>What is still open</w:t>
      </w:r>
    </w:p>
    <w:p>
      <w:pPr>
        <w:pStyle w:val="ListBullet"/>
        <w:spacing w:after="60"/>
      </w:pPr>
      <w:r>
        <w:rPr>
          <w:b/>
          <w:sz w:val="19"/>
        </w:rPr>
        <w:t>Stripe test payments</w:t>
      </w:r>
      <w:r>
        <w:rPr>
          <w:b w:val="0"/>
          <w:sz w:val="19"/>
        </w:rPr>
        <w:t xml:space="preserve"> — mine to finish now that the access is found.</w:t>
      </w:r>
    </w:p>
    <w:p>
      <w:pPr>
        <w:pStyle w:val="ListBullet"/>
        <w:spacing w:after="60"/>
      </w:pPr>
      <w:r>
        <w:rPr>
          <w:b/>
          <w:sz w:val="19"/>
        </w:rPr>
        <w:t>MatchReader round-by-round</w:t>
      </w:r>
      <w:r>
        <w:rPr>
          <w:b w:val="0"/>
          <w:sz w:val="19"/>
        </w:rPr>
        <w:t xml:space="preserve"> — waiting on fifteen minutes with you.</w:t>
      </w:r>
    </w:p>
    <w:p>
      <w:pPr>
        <w:pStyle w:val="ListBullet"/>
        <w:spacing w:after="60"/>
      </w:pPr>
      <w:r>
        <w:rPr>
          <w:b/>
          <w:sz w:val="19"/>
        </w:rPr>
        <w:t>The blog posts</w:t>
      </w:r>
      <w:r>
        <w:rPr>
          <w:b w:val="0"/>
          <w:sz w:val="19"/>
        </w:rPr>
        <w:t xml:space="preserve"> — yours, and not a priority.</w:t>
      </w:r>
    </w:p>
    <w:p>
      <w:pPr>
        <w:pStyle w:val="ListBullet"/>
        <w:spacing w:after="60"/>
      </w:pPr>
      <w:r>
        <w:rPr>
          <w:b/>
          <w:sz w:val="19"/>
        </w:rPr>
        <w:t>SEO and analytics</w:t>
      </w:r>
      <w:r>
        <w:rPr>
          <w:b w:val="0"/>
          <w:sz w:val="19"/>
        </w:rPr>
        <w:t xml:space="preserve"> — Mad Scientist's, from Monday.</w:t>
      </w:r>
    </w:p>
    <w:p>
      <w:pPr>
        <w:spacing w:before="240"/>
      </w:pPr>
      <w:r>
        <w:rPr>
          <w:b/>
          <w:color w:val="14452F"/>
          <w:sz w:val="20"/>
        </w:rPr>
        <w:t>Erick</w:t>
      </w:r>
    </w:p>
    <w:sectPr w:rsidR="00FC693F" w:rsidRPr="0006063C" w:rsidSect="00034616">
      <w:pgSz w:w="16838" w:h="11906" w:orient="landscape"/>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221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