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rPr/>
      </w:pPr>
      <w:r>
        <w:rPr>
          <w:b/>
          <w:i w:val="0"/>
          <w:color w:val="0f2e22"/>
          <w:sz w:val="44"/>
        </w:rPr>
        <w:t xml:space="preserve">GoodTip — client feedback, 16 September 2026</w:t>
      </w:r>
      <w:r/>
    </w:p>
    <w:p>
      <w:pPr>
        <w:pBdr/>
        <w:spacing w:after="280" w:before="0"/>
        <w:ind/>
        <w:rPr/>
      </w:pPr>
      <w:r>
        <w:rPr>
          <w:b w:val="0"/>
          <w:i w:val="0"/>
          <w:color w:val="5a5f58"/>
          <w:sz w:val="24"/>
        </w:rPr>
        <w:t xml:space="preserve">What was asked, what was built, and where to check it.</w:t>
      </w:r>
      <w:r/>
    </w:p>
    <w:tbl>
      <w:tblPr>
        <w:tblW w:w="0" w:type="auto"/>
        <w:tblBorders/>
        <w:tblLook w:val="04A0" w:firstRow="1" w:lastRow="0" w:firstColumn="1" w:lastColumn="0" w:noHBand="0" w:noVBand="1"/>
      </w:tblPr>
      <w:tblGrid>
        <w:gridCol w:w="2736"/>
        <w:gridCol w:w="12096"/>
      </w:tblGrid>
      <w:tr>
        <w:trPr/>
        <w:tc>
          <w:tcPr>
            <w:tcBorders/>
            <w:tcW w:w="7056" w:type="dxa"/>
          </w:tcPr>
          <w:p>
            <w:pPr>
              <w:pBdr/>
              <w:spacing w:after="40"/>
              <w:ind/>
              <w:rPr/>
            </w:pPr>
            <w:r>
              <w:rPr>
                <w:b/>
                <w:i w:val="0"/>
                <w:color w:val="2a7337"/>
                <w:sz w:val="18"/>
              </w:rPr>
              <w:t xml:space="preserve">Prepared</w:t>
            </w:r>
            <w:r/>
          </w:p>
        </w:tc>
        <w:tc>
          <w:tcPr>
            <w:tcBorders/>
            <w:tcW w:w="7056" w:type="dxa"/>
          </w:tcPr>
          <w:p>
            <w:pPr>
              <w:pBdr/>
              <w:spacing w:after="40"/>
              <w:ind/>
              <w:rPr/>
            </w:pPr>
            <w:r>
              <w:rPr>
                <w:b w:val="0"/>
                <w:i w:val="0"/>
                <w:color w:val="1a1a14"/>
                <w:sz w:val="18"/>
              </w:rPr>
              <w:t xml:space="preserve">17 September 2026</w:t>
            </w:r>
            <w:r/>
          </w:p>
        </w:tc>
      </w:tr>
      <w:tr>
        <w:trPr/>
        <w:tc>
          <w:tcPr>
            <w:tcBorders/>
            <w:tcW w:w="7056" w:type="dxa"/>
          </w:tcPr>
          <w:p>
            <w:pPr>
              <w:pBdr/>
              <w:spacing w:after="40"/>
              <w:ind/>
              <w:rPr/>
            </w:pPr>
            <w:r>
              <w:rPr>
                <w:b/>
                <w:i w:val="0"/>
                <w:color w:val="2a7337"/>
                <w:sz w:val="18"/>
              </w:rPr>
              <w:t xml:space="preserve">Source of the requests</w:t>
            </w:r>
            <w:r/>
          </w:p>
        </w:tc>
        <w:tc>
          <w:tcPr>
            <w:tcBorders/>
            <w:tcW w:w="7056" w:type="dxa"/>
          </w:tcPr>
          <w:p>
            <w:pPr>
              <w:pBdr/>
              <w:spacing w:after="40"/>
              <w:ind/>
              <w:rPr/>
            </w:pPr>
            <w:r>
              <w:rPr>
                <w:b w:val="0"/>
                <w:i w:val="0"/>
                <w:color w:val="1a1a14"/>
                <w:sz w:val="18"/>
              </w:rPr>
              <w:t xml:space="preserve">Six emails from Ian Hopkinson (16 Sep, 04:03–08:30) and the shared task spreadsheet.</w:t>
            </w:r>
            <w:r/>
          </w:p>
        </w:tc>
      </w:tr>
      <w:tr>
        <w:trPr/>
        <w:tc>
          <w:tcPr>
            <w:tcBorders/>
            <w:tcW w:w="7056" w:type="dxa"/>
          </w:tcPr>
          <w:p>
            <w:pPr>
              <w:pBdr/>
              <w:spacing w:after="40"/>
              <w:ind/>
              <w:rPr/>
            </w:pPr>
            <w:r>
              <w:rPr>
                <w:b/>
                <w:i w:val="0"/>
                <w:color w:val="2a7337"/>
                <w:sz w:val="18"/>
              </w:rPr>
              <w:t xml:space="preserve">Branch</w:t>
            </w:r>
            <w:r/>
          </w:p>
        </w:tc>
        <w:tc>
          <w:tcPr>
            <w:tcBorders/>
            <w:tcW w:w="7056" w:type="dxa"/>
          </w:tcPr>
          <w:p>
            <w:pPr>
              <w:pBdr/>
              <w:spacing w:after="40"/>
              <w:ind/>
              <w:rPr/>
            </w:pPr>
            <w:r>
              <w:rPr>
                <w:b w:val="0"/>
                <w:i w:val="0"/>
                <w:color w:val="1a1a14"/>
                <w:sz w:val="18"/>
              </w:rPr>
              <w:t xml:space="preserve">staging (local)</w:t>
            </w:r>
            <w:r/>
          </w:p>
        </w:tc>
      </w:tr>
      <w:tr>
        <w:trPr/>
        <w:tc>
          <w:tcPr>
            <w:tcBorders/>
            <w:tcW w:w="7056" w:type="dxa"/>
          </w:tcPr>
          <w:p>
            <w:pPr>
              <w:pBdr/>
              <w:spacing w:after="40"/>
              <w:ind/>
              <w:rPr/>
            </w:pPr>
            <w:r>
              <w:rPr>
                <w:b/>
                <w:i w:val="0"/>
                <w:color w:val="2a7337"/>
                <w:sz w:val="18"/>
              </w:rPr>
              <w:t xml:space="preserve">Deployment status</w:t>
            </w:r>
            <w:r/>
          </w:p>
        </w:tc>
        <w:tc>
          <w:tcPr>
            <w:tcBorders/>
            <w:tcW w:w="7056" w:type="dxa"/>
          </w:tcPr>
          <w:p>
            <w:pPr>
              <w:pBdr/>
              <w:spacing w:after="40"/>
              <w:ind/>
              <w:rPr/>
            </w:pPr>
            <w:r>
              <w:rPr>
                <w:b w:val="0"/>
                <w:i w:val="0"/>
                <w:color w:val="1a1a14"/>
                <w:sz w:val="18"/>
              </w:rPr>
              <w:t xml:space="preserve">NOT YET PUSHED. Every change below is in the working tree on this machine. Nothing has been deployed to staging.goodtip.com.au or to live.</w:t>
            </w:r>
            <w:r/>
          </w:p>
        </w:tc>
      </w:tr>
      <w:tr>
        <w:trPr/>
        <w:tc>
          <w:tcPr>
            <w:tcBorders/>
            <w:tcW w:w="7056" w:type="dxa"/>
          </w:tcPr>
          <w:p>
            <w:pPr>
              <w:pBdr/>
              <w:spacing w:after="40"/>
              <w:ind/>
              <w:rPr/>
            </w:pPr>
            <w:r>
              <w:rPr>
                <w:b/>
                <w:i w:val="0"/>
                <w:color w:val="2a7337"/>
                <w:sz w:val="18"/>
              </w:rPr>
              <w:t xml:space="preserve">Scope of change</w:t>
            </w:r>
            <w:r/>
          </w:p>
        </w:tc>
        <w:tc>
          <w:tcPr>
            <w:tcBorders/>
            <w:tcW w:w="7056" w:type="dxa"/>
          </w:tcPr>
          <w:p>
            <w:pPr>
              <w:pBdr/>
              <w:spacing w:after="40"/>
              <w:ind/>
              <w:rPr/>
            </w:pPr>
            <w:r>
              <w:rPr>
                <w:b w:val="0"/>
                <w:i w:val="0"/>
                <w:color w:val="1a1a14"/>
                <w:sz w:val="18"/>
              </w:rPr>
              <w:t xml:space="preserve">33 files changed, 2,567 insertions, 331 deletions. 16 new files, 3 deleted.</w:t>
            </w:r>
            <w:r/>
          </w:p>
        </w:tc>
      </w:tr>
      <w:tr>
        <w:trPr/>
        <w:tc>
          <w:tcPr>
            <w:tcBorders/>
            <w:tcW w:w="7056" w:type="dxa"/>
          </w:tcPr>
          <w:p>
            <w:pPr>
              <w:pBdr/>
              <w:spacing w:after="40"/>
              <w:ind/>
              <w:rPr/>
            </w:pPr>
            <w:r>
              <w:rPr>
                <w:b/>
                <w:i w:val="0"/>
                <w:color w:val="2a7337"/>
                <w:sz w:val="18"/>
              </w:rPr>
              <w:t xml:space="preserve">Test suite</w:t>
            </w:r>
            <w:r/>
          </w:p>
        </w:tc>
        <w:tc>
          <w:tcPr>
            <w:tcBorders/>
            <w:tcW w:w="7056" w:type="dxa"/>
          </w:tcPr>
          <w:p>
            <w:pPr>
              <w:pBdr/>
              <w:spacing w:after="40"/>
              <w:ind/>
              <w:rPr/>
            </w:pPr>
            <w:r>
              <w:rPr>
                <w:b w:val="0"/>
                <w:i w:val="0"/>
                <w:color w:val="1a1a14"/>
                <w:sz w:val="18"/>
              </w:rPr>
              <w:t xml:space="preserve">1,405 tests, all passing (2 skipped). 45 of those tests are new and were written for this round of work.</w:t>
            </w:r>
            <w:r/>
          </w:p>
        </w:tc>
      </w:tr>
      <w:tr>
        <w:trPr/>
        <w:tc>
          <w:tcPr>
            <w:tcBorders/>
            <w:tcW w:w="7056" w:type="dxa"/>
          </w:tcPr>
          <w:p>
            <w:pPr>
              <w:pBdr/>
              <w:spacing w:after="40"/>
              <w:ind/>
              <w:rPr/>
            </w:pPr>
            <w:r>
              <w:rPr>
                <w:b/>
                <w:i w:val="0"/>
                <w:color w:val="2a7337"/>
                <w:sz w:val="18"/>
              </w:rPr>
              <w:t xml:space="preserve">Accessibility check</w:t>
            </w:r>
            <w:r/>
          </w:p>
        </w:tc>
        <w:tc>
          <w:tcPr>
            <w:tcBorders/>
            <w:tcW w:w="7056" w:type="dxa"/>
          </w:tcPr>
          <w:p>
            <w:pPr>
              <w:pBdr/>
              <w:spacing w:after="40"/>
              <w:ind/>
              <w:rPr/>
            </w:pPr>
            <w:r>
              <w:rPr>
                <w:b w:val="0"/>
                <w:i w:val="0"/>
                <w:color w:val="1a1a14"/>
                <w:sz w:val="18"/>
              </w:rPr>
              <w:t xml:space="preserve">scripts/check_contrast.py — 0 colour pairs under WCAG AA across all four themes.</w:t>
            </w:r>
            <w:r/>
          </w:p>
        </w:tc>
      </w:tr>
    </w:tbl>
    <w:p>
      <w:pPr>
        <w:pBdr/>
        <w:spacing w:after="120" w:before="0"/>
        <w:ind/>
        <w:rPr/>
      </w:pPr>
      <w:r/>
      <w:r/>
    </w:p>
    <w:p>
      <w:pPr>
        <w:pBdr/>
        <w:spacing w:after="80" w:before="200"/>
        <w:ind/>
        <w:rPr/>
      </w:pPr>
      <w:r>
        <w:rPr>
          <w:b/>
          <w:i w:val="0"/>
          <w:color w:val="0f2e22"/>
          <w:sz w:val="20"/>
        </w:rPr>
        <w:t xml:space="preserve">HOW TO READ THE 'WHERE TO CHECK IT' COLUMN</w:t>
      </w:r>
      <w:r/>
    </w:p>
    <w:p>
      <w:pPr>
        <w:pBdr/>
        <w:spacing w:after="80" w:before="0"/>
        <w:ind/>
        <w:rPr/>
      </w:pPr>
      <w:r>
        <w:rPr>
          <w:b w:val="0"/>
          <w:i w:val="0"/>
          <w:color w:val="5a5f58"/>
          <w:sz w:val="19"/>
        </w:rPr>
        <w:t xml:space="preserve">Each row gives two kinds of evidence. The first is a file and line number</w:t>
      </w:r>
      <w:r>
        <w:rPr>
          <w:b w:val="0"/>
          <w:i w:val="0"/>
          <w:color w:val="5a5f58"/>
          <w:sz w:val="19"/>
        </w:rPr>
        <w:t xml:space="preserve"> — open it in the editor and read it, no server required. The second is a screen, which becomes checkable the moment this branch reaches staging. Where a test proves a behaviour rather than merely touching it, the test is named so it can be run on its own.</w:t>
      </w:r>
      <w:r/>
    </w:p>
    <w:p>
      <w:pPr>
        <w:pBdr/>
        <w:spacing w:after="40" w:before="0"/>
        <w:ind/>
        <w:rPr/>
      </w:pPr>
      <w:r>
        <w:rPr>
          <w:b w:val="0"/>
          <w:i w:val="0"/>
          <w:color w:val="5a5f58"/>
          <w:sz w:val="19"/>
        </w:rPr>
        <w:t xml:space="preserve">To run any named test:  venv/bin/python manage.py test &lt;name&gt;</w:t>
      </w:r>
      <w:r/>
    </w:p>
    <w:p>
      <w:pPr>
        <w:pBdr/>
        <w:spacing w:after="120" w:before="0"/>
        <w:ind/>
        <w:rPr/>
      </w:pPr>
      <w:r>
        <w:rPr>
          <w:b w:val="0"/>
          <w:i w:val="0"/>
          <w:color w:val="5a5f58"/>
          <w:sz w:val="19"/>
        </w:rPr>
        <w:t xml:space="preserve">To run the whole suite:  venv/bin/python manage.py test --parallel 4</w:t>
      </w:r>
      <w:r/>
    </w:p>
    <w:p>
      <w:pPr>
        <w:pBdr/>
        <w:spacing/>
        <w:ind/>
        <w:rPr/>
      </w:pPr>
      <w:r>
        <w:br w:type="page" w:clear="all"/>
      </w:r>
      <w:r/>
    </w:p>
    <w:p>
      <w:pPr>
        <w:pBdr/>
        <w:spacing w:after="120" w:before="0"/>
        <w:ind/>
        <w:rPr/>
      </w:pPr>
      <w:r>
        <w:rPr>
          <w:b/>
          <w:i w:val="0"/>
          <w:color w:val="0f2e22"/>
          <w:sz w:val="32"/>
        </w:rPr>
        <w:t xml:space="preserve">Part 1 — The emails from Ian</w:t>
      </w:r>
      <w:r/>
    </w:p>
    <w:p>
      <w:pPr>
        <w:pBdr/>
        <w:spacing w:after="160" w:before="0"/>
        <w:ind/>
        <w:rPr/>
      </w:pPr>
      <w:r>
        <w:rPr>
          <w:b w:val="0"/>
          <w:i w:val="0"/>
          <w:color w:val="5a5f58"/>
          <w:sz w:val="19"/>
        </w:rPr>
        <w:t xml:space="preserve">Six emails, 16 September, 04:03 to 08:30.</w:t>
      </w:r>
      <w:r/>
    </w:p>
    <w:tbl>
      <w:tblPr>
        <w:tblStyle w:val="934"/>
        <w:jc w:val="center"/>
        <w:tblW w:w="0" w:type="auto"/>
        <w:tblBorders/>
        <w:tblLayout w:type="fixed"/>
        <w:tblLook w:val="04A0" w:firstRow="1" w:lastRow="0" w:firstColumn="1" w:lastColumn="0" w:noHBand="0" w:noVBand="1"/>
      </w:tblPr>
      <w:tblGrid>
        <w:gridCol w:w="3395"/>
        <w:gridCol w:w="2369"/>
        <w:gridCol w:w="4485"/>
        <w:gridCol w:w="4079"/>
      </w:tblGrid>
      <w:tr>
        <w:trPr/>
        <w:tc>
          <w:tcPr>
            <w:shd w:val="clear" w:color="auto" w:fill="0f2e22"/>
            <w:tcBorders/>
            <w:tcW w:w="3395" w:type="dxa"/>
          </w:tcPr>
          <w:p>
            <w:pPr>
              <w:pBdr/>
              <w:spacing w:after="40"/>
              <w:ind/>
              <w:rPr/>
            </w:pPr>
            <w:r>
              <w:rPr>
                <w:b/>
                <w:color w:val="ffffff"/>
                <w:sz w:val="18"/>
              </w:rPr>
              <w:t xml:space="preserve">#  ·  What was asked</w:t>
            </w:r>
            <w:r/>
          </w:p>
        </w:tc>
        <w:tc>
          <w:tcPr>
            <w:shd w:val="clear" w:color="auto" w:fill="0f2e22"/>
            <w:tcBorders/>
            <w:tcW w:w="2369" w:type="dxa"/>
          </w:tcPr>
          <w:p>
            <w:pPr>
              <w:pBdr/>
              <w:spacing w:after="40"/>
              <w:ind/>
              <w:rPr/>
            </w:pPr>
            <w:r>
              <w:rPr>
                <w:b/>
                <w:color w:val="ffffff"/>
                <w:sz w:val="18"/>
              </w:rPr>
              <w:t xml:space="preserve">Who asked / where</w:t>
            </w:r>
            <w:r/>
          </w:p>
        </w:tc>
        <w:tc>
          <w:tcPr>
            <w:shd w:val="clear" w:color="auto" w:fill="0f2e22"/>
            <w:tcBorders/>
            <w:tcW w:w="4485" w:type="dxa"/>
          </w:tcPr>
          <w:p>
            <w:pPr>
              <w:pBdr/>
              <w:spacing w:after="40"/>
              <w:ind/>
              <w:rPr/>
            </w:pPr>
            <w:r>
              <w:rPr>
                <w:b/>
                <w:color w:val="ffffff"/>
                <w:sz w:val="18"/>
              </w:rPr>
              <w:t xml:space="preserve">What was built</w:t>
            </w:r>
            <w:r/>
          </w:p>
        </w:tc>
        <w:tc>
          <w:tcPr>
            <w:shd w:val="clear" w:color="auto" w:fill="0f2e22"/>
            <w:tcBorders/>
            <w:tcW w:w="4079" w:type="dxa"/>
          </w:tcPr>
          <w:p>
            <w:pPr>
              <w:pBdr/>
              <w:spacing w:after="40"/>
              <w:ind/>
              <w:rPr/>
            </w:pPr>
            <w:r>
              <w:rPr>
                <w:b/>
                <w:color w:val="ffffff"/>
                <w:sz w:val="18"/>
              </w:rPr>
              <w:t xml:space="preserve">Where to check it</w:t>
            </w:r>
            <w:r/>
          </w:p>
        </w:tc>
      </w:tr>
      <w:tr>
        <w:trPr/>
        <w:tc>
          <w:tcPr>
            <w:tcBorders/>
            <w:tcW w:w="3395" w:type="dxa"/>
          </w:tcPr>
          <w:p>
            <w:pPr>
              <w:pBdr/>
              <w:spacing w:after="40"/>
              <w:ind/>
              <w:rPr/>
            </w:pPr>
            <w:r>
              <w:rPr>
                <w:b/>
                <w:i w:val="0"/>
                <w:color w:val="0f2e22"/>
                <w:sz w:val="18"/>
              </w:rPr>
              <w:t xml:space="preserve">1.  “See How It Works” in the note email loops back to Tell the Boss</w:t>
            </w:r>
            <w:r/>
          </w:p>
          <w:p>
            <w:pPr>
              <w:pBdr/>
              <w:spacing w:after="40"/>
              <w:ind/>
              <w:rPr/>
            </w:pPr>
            <w:r>
              <w:rPr>
                <w:b w:val="0"/>
                <w:i/>
                <w:color w:val="5a5f58"/>
                <w:sz w:val="17"/>
              </w:rPr>
              <w:t xml:space="preserve">“right now it goes back to the Tell The Boss page in a loop ;)”</w:t>
            </w:r>
            <w:r/>
          </w:p>
        </w:tc>
        <w:tc>
          <w:tcPr>
            <w:tcBorders/>
            <w:tcW w:w="2369" w:type="dxa"/>
          </w:tcPr>
          <w:p>
            <w:pPr>
              <w:pBdr/>
              <w:spacing w:after="40"/>
              <w:ind/>
              <w:rPr/>
            </w:pPr>
            <w:r>
              <w:rPr>
                <w:b w:val="0"/>
                <w:i w:val="0"/>
                <w:color w:val="5a5f58"/>
                <w:sz w:val="17"/>
              </w:rPr>
              <w:t xml:space="preserve">Email, 08:30</w:t>
            </w:r>
            <w:r/>
          </w:p>
        </w:tc>
        <w:tc>
          <w:tcPr>
            <w:tcBorders/>
            <w:tcW w:w="4485" w:type="dxa"/>
          </w:tcPr>
          <w:p>
            <w:pPr>
              <w:pBdr/>
              <w:spacing w:after="40"/>
              <w:ind/>
              <w:rPr/>
            </w:pPr>
            <w:r>
              <w:rPr>
                <w:b w:val="0"/>
                <w:i w:val="0"/>
                <w:color w:val="1a1a14"/>
                <w:sz w:val="18"/>
              </w:rPr>
              <w:t xml:space="preserve">The button's URL was built as site_url("/tell-the-boss/") — the page whose whole job is persuading someone to send that email. It now points at /how-it-works/.</w:t>
            </w:r>
            <w:r/>
          </w:p>
          <w:p>
            <w:pPr>
              <w:pBdr/>
              <w:spacing w:after="40"/>
              <w:ind/>
              <w:rPr/>
            </w:pPr>
            <w:r>
              <w:rPr>
                <w:b w:val="0"/>
                <w:i w:val="0"/>
                <w:color w:val="1a1a14"/>
                <w:sz w:val="18"/>
              </w:rPr>
              <w:t xml:space="preserve">Fixed in both places it was built: the HTML email and the plain-text copy stored on the invite record.</w:t>
            </w:r>
            <w:r/>
          </w:p>
        </w:tc>
        <w:tc>
          <w:tcPr>
            <w:tcBorders/>
            <w:tcW w:w="4079"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accounts/views.py:1334</w:t>
            </w:r>
            <w:r/>
          </w:p>
          <w:p>
            <w:pPr>
              <w:pBdr/>
              <w:spacing w:after="40"/>
              <w:ind/>
              <w:rPr/>
            </w:pPr>
            <w:r>
              <w:rPr>
                <w:rFonts w:ascii="Consolas" w:hAnsi="Consolas"/>
                <w:b w:val="0"/>
                <w:color w:val="0f2e22"/>
                <w:sz w:val="16"/>
              </w:rPr>
              <w:t xml:space="preserve">accounts/views.py:1354</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Send yourself a note from /tell-the-boss/ and click “See how it works” in the email that arrives. It should land on How It Works.</w:t>
            </w:r>
            <w:r/>
          </w:p>
        </w:tc>
      </w:tr>
      <w:tr>
        <w:trPr/>
        <w:tc>
          <w:tcPr>
            <w:tcBorders/>
            <w:tcW w:w="3395" w:type="dxa"/>
          </w:tcPr>
          <w:p>
            <w:pPr>
              <w:pBdr/>
              <w:spacing w:after="40"/>
              <w:ind/>
              <w:rPr/>
            </w:pPr>
            <w:r>
              <w:rPr>
                <w:b/>
                <w:i w:val="0"/>
                <w:color w:val="0f2e22"/>
                <w:sz w:val="18"/>
              </w:rPr>
              <w:t xml:space="preserve">2.  Stray comma before the name on the note sign-off</w:t>
            </w:r>
            <w:r/>
          </w:p>
          <w:p>
            <w:pPr>
              <w:pBdr/>
              <w:spacing w:after="40"/>
              <w:ind/>
              <w:rPr/>
            </w:pPr>
            <w:r>
              <w:rPr>
                <w:b w:val="0"/>
                <w:i/>
                <w:color w:val="5a5f58"/>
                <w:sz w:val="17"/>
              </w:rPr>
              <w:t xml:space="preserve">“There is a “,” before Ian Hopkinson… on the note sign off”</w:t>
            </w:r>
            <w:r/>
          </w:p>
        </w:tc>
        <w:tc>
          <w:tcPr>
            <w:tcBorders/>
            <w:tcW w:w="2369" w:type="dxa"/>
          </w:tcPr>
          <w:p>
            <w:pPr>
              <w:pBdr/>
              <w:spacing w:after="40"/>
              <w:ind/>
              <w:rPr/>
            </w:pPr>
            <w:r>
              <w:rPr>
                <w:b w:val="0"/>
                <w:i w:val="0"/>
                <w:color w:val="5a5f58"/>
                <w:sz w:val="17"/>
              </w:rPr>
              <w:t xml:space="preserve">Email, 08:30</w:t>
            </w:r>
            <w:r/>
          </w:p>
        </w:tc>
        <w:tc>
          <w:tcPr>
            <w:tcBorders/>
            <w:tcW w:w="4485" w:type="dxa"/>
          </w:tcPr>
          <w:p>
            <w:pPr>
              <w:pBdr/>
              <w:spacing w:after="40"/>
              <w:ind/>
              <w:rPr/>
            </w:pPr>
            <w:r>
              <w:rPr>
                <w:b w:val="0"/>
                <w:i w:val="0"/>
                <w:color w:val="1a1a14"/>
                <w:sz w:val="18"/>
              </w:rPr>
              <w:t xml:space="preserve">The HTML email had a literal comma where the plain-text version has an em dash — so the two halves of the same email disagreed. Now an em dash in both.</w:t>
            </w:r>
            <w:r/>
          </w:p>
        </w:tc>
        <w:tc>
          <w:tcPr>
            <w:tcBorders/>
            <w:tcW w:w="4079"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templates/emails/tell_the_boss.html:26</w:t>
            </w:r>
            <w:r/>
          </w:p>
          <w:p>
            <w:pPr>
              <w:pBdr/>
              <w:spacing w:after="40"/>
              <w:ind/>
              <w:rPr/>
            </w:pPr>
            <w:r>
              <w:rPr>
                <w:b w:val="0"/>
                <w:i w:val="0"/>
                <w:color w:val="1a1a14"/>
                <w:sz w:val="17"/>
              </w:rPr>
              <w:t xml:space="preserve">Compare against templates/emails/tell_the_boss.txt, which was already correct.</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Send a note; the letter is signed “— Your Name”.</w:t>
            </w:r>
            <w:r/>
          </w:p>
        </w:tc>
      </w:tr>
      <w:tr>
        <w:trPr/>
        <w:tc>
          <w:tcPr>
            <w:tcBorders/>
            <w:tcW w:w="3395" w:type="dxa"/>
          </w:tcPr>
          <w:p>
            <w:pPr>
              <w:pBdr/>
              <w:spacing w:after="40"/>
              <w:ind/>
              <w:rPr/>
            </w:pPr>
            <w:r>
              <w:rPr>
                <w:b/>
                <w:i w:val="0"/>
                <w:color w:val="0f2e22"/>
                <w:sz w:val="18"/>
              </w:rPr>
              <w:t xml:space="preserve">3.  Tell the Boss needs the right logo, the right name, and a more modern look</w:t>
            </w:r>
            <w:r/>
          </w:p>
          <w:p>
            <w:pPr>
              <w:pBdr/>
              <w:spacing w:after="40"/>
              <w:ind/>
              <w:rPr/>
            </w:pPr>
            <w:r>
              <w:rPr>
                <w:b w:val="0"/>
                <w:i/>
                <w:color w:val="5a5f58"/>
                <w:sz w:val="17"/>
              </w:rPr>
              <w:t xml:space="preserve">“This needs updating with the right logo and the right name Good Tip — a more modern look, like a post-it note or the like”</w:t>
            </w:r>
            <w:r/>
          </w:p>
        </w:tc>
        <w:tc>
          <w:tcPr>
            <w:tcBorders/>
            <w:tcW w:w="2369" w:type="dxa"/>
          </w:tcPr>
          <w:p>
            <w:pPr>
              <w:pBdr/>
              <w:spacing w:after="40"/>
              <w:ind/>
              <w:rPr/>
            </w:pPr>
            <w:r>
              <w:rPr>
                <w:b w:val="0"/>
                <w:i w:val="0"/>
                <w:color w:val="5a5f58"/>
                <w:sz w:val="17"/>
              </w:rPr>
              <w:t xml:space="preserve">Email, 08:17 (+ screenshot of /tell-the-boss/?copy=1)</w:t>
            </w:r>
            <w:r/>
          </w:p>
        </w:tc>
        <w:tc>
          <w:tcPr>
            <w:tcBorders/>
            <w:tcW w:w="4485" w:type="dxa"/>
          </w:tcPr>
          <w:p>
            <w:pPr>
              <w:pBdr/>
              <w:spacing w:after="40"/>
              <w:ind/>
              <w:rPr/>
            </w:pPr>
            <w:r>
              <w:rPr>
                <w:b w:val="0"/>
                <w:i w:val="0"/>
                <w:color w:val="1a1a14"/>
                <w:sz w:val="18"/>
              </w:rPr>
              <w:t xml:space="preserve">The wax seal on both letters was stamped GOOD / TIPS — a name the company does not have, on the most brand-looking object on the page.</w:t>
            </w:r>
            <w:r/>
          </w:p>
          <w:p>
            <w:pPr>
              <w:pBdr/>
              <w:spacing w:after="40"/>
              <w:ind/>
              <w:rPr/>
            </w:pPr>
            <w:r>
              <w:rPr>
                <w:b w:val="0"/>
                <w:i w:val="0"/>
                <w:color w:val="1a1a14"/>
                <w:sz w:val="18"/>
              </w:rPr>
              <w:t xml:space="preserve">Both vintage presentations are gone: the parchment scroll and the lined card on a green envelope, with the fountain pen, glass inkwell, ink splatter and wax seal drawn as shared SVG symbols.</w:t>
            </w:r>
            <w:r/>
          </w:p>
          <w:p>
            <w:pPr>
              <w:pBdr/>
              <w:spacing w:after="40"/>
              <w:ind/>
              <w:rPr/>
            </w:pPr>
            <w:r>
              <w:rPr>
                <w:b w:val="0"/>
                <w:i w:val="0"/>
                <w:color w:val="1a1a14"/>
                <w:sz w:val="18"/>
              </w:rPr>
              <w:t xml:space="preserve">Replaced with two modern ones — a post-it note (taped, tilted, lifting off the wall) and a message card with a lime header bar.</w:t>
            </w:r>
            <w:r/>
          </w:p>
          <w:p>
            <w:pPr>
              <w:pBdr/>
              <w:spacing w:after="40"/>
              <w:ind/>
              <w:rPr/>
            </w:pPr>
            <w:r>
              <w:rPr>
                <w:b w:val="0"/>
                <w:i w:val="0"/>
                <w:color w:val="1a1a14"/>
                <w:sz w:val="18"/>
              </w:rPr>
              <w:t xml:space="preserve">Both now sign off with the site's actual wordmark, rendered from the same markup the nav bar uses, so it cannot drift from the bar.</w:t>
            </w:r>
            <w:r/>
          </w:p>
        </w:tc>
        <w:tc>
          <w:tcPr>
            <w:tcBorders/>
            <w:tcW w:w="4079" w:type="dxa"/>
          </w:tcPr>
          <w:p>
            <w:pPr>
              <w:pBdr/>
              <w:spacing w:after="40"/>
              <w:ind/>
              <w:rPr/>
            </w:pPr>
            <w:r>
              <w:rPr>
                <w:b/>
                <w:i w:val="0"/>
                <w:color w:val="2a7337"/>
                <w:sz w:val="17"/>
              </w:rPr>
              <w:t xml:space="preserve">New files</w:t>
            </w:r>
            <w:r/>
          </w:p>
          <w:p>
            <w:pPr>
              <w:pBdr/>
              <w:spacing w:after="40"/>
              <w:ind/>
              <w:rPr/>
            </w:pPr>
            <w:r>
              <w:rPr>
                <w:rFonts w:ascii="Consolas" w:hAnsi="Consolas"/>
                <w:b w:val="0"/>
                <w:color w:val="0f2e22"/>
                <w:sz w:val="16"/>
              </w:rPr>
              <w:t xml:space="preserve">templates/public/partials/_boss_letter_postit.html</w:t>
            </w:r>
            <w:r/>
          </w:p>
          <w:p>
            <w:pPr>
              <w:pBdr/>
              <w:spacing w:after="40"/>
              <w:ind/>
              <w:rPr/>
            </w:pPr>
            <w:r>
              <w:rPr>
                <w:rFonts w:ascii="Consolas" w:hAnsi="Consolas"/>
                <w:b w:val="0"/>
                <w:color w:val="0f2e22"/>
                <w:sz w:val="16"/>
              </w:rPr>
              <w:t xml:space="preserve">templates/public/partials/_boss_letter_card.html</w:t>
            </w:r>
            <w:r/>
          </w:p>
          <w:p>
            <w:pPr>
              <w:pBdr/>
              <w:spacing w:after="40"/>
              <w:ind/>
              <w:rPr/>
            </w:pPr>
            <w:r>
              <w:rPr>
                <w:rFonts w:ascii="Consolas" w:hAnsi="Consolas"/>
                <w:b w:val="0"/>
                <w:color w:val="0f2e22"/>
                <w:sz w:val="16"/>
              </w:rPr>
              <w:t xml:space="preserve">templates/public/partials/_boss_letter_mark.html</w:t>
            </w:r>
            <w:r/>
          </w:p>
          <w:p>
            <w:pPr>
              <w:pBdr/>
              <w:spacing w:after="40"/>
              <w:ind/>
              <w:rPr/>
            </w:pPr>
            <w:r>
              <w:rPr>
                <w:b/>
                <w:i w:val="0"/>
                <w:color w:val="2a7337"/>
                <w:sz w:val="17"/>
              </w:rPr>
              <w:t xml:space="preserve">Deleted</w:t>
            </w:r>
            <w:r/>
          </w:p>
          <w:p>
            <w:pPr>
              <w:pBdr/>
              <w:spacing w:after="40"/>
              <w:ind/>
              <w:rPr/>
            </w:pPr>
            <w:r>
              <w:rPr>
                <w:rFonts w:ascii="Consolas" w:hAnsi="Consolas"/>
                <w:b w:val="0"/>
                <w:color w:val="0f2e22"/>
                <w:sz w:val="16"/>
              </w:rPr>
              <w:t xml:space="preserve">_boss_letter_scroll.html</w:t>
            </w:r>
            <w:r/>
          </w:p>
          <w:p>
            <w:pPr>
              <w:pBdr/>
              <w:spacing w:after="40"/>
              <w:ind/>
              <w:rPr/>
            </w:pPr>
            <w:r>
              <w:rPr>
                <w:rFonts w:ascii="Consolas" w:hAnsi="Consolas"/>
                <w:b w:val="0"/>
                <w:color w:val="0f2e22"/>
                <w:sz w:val="16"/>
              </w:rPr>
              <w:t xml:space="preserve">_boss_letter_desk.html</w:t>
            </w:r>
            <w:r/>
          </w:p>
          <w:p>
            <w:pPr>
              <w:pBdr/>
              <w:spacing w:after="40"/>
              <w:ind/>
              <w:rPr/>
            </w:pPr>
            <w:r>
              <w:rPr>
                <w:rFonts w:ascii="Consolas" w:hAnsi="Consolas"/>
                <w:b w:val="0"/>
                <w:color w:val="0f2e22"/>
                <w:sz w:val="16"/>
              </w:rPr>
              <w:t xml:space="preserve">_boss_letter_props.html  (held the seal)</w:t>
            </w:r>
            <w:r/>
          </w:p>
          <w:p>
            <w:pPr>
              <w:pBdr/>
              <w:spacing w:after="40"/>
              <w:ind/>
              <w:rPr/>
            </w:pPr>
            <w:r>
              <w:rPr>
                <w:b/>
                <w:i w:val="0"/>
                <w:color w:val="2a7337"/>
                <w:sz w:val="17"/>
              </w:rPr>
              <w:t xml:space="preserve">Styles</w:t>
            </w:r>
            <w:r/>
          </w:p>
          <w:p>
            <w:pPr>
              <w:pBdr/>
              <w:spacing w:after="40"/>
              <w:ind/>
              <w:rPr/>
            </w:pPr>
            <w:r>
              <w:rPr>
                <w:rFonts w:ascii="Consolas" w:hAnsi="Consolas"/>
                <w:b w:val="0"/>
                <w:color w:val="0f2e22"/>
                <w:sz w:val="16"/>
              </w:rPr>
              <w:t xml:space="preserve">static/css/goodtip.css:5141 onward</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/tell-the-boss/?copy=1 — the two letters side by side. Neither carries a seal; both carry GOODTIP.</w:t>
            </w:r>
            <w:r/>
          </w:p>
        </w:tc>
      </w:tr>
      <w:tr>
        <w:trPr/>
        <w:tc>
          <w:tcPr>
            <w:tcBorders/>
            <w:tcW w:w="3395" w:type="dxa"/>
          </w:tcPr>
          <w:p>
            <w:pPr>
              <w:pBdr/>
              <w:spacing w:after="40"/>
              <w:ind/>
              <w:rPr/>
            </w:pPr>
            <w:r>
              <w:rPr>
                <w:b/>
                <w:i w:val="0"/>
                <w:color w:val="0f2e22"/>
                <w:sz w:val="18"/>
              </w:rPr>
              <w:t xml:space="preserve">4.  Senders should see the note before they send it</w:t>
            </w:r>
            <w:r/>
          </w:p>
          <w:p>
            <w:pPr>
              <w:pBdr/>
              <w:spacing w:after="40"/>
              <w:ind/>
              <w:rPr/>
            </w:pPr>
            <w:r>
              <w:rPr>
                <w:b w:val="0"/>
                <w:i/>
                <w:color w:val="5a5f58"/>
                <w:sz w:val="17"/>
              </w:rPr>
              <w:t xml:space="preserve">“It would be nice for them to see what they are actually sending before they send it? This preview is after they sent it?”</w:t>
            </w:r>
            <w:r/>
          </w:p>
        </w:tc>
        <w:tc>
          <w:tcPr>
            <w:tcBorders/>
            <w:tcW w:w="2369" w:type="dxa"/>
          </w:tcPr>
          <w:p>
            <w:pPr>
              <w:pBdr/>
              <w:spacing w:after="40"/>
              <w:ind/>
              <w:rPr/>
            </w:pPr>
            <w:r>
              <w:rPr>
                <w:b w:val="0"/>
                <w:i w:val="0"/>
                <w:color w:val="5a5f58"/>
                <w:sz w:val="17"/>
              </w:rPr>
              <w:t xml:space="preserve">Email, 08:22</w:t>
            </w:r>
            <w:r/>
          </w:p>
        </w:tc>
        <w:tc>
          <w:tcPr>
            <w:tcBorders/>
            <w:tcW w:w="4485" w:type="dxa"/>
          </w:tcPr>
          <w:p>
            <w:pPr>
              <w:pBdr/>
              <w:spacing w:after="40"/>
              <w:ind/>
              <w:rPr/>
            </w:pPr>
            <w:r>
              <w:rPr>
                <w:b w:val="0"/>
                <w:i w:val="0"/>
                <w:color w:val="1a1a14"/>
                <w:sz w:val="18"/>
              </w:rPr>
              <w:t xml:space="preserve">Correct — the only preview lived on the progress page and was rendered from BossInvite.body_preview, which is written at the moment the email goes out. The sender saw it only after it had landed.</w:t>
            </w:r>
            <w:r/>
          </w:p>
          <w:p>
            <w:pPr>
              <w:pBdr/>
              <w:spacing w:after="40"/>
              <w:ind/>
              <w:rPr/>
            </w:pPr>
            <w:r>
              <w:rPr>
                <w:b w:val="0"/>
                <w:i w:val="0"/>
                <w:color w:val="1a1a14"/>
                <w:sz w:val="18"/>
              </w:rPr>
              <w:t xml:space="preserve">The note now sits above the Send button on both send surfaces, filling in live as the names are typed, with the recipient address spelled out — the address being the part that cannot be recalled.</w:t>
            </w:r>
            <w:r/>
          </w:p>
          <w:p>
            <w:pPr>
              <w:pBdr/>
              <w:spacing w:after="40"/>
              <w:ind/>
              <w:rPr/>
            </w:pPr>
            <w:r>
              <w:rPr>
                <w:b w:val="0"/>
                <w:i w:val="0"/>
                <w:color w:val="1a1a14"/>
                <w:sz w:val="18"/>
              </w:rPr>
              <w:t xml:space="preserve">One script keeps every copy of the letter on the page in step; the marketing page can draw it three times at once.</w:t>
            </w:r>
            <w:r/>
          </w:p>
        </w:tc>
        <w:tc>
          <w:tcPr>
            <w:tcBorders/>
            <w:tcW w:w="4079" w:type="dxa"/>
          </w:tcPr>
          <w:p>
            <w:pPr>
              <w:pBdr/>
              <w:spacing w:after="40"/>
              <w:ind/>
              <w:rPr/>
            </w:pPr>
            <w:r>
              <w:rPr>
                <w:b/>
                <w:i w:val="0"/>
                <w:color w:val="2a7337"/>
                <w:sz w:val="17"/>
              </w:rPr>
              <w:t xml:space="preserve">New file</w:t>
            </w:r>
            <w:r/>
          </w:p>
          <w:p>
            <w:pPr>
              <w:pBdr/>
              <w:spacing w:after="40"/>
              <w:ind/>
              <w:rPr/>
            </w:pPr>
            <w:r>
              <w:rPr>
                <w:rFonts w:ascii="Consolas" w:hAnsi="Consolas"/>
                <w:b w:val="0"/>
                <w:color w:val="0f2e22"/>
                <w:sz w:val="16"/>
              </w:rPr>
              <w:t xml:space="preserve">templates/public/partials/_boss_letter_preview.html</w:t>
            </w:r>
            <w:r/>
          </w:p>
          <w:p>
            <w:pPr>
              <w:pBdr/>
              <w:spacing w:after="40"/>
              <w:ind/>
              <w:rPr/>
            </w:pPr>
            <w:r>
              <w:rPr>
                <w:b/>
                <w:i w:val="0"/>
                <w:color w:val="2a7337"/>
                <w:sz w:val="17"/>
              </w:rPr>
              <w:t xml:space="preserve">Wired into</w:t>
            </w:r>
            <w:r/>
          </w:p>
          <w:p>
            <w:pPr>
              <w:pBdr/>
              <w:spacing w:after="40"/>
              <w:ind/>
              <w:rPr/>
            </w:pPr>
            <w:r>
              <w:rPr>
                <w:rFonts w:ascii="Consolas" w:hAnsi="Consolas"/>
                <w:b w:val="0"/>
                <w:color w:val="0f2e22"/>
                <w:sz w:val="16"/>
              </w:rPr>
              <w:t xml:space="preserve">templates/public/boss_send.html</w:t>
            </w:r>
            <w:r/>
          </w:p>
          <w:p>
            <w:pPr>
              <w:pBdr/>
              <w:spacing w:after="40"/>
              <w:ind/>
              <w:rPr/>
            </w:pPr>
            <w:r>
              <w:rPr>
                <w:rFonts w:ascii="Consolas" w:hAnsi="Consolas"/>
                <w:b w:val="0"/>
                <w:color w:val="0f2e22"/>
                <w:sz w:val="16"/>
              </w:rPr>
              <w:t xml:space="preserve">templates/public/tell_the_boss.html</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Sign in, go to /tell-the-boss/. Type a name into “Your name” and watch the letter below the fields change as you type.</w:t>
            </w:r>
            <w:r/>
          </w:p>
        </w:tc>
      </w:tr>
      <w:tr>
        <w:trPr/>
        <w:tc>
          <w:tcPr>
            <w:tcBorders/>
            <w:tcW w:w="3395" w:type="dxa"/>
          </w:tcPr>
          <w:p>
            <w:pPr>
              <w:pBdr/>
              <w:spacing w:after="40"/>
              <w:ind/>
              <w:rPr/>
            </w:pPr>
            <w:r>
              <w:rPr>
                <w:b/>
                <w:i w:val="0"/>
                <w:color w:val="0f2e22"/>
                <w:sz w:val="18"/>
              </w:rPr>
              <w:t xml:space="preserve">5.  A new account saw none of its existing tips, and no back-dating</w:t>
            </w:r>
            <w:r/>
          </w:p>
          <w:p>
            <w:pPr>
              <w:pBdr/>
              <w:spacing w:after="40"/>
              <w:ind/>
              <w:rPr/>
            </w:pPr>
            <w:r>
              <w:rPr>
                <w:b w:val="0"/>
                <w:i/>
                <w:color w:val="5a5f58"/>
                <w:sz w:val="17"/>
              </w:rPr>
              <w:t xml:space="preserve">“Neither my tips or other tipper in the system showed up with their existing tips. It asked us to tip again when we have already tipped. It also didnt historically back date to away games?”</w:t>
            </w:r>
            <w:r/>
          </w:p>
        </w:tc>
        <w:tc>
          <w:tcPr>
            <w:tcBorders/>
            <w:tcW w:w="2369" w:type="dxa"/>
          </w:tcPr>
          <w:p>
            <w:pPr>
              <w:pBdr/>
              <w:spacing w:after="40"/>
              <w:ind/>
              <w:rPr/>
            </w:pPr>
            <w:r>
              <w:rPr>
                <w:b w:val="0"/>
                <w:i w:val="0"/>
                <w:color w:val="5a5f58"/>
                <w:sz w:val="17"/>
              </w:rPr>
              <w:t xml:space="preserve">Email, 08:09 (+ leaderboard screenshot showing 0/0)</w:t>
            </w:r>
            <w:r/>
          </w:p>
        </w:tc>
        <w:tc>
          <w:tcPr>
            <w:tcBorders/>
            <w:tcW w:w="4485" w:type="dxa"/>
          </w:tcPr>
          <w:p>
            <w:pPr>
              <w:pBdr/>
              <w:spacing w:after="40"/>
              <w:ind/>
              <w:rPr/>
            </w:pPr>
            <w:r>
              <w:rPr>
                <w:b w:val="0"/>
                <w:i w:val="0"/>
                <w:color w:val="1a1a14"/>
                <w:sz w:val="18"/>
              </w:rPr>
              <w:t xml:space="preserve">This was real, and it had two separate causes.</w:t>
            </w:r>
            <w:r/>
          </w:p>
          <w:p>
            <w:pPr>
              <w:pBdr/>
              <w:spacing w:after="40"/>
              <w:ind/>
              <w:rPr/>
            </w:pPr>
            <w:r>
              <w:rPr>
                <w:b w:val="0"/>
                <w:i w:val="0"/>
                <w:color w:val="1a1a14"/>
                <w:sz w:val="18"/>
              </w:rPr>
              <w:t xml:space="preserve">(a) Two paths wrote membership rows direct</w:t>
            </w:r>
            <w:r>
              <w:rPr>
                <w:b w:val="0"/>
                <w:i w:val="0"/>
                <w:color w:val="1a1a14"/>
                <w:sz w:val="18"/>
              </w:rPr>
              <w:t xml:space="preserve">ly instead of going through add_member — the boss-invite loop and the org-creation wizard. So the person who talked their workplace into starting the comp, and the founder, were the two members who got no back-dating at all. Both now go through add_member.</w:t>
            </w:r>
            <w:r/>
          </w:p>
          <w:p>
            <w:pPr>
              <w:pBdr/>
              <w:spacing w:after="40"/>
              <w:ind/>
              <w:rPr/>
            </w:pPr>
            <w:r>
              <w:rPr>
                <w:b w:val="0"/>
                <w:i w:val="0"/>
                <w:color w:val="1a1a14"/>
                <w:sz w:val="18"/>
              </w:rPr>
              <w:t xml:space="preserve">(b) Nothi</w:t>
            </w:r>
            <w:r>
              <w:rPr>
                <w:b w:val="0"/>
                <w:i w:val="0"/>
                <w:color w:val="1a1a14"/>
                <w:sz w:val="18"/>
              </w:rPr>
              <w:t xml:space="preserve">ng had ever carried picks INTO a newly joined room. The carry feature only ever worked forward, at the moment a tip was made. Added carry_existing_tips(): it matches the same fixture across organisations on external_id and copies the member's own picks in.</w:t>
            </w:r>
            <w:r/>
          </w:p>
          <w:p>
            <w:pPr>
              <w:pBdr/>
              <w:spacing w:after="40"/>
              <w:ind/>
              <w:rPr/>
            </w:pPr>
            <w:r>
              <w:rPr>
                <w:b w:val="0"/>
                <w:i w:val="0"/>
                <w:color w:val="1a1a14"/>
                <w:sz w:val="18"/>
              </w:rPr>
              <w:t xml:space="preserve">The rule that makes it</w:t>
            </w:r>
            <w:r>
              <w:rPr>
                <w:b w:val="0"/>
                <w:i w:val="0"/>
                <w:color w:val="1a1a14"/>
                <w:sz w:val="18"/>
              </w:rPr>
              <w:t xml:space="preserve"> honest: a pick is only carried onto a match that had not started when the original was made. Copying onto a known result would be scoring after the fact. Auto-assigned tips are never carried, and where two of your other rooms disagree, nothing is written.</w:t>
            </w:r>
            <w:r/>
          </w:p>
          <w:p>
            <w:pPr>
              <w:pBdr/>
              <w:spacing w:after="40"/>
              <w:ind/>
              <w:rPr/>
            </w:pPr>
            <w:r>
              <w:rPr>
                <w:b w:val="0"/>
                <w:i w:val="0"/>
                <w:color w:val="1a1a14"/>
                <w:sz w:val="18"/>
              </w:rPr>
              <w:t xml:space="preserve">Carry runs first, the away-side default second, so real picks land before defaults can fill the space.</w:t>
            </w:r>
            <w:r/>
          </w:p>
        </w:tc>
        <w:tc>
          <w:tcPr>
            <w:tcBorders/>
            <w:tcW w:w="4079"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tipping/carry.py:377  carry_existing_tips()</w:t>
            </w:r>
            <w:r/>
          </w:p>
          <w:p>
            <w:pPr>
              <w:pBdr/>
              <w:spacing w:after="40"/>
              <w:ind/>
              <w:rPr/>
            </w:pPr>
            <w:r>
              <w:rPr>
                <w:rFonts w:ascii="Consolas" w:hAnsi="Consolas"/>
                <w:b w:val="0"/>
                <w:color w:val="0f2e22"/>
                <w:sz w:val="16"/>
              </w:rPr>
              <w:t xml:space="preserve">orgs/services.py:120  add_member()</w:t>
            </w:r>
            <w:r/>
          </w:p>
          <w:p>
            <w:pPr>
              <w:pBdr/>
              <w:spacing w:after="40"/>
              <w:ind/>
              <w:rPr/>
            </w:pPr>
            <w:r>
              <w:rPr>
                <w:rFonts w:ascii="Consolas" w:hAnsi="Consolas"/>
                <w:b w:val="0"/>
                <w:color w:val="0f2e22"/>
                <w:sz w:val="16"/>
              </w:rPr>
              <w:t xml:space="preserve">accounts/boss.py:66  boss invites</w:t>
            </w:r>
            <w:r/>
          </w:p>
          <w:p>
            <w:pPr>
              <w:pBdr/>
              <w:spacing w:after="40"/>
              <w:ind/>
              <w:rPr/>
            </w:pPr>
            <w:r>
              <w:rPr>
                <w:rFonts w:ascii="Consolas" w:hAnsi="Consolas"/>
                <w:b w:val="0"/>
                <w:color w:val="0f2e22"/>
                <w:sz w:val="16"/>
              </w:rPr>
              <w:t xml:space="preserve">orgs/views.py:817  the founder</w:t>
            </w:r>
            <w:r/>
          </w:p>
          <w:p>
            <w:pPr>
              <w:pBdr/>
              <w:spacing w:after="40"/>
              <w:ind/>
              <w:rPr/>
            </w:pPr>
            <w:r>
              <w:rPr>
                <w:rFonts w:ascii="Consolas" w:hAnsi="Consolas"/>
                <w:b w:val="0"/>
                <w:color w:val="0f2e22"/>
                <w:sz w:val="16"/>
              </w:rPr>
              <w:t xml:space="preserve">orgs/views.py:440  after fixtures land</w:t>
            </w:r>
            <w:r/>
          </w:p>
          <w:p>
            <w:pPr>
              <w:pBdr/>
              <w:spacing w:after="40"/>
              <w:ind/>
              <w:rPr/>
            </w:pPr>
            <w:r>
              <w:rPr>
                <w:b/>
                <w:i w:val="0"/>
                <w:color w:val="2a7337"/>
                <w:sz w:val="17"/>
              </w:rPr>
              <w:t xml:space="preserve">Tests — 10, all new</w:t>
            </w:r>
            <w:r/>
          </w:p>
          <w:p>
            <w:pPr>
              <w:pBdr/>
              <w:spacing w:after="40"/>
              <w:ind/>
              <w:rPr/>
            </w:pPr>
            <w:r>
              <w:rPr>
                <w:rFonts w:ascii="Consolas" w:hAnsi="Consolas"/>
                <w:b w:val="0"/>
                <w:color w:val="0f2e22"/>
                <w:sz w:val="16"/>
              </w:rPr>
              <w:t xml:space="preserve">tipping.tests.CarryIntoNewRoomTests</w:t>
            </w:r>
            <w:r/>
          </w:p>
          <w:p>
            <w:pPr>
              <w:pBdr/>
              <w:spacing w:after="40"/>
              <w:ind/>
              <w:rPr/>
            </w:pPr>
            <w:r>
              <w:rPr>
                <w:b w:val="0"/>
                <w:i w:val="0"/>
                <w:color w:val="1a1a14"/>
                <w:sz w:val="17"/>
              </w:rPr>
              <w:t xml:space="preserve">Includes the integrity case: a pick made after kickoff is refused and falls through to the default.</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Tip a round in one comp, then join a second comp. The second should open with those picks already made.</w:t>
            </w:r>
            <w:r/>
          </w:p>
        </w:tc>
      </w:tr>
      <w:tr>
        <w:trPr/>
        <w:tc>
          <w:tcPr>
            <w:tcBorders/>
            <w:tcW w:w="3395" w:type="dxa"/>
          </w:tcPr>
          <w:p>
            <w:pPr>
              <w:pBdr/>
              <w:spacing w:after="40"/>
              <w:ind/>
              <w:rPr/>
            </w:pPr>
            <w:r>
              <w:rPr>
                <w:b/>
                <w:i w:val="0"/>
                <w:color w:val="0f2e22"/>
                <w:sz w:val="18"/>
              </w:rPr>
              <w:t xml:space="preserve">6.  Groups only on the $799 plan; smaller plans see an upgrade prompt</w:t>
            </w:r>
            <w:r/>
          </w:p>
          <w:p>
            <w:pPr>
              <w:pBdr/>
              <w:spacing w:after="40"/>
              <w:ind/>
              <w:rPr/>
            </w:pPr>
            <w:r>
              <w:rPr>
                <w:b w:val="0"/>
                <w:i/>
                <w:color w:val="5a5f58"/>
                <w:sz w:val="17"/>
              </w:rPr>
              <w:t xml:space="preserve">“under 50 people can have the group button but if they click on it it triggers an upgrade … don't just hide the option, they should see what they're missing and get a clear upgrade path”</w:t>
            </w:r>
            <w:r/>
          </w:p>
        </w:tc>
        <w:tc>
          <w:tcPr>
            <w:tcBorders/>
            <w:tcW w:w="2369" w:type="dxa"/>
          </w:tcPr>
          <w:p>
            <w:pPr>
              <w:pBdr/>
              <w:spacing w:after="40"/>
              <w:ind/>
              <w:rPr/>
            </w:pPr>
            <w:r>
              <w:rPr>
                <w:b w:val="0"/>
                <w:i w:val="0"/>
                <w:color w:val="5a5f58"/>
                <w:sz w:val="17"/>
              </w:rPr>
              <w:t xml:space="preserve">Emails, 04:59 and 07:22</w:t>
            </w:r>
            <w:r/>
          </w:p>
        </w:tc>
        <w:tc>
          <w:tcPr>
            <w:tcBorders/>
            <w:tcW w:w="4485" w:type="dxa"/>
          </w:tcPr>
          <w:p>
            <w:pPr>
              <w:pBdr/>
              <w:spacing w:after="40"/>
              <w:ind/>
              <w:rPr/>
            </w:pPr>
            <w:r>
              <w:rPr>
                <w:b w:val="0"/>
                <w:i w:val="0"/>
                <w:color w:val="1a1a14"/>
                <w:sz w:val="18"/>
              </w:rPr>
              <w:t xml:space="preserve">One module answers the question, and four places ask it: the groups directory, the on/off toggle, the create form, and the service that writes a Group.</w:t>
            </w:r>
            <w:r/>
          </w:p>
          <w:p>
            <w:pPr>
              <w:pBdr/>
              <w:spacing w:after="40"/>
              <w:ind/>
              <w:rPr/>
            </w:pPr>
            <w:r>
              <w:rPr>
                <w:b w:val="0"/>
                <w:i w:val="0"/>
                <w:color w:val="1a1a14"/>
                <w:sz w:val="18"/>
              </w:rPr>
              <w:t xml:space="preserve">Locked plans see the button greyed and disabled — a real disabled &lt;button&gt;, not a styled div — with the reason, what it costs and a link beside it.</w:t>
            </w:r>
            <w:r/>
          </w:p>
          <w:p>
            <w:pPr>
              <w:pBdr/>
              <w:spacing w:after="40"/>
              <w:ind/>
              <w:rPr/>
            </w:pPr>
            <w:r>
              <w:rPr>
                <w:b w:val="0"/>
                <w:i w:val="0"/>
                <w:color w:val="1a1a14"/>
                <w:sz w:val="18"/>
              </w:rPr>
              <w:t xml:space="preserve">The POST is refused server-side too, so the disabled control is the explanation and not the enforcement.</w:t>
            </w:r>
            <w:r/>
          </w:p>
          <w:p>
            <w:pPr>
              <w:pBdr/>
              <w:spacing w:after="40"/>
              <w:ind/>
              <w:rPr/>
            </w:pPr>
            <w:r>
              <w:rPr>
                <w:b w:val="0"/>
                <w:i w:val="0"/>
                <w:color w:val="1a1a14"/>
                <w:sz w:val="18"/>
              </w:rPr>
              <w:t xml:space="preserve">Switching groups OFF is never refused: an org that drops to a smaller plan must still be able to simplify its own comp.</w:t>
            </w:r>
            <w:r/>
          </w:p>
          <w:p>
            <w:pPr>
              <w:pBdr/>
              <w:spacing w:after="40"/>
              <w:ind/>
              <w:rPr/>
            </w:pPr>
            <w:r>
              <w:rPr>
                <w:b w:val="0"/>
                <w:i w:val="0"/>
                <w:color w:val="1a1a14"/>
                <w:sz w:val="18"/>
              </w:rPr>
              <w:t xml:space="preserve">Sizing: a paid subscription decides it; with no subscription, the larger of the stated team size and the real headcount. Reading team_size alone would have locked hundreds of older orgs that predate the field.</w:t>
            </w:r>
            <w:r/>
          </w:p>
          <w:p>
            <w:pPr>
              <w:pBdr/>
              <w:spacing w:after="40"/>
              <w:ind/>
              <w:rPr/>
            </w:pPr>
            <w:r>
              <w:rPr>
                <w:b w:val="0"/>
                <w:i w:val="0"/>
                <w:color w:val="1a1a14"/>
                <w:sz w:val="18"/>
              </w:rPr>
              <w:t xml:space="preserve">Also found and fixed: billing/pricing.py had drifted from the site. It was selling “Growth, $199, up to 50” while /pricing/ sold “Team, $299, up to 50”. The labels and prices now match what is published.</w:t>
            </w:r>
            <w:r/>
          </w:p>
        </w:tc>
        <w:tc>
          <w:tcPr>
            <w:tcBorders/>
            <w:tcW w:w="4079" w:type="dxa"/>
          </w:tcPr>
          <w:p>
            <w:pPr>
              <w:pBdr/>
              <w:spacing w:after="40"/>
              <w:ind/>
              <w:rPr/>
            </w:pPr>
            <w:r>
              <w:rPr>
                <w:b/>
                <w:i w:val="0"/>
                <w:color w:val="2a7337"/>
                <w:sz w:val="17"/>
              </w:rPr>
              <w:t xml:space="preserve">New file</w:t>
            </w:r>
            <w:r/>
          </w:p>
          <w:p>
            <w:pPr>
              <w:pBdr/>
              <w:spacing w:after="40"/>
              <w:ind/>
              <w:rPr/>
            </w:pPr>
            <w:r>
              <w:rPr>
                <w:rFonts w:ascii="Consolas" w:hAnsi="Consolas"/>
                <w:b w:val="0"/>
                <w:color w:val="0f2e22"/>
                <w:sz w:val="16"/>
              </w:rPr>
              <w:t xml:space="preserve">billing/entitlements.py</w:t>
            </w:r>
            <w:r/>
          </w:p>
          <w:p>
            <w:pPr>
              <w:pBdr/>
              <w:spacing w:after="40"/>
              <w:ind/>
              <w:rPr/>
            </w:pPr>
            <w:r>
              <w:rPr>
                <w:rFonts w:ascii="Consolas" w:hAnsi="Consolas"/>
                <w:b w:val="0"/>
                <w:color w:val="0f2e22"/>
                <w:sz w:val="16"/>
              </w:rPr>
              <w:t xml:space="preserve">  groups_gate() :94   require_groups() :164</w:t>
            </w:r>
            <w:r/>
          </w:p>
          <w:p>
            <w:pPr>
              <w:pBdr/>
              <w:spacing w:after="40"/>
              <w:ind/>
              <w:rPr/>
            </w:pPr>
            <w:r>
              <w:rPr>
                <w:b/>
                <w:i w:val="0"/>
                <w:color w:val="2a7337"/>
                <w:sz w:val="17"/>
              </w:rPr>
              <w:t xml:space="preserve">The gate, wired</w:t>
            </w:r>
            <w:r/>
          </w:p>
          <w:p>
            <w:pPr>
              <w:pBdr/>
              <w:spacing w:after="40"/>
              <w:ind/>
              <w:rPr/>
            </w:pPr>
            <w:r>
              <w:rPr>
                <w:rFonts w:ascii="Consolas" w:hAnsi="Consolas"/>
                <w:b w:val="0"/>
                <w:color w:val="0f2e22"/>
                <w:sz w:val="16"/>
              </w:rPr>
              <w:t xml:space="preserve">orgs/services.py:1034  create_group</w:t>
            </w:r>
            <w:r/>
          </w:p>
          <w:p>
            <w:pPr>
              <w:pBdr/>
              <w:spacing w:after="40"/>
              <w:ind/>
              <w:rPr/>
            </w:pPr>
            <w:r>
              <w:rPr>
                <w:rFonts w:ascii="Consolas" w:hAnsi="Consolas"/>
                <w:b w:val="0"/>
                <w:color w:val="0f2e22"/>
                <w:sz w:val="16"/>
              </w:rPr>
              <w:t xml:space="preserve">orgs/views.py:2774  groups_toggle</w:t>
            </w:r>
            <w:r/>
          </w:p>
          <w:p>
            <w:pPr>
              <w:pBdr/>
              <w:spacing w:after="40"/>
              <w:ind/>
              <w:rPr/>
            </w:pPr>
            <w:r>
              <w:rPr>
                <w:rFonts w:ascii="Consolas" w:hAnsi="Consolas"/>
                <w:b w:val="0"/>
                <w:color w:val="0f2e22"/>
                <w:sz w:val="16"/>
              </w:rPr>
              <w:t xml:space="preserve">orgs/views.py:2852  the create POST</w:t>
            </w:r>
            <w:r/>
          </w:p>
          <w:p>
            <w:pPr>
              <w:pBdr/>
              <w:spacing w:after="40"/>
              <w:ind/>
              <w:rPr/>
            </w:pPr>
            <w:r>
              <w:rPr>
                <w:b/>
                <w:i w:val="0"/>
                <w:color w:val="2a7337"/>
                <w:sz w:val="17"/>
              </w:rPr>
              <w:t xml:space="preserve">The prompt</w:t>
            </w:r>
            <w:r/>
          </w:p>
          <w:p>
            <w:pPr>
              <w:pBdr/>
              <w:spacing w:after="40"/>
              <w:ind/>
              <w:rPr/>
            </w:pPr>
            <w:r>
              <w:rPr>
                <w:rFonts w:ascii="Consolas" w:hAnsi="Consolas"/>
                <w:b w:val="0"/>
                <w:color w:val="0f2e22"/>
                <w:sz w:val="16"/>
              </w:rPr>
              <w:t xml:space="preserve">templates/billing/_groups_locked.html</w:t>
            </w:r>
            <w:r/>
          </w:p>
          <w:p>
            <w:pPr>
              <w:pBdr/>
              <w:spacing w:after="40"/>
              <w:ind/>
              <w:rPr/>
            </w:pPr>
            <w:r>
              <w:rPr>
                <w:b/>
                <w:i w:val="0"/>
                <w:color w:val="2a7337"/>
                <w:sz w:val="17"/>
              </w:rPr>
              <w:t xml:space="preserve">Prices</w:t>
            </w:r>
            <w:r/>
          </w:p>
          <w:p>
            <w:pPr>
              <w:pBdr/>
              <w:spacing w:after="40"/>
              <w:ind/>
              <w:rPr/>
            </w:pPr>
            <w:r>
              <w:rPr>
                <w:rFonts w:ascii="Consolas" w:hAnsi="Consolas"/>
                <w:b w:val="0"/>
                <w:color w:val="0f2e22"/>
                <w:sz w:val="16"/>
              </w:rPr>
              <w:t xml:space="preserve">billing/pricing.py  GROUPS_MIN_TIER:124</w:t>
            </w:r>
            <w:r/>
          </w:p>
          <w:p>
            <w:pPr>
              <w:pBdr/>
              <w:spacing w:after="40"/>
              <w:ind/>
              <w:rPr/>
            </w:pPr>
            <w:r>
              <w:rPr>
                <w:b/>
                <w:i w:val="0"/>
                <w:color w:val="2a7337"/>
                <w:sz w:val="17"/>
              </w:rPr>
              <w:t xml:space="preserve">Tests — 10, all new</w:t>
            </w:r>
            <w:r/>
          </w:p>
          <w:p>
            <w:pPr>
              <w:pBdr/>
              <w:spacing w:after="40"/>
              <w:ind/>
              <w:rPr/>
            </w:pPr>
            <w:r>
              <w:rPr>
                <w:rFonts w:ascii="Consolas" w:hAnsi="Consolas"/>
                <w:b w:val="0"/>
                <w:color w:val="0f2e22"/>
                <w:sz w:val="16"/>
              </w:rPr>
              <w:t xml:space="preserve">orgs.tests.GroupsPlanGateTests</w:t>
            </w:r>
            <w:r/>
          </w:p>
          <w:p>
            <w:pPr>
              <w:pBdr/>
              <w:spacing w:after="40"/>
              <w:ind/>
              <w:rPr/>
            </w:pPr>
            <w:r>
              <w:rPr>
                <w:b w:val="0"/>
                <w:i w:val="0"/>
                <w:color w:val="1a1a14"/>
                <w:sz w:val="17"/>
              </w:rPr>
              <w:t xml:space="preserve">Includes: the locked org still sees the button; posting the form anyway lands on the plans page; switching OFF still works.</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Open a small org's /leagues/&lt;id&gt;/groups/ — greyed button plus prompt. A 150-person org sees it live.</w:t>
            </w:r>
            <w:r/>
          </w:p>
        </w:tc>
      </w:tr>
      <w:tr>
        <w:trPr/>
        <w:tc>
          <w:tcPr>
            <w:tcBorders/>
            <w:tcW w:w="3395" w:type="dxa"/>
          </w:tcPr>
          <w:p>
            <w:pPr>
              <w:pBdr/>
              <w:spacing w:after="40"/>
              <w:ind/>
              <w:rPr/>
            </w:pPr>
            <w:r>
              <w:rPr>
                <w:b/>
                <w:i w:val="0"/>
                <w:color w:val="0f2e22"/>
                <w:sz w:val="18"/>
              </w:rPr>
              <w:t xml:space="preserve">7.  Hide the Supporters section until there are more supporters</w:t>
            </w:r>
            <w:r/>
          </w:p>
          <w:p>
            <w:pPr>
              <w:pBdr/>
              <w:spacing w:after="40"/>
              <w:ind/>
              <w:rPr/>
            </w:pPr>
            <w:r>
              <w:rPr>
                <w:b w:val="0"/>
                <w:i/>
                <w:color w:val="5a5f58"/>
                <w:sz w:val="17"/>
              </w:rPr>
              <w:t xml:space="preserve">“Need to hide this section until we have more supporters on board”</w:t>
            </w:r>
            <w:r/>
          </w:p>
        </w:tc>
        <w:tc>
          <w:tcPr>
            <w:tcBorders/>
            <w:tcW w:w="2369" w:type="dxa"/>
          </w:tcPr>
          <w:p>
            <w:pPr>
              <w:pBdr/>
              <w:spacing w:after="40"/>
              <w:ind/>
              <w:rPr/>
            </w:pPr>
            <w:r>
              <w:rPr>
                <w:b w:val="0"/>
                <w:i w:val="0"/>
                <w:color w:val="5a5f58"/>
                <w:sz w:val="17"/>
              </w:rPr>
              <w:t xml:space="preserve">Email, 04:59 (+ screenshot) and the task sheet</w:t>
            </w:r>
            <w:r/>
          </w:p>
        </w:tc>
        <w:tc>
          <w:tcPr>
            <w:tcBorders/>
            <w:tcW w:w="4485" w:type="dxa"/>
          </w:tcPr>
          <w:p>
            <w:pPr>
              <w:pBdr/>
              <w:spacing w:after="40"/>
              <w:ind/>
              <w:rPr/>
            </w:pPr>
            <w:r>
              <w:rPr>
                <w:b w:val="0"/>
                <w:i w:val="0"/>
                <w:color w:val="1a1a14"/>
                <w:sz w:val="18"/>
              </w:rPr>
              <w:t xml:space="preserve">The whole section is off the home page, not just the one quote.</w:t>
            </w:r>
            <w:r/>
          </w:p>
          <w:p>
            <w:pPr>
              <w:pBdr/>
              <w:spacing w:after="40"/>
              <w:ind/>
              <w:rPr/>
            </w:pPr>
            <w:r>
              <w:rPr>
                <w:b w:val="0"/>
                <w:i w:val="0"/>
                <w:color w:val="1a1a14"/>
                <w:sz w:val="18"/>
              </w:rPr>
              <w:t xml:space="preserve">The Nick Maxwell quote and portrait are REMOVED rather than commented out. The quote was written by us and attributed to him, which is the legal risk — leaving it commented in the file is leaving it one keystroke from coming back.</w:t>
            </w:r>
            <w:r/>
          </w:p>
          <w:p>
            <w:pPr>
              <w:pBdr/>
              <w:spacing w:after="40"/>
              <w:ind/>
              <w:rPr/>
            </w:pPr>
            <w:r>
              <w:rPr>
                <w:b w:val="0"/>
                <w:i w:val="0"/>
                <w:color w:val="1a1a14"/>
                <w:sz w:val="18"/>
              </w:rPr>
              <w:t xml:space="preserve">The two “Announcing soon” slides are kept in the comment as the skeleton, because they promise nothing and name nobody. Instructions for restoring it are in the file.</w:t>
            </w:r>
            <w:r/>
          </w:p>
        </w:tc>
        <w:tc>
          <w:tcPr>
            <w:tcBorders/>
            <w:tcW w:w="4079"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templates/public/home.html:229</w:t>
            </w:r>
            <w:r/>
          </w:p>
          <w:p>
            <w:pPr>
              <w:pBdr/>
              <w:spacing w:after="40"/>
              <w:ind/>
              <w:rPr/>
            </w:pPr>
            <w:r>
              <w:rPr>
                <w:b w:val="0"/>
                <w:i w:val="0"/>
                <w:color w:val="1a1a14"/>
                <w:sz w:val="17"/>
              </w:rPr>
              <w:t xml:space="preserve">Search the file for “Nick Maxwell” — no result.</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The home page goes straight from the Wall teaser to Charity partners.</w:t>
            </w:r>
            <w:r/>
          </w:p>
          <w:p>
            <w:pPr>
              <w:pBdr/>
              <w:spacing w:after="40"/>
              <w:ind/>
              <w:rPr/>
            </w:pPr>
            <w:r>
              <w:rPr>
                <w:b/>
                <w:i w:val="0"/>
                <w:color w:val="2a7337"/>
                <w:sz w:val="17"/>
              </w:rPr>
              <w:t xml:space="preserve">Still on disk</w:t>
            </w:r>
            <w:r/>
          </w:p>
          <w:p>
            <w:pPr>
              <w:pBdr/>
              <w:spacing w:after="40"/>
              <w:ind/>
              <w:rPr/>
            </w:pPr>
            <w:r>
              <w:rPr>
                <w:b w:val="0"/>
                <w:i w:val="0"/>
                <w:color w:val="1a1a14"/>
                <w:sz w:val="17"/>
              </w:rPr>
              <w:t xml:space="preserve">static/img/nick-maxwell.jpg is no longer referenced by anything. Say the word and it goes too.</w:t>
            </w:r>
            <w:r/>
          </w:p>
        </w:tc>
      </w:tr>
      <w:tr>
        <w:trPr/>
        <w:tc>
          <w:tcPr>
            <w:tcBorders/>
            <w:tcW w:w="3395" w:type="dxa"/>
          </w:tcPr>
          <w:p>
            <w:pPr>
              <w:pBdr/>
              <w:spacing w:after="40"/>
              <w:ind/>
              <w:rPr/>
            </w:pPr>
            <w:r>
              <w:rPr>
                <w:b/>
                <w:i w:val="0"/>
                <w:color w:val="0f2e22"/>
                <w:sz w:val="18"/>
              </w:rPr>
              <w:t xml:space="preserve">8.  Remove The Good List from the menu — exactly 7 items</w:t>
            </w:r>
            <w:r/>
          </w:p>
          <w:p>
            <w:pPr>
              <w:pBdr/>
              <w:spacing w:after="40"/>
              <w:ind/>
              <w:rPr/>
            </w:pPr>
            <w:r>
              <w:rPr>
                <w:b w:val="0"/>
                <w:i/>
                <w:color w:val="5a5f58"/>
                <w:sz w:val="17"/>
              </w:rPr>
              <w:t xml:space="preserve">“Please remove The Good List from the menu items for now so we have exactly 7”</w:t>
            </w:r>
            <w:r/>
          </w:p>
        </w:tc>
        <w:tc>
          <w:tcPr>
            <w:tcBorders/>
            <w:tcW w:w="2369" w:type="dxa"/>
          </w:tcPr>
          <w:p>
            <w:pPr>
              <w:pBdr/>
              <w:spacing w:after="40"/>
              <w:ind/>
              <w:rPr/>
            </w:pPr>
            <w:r>
              <w:rPr>
                <w:b w:val="0"/>
                <w:i w:val="0"/>
                <w:color w:val="5a5f58"/>
                <w:sz w:val="17"/>
              </w:rPr>
              <w:t xml:space="preserve">Email, 05:08 (+ menu screenshot)</w:t>
            </w:r>
            <w:r/>
          </w:p>
        </w:tc>
        <w:tc>
          <w:tcPr>
            <w:tcBorders/>
            <w:tcW w:w="4485" w:type="dxa"/>
          </w:tcPr>
          <w:p>
            <w:pPr>
              <w:pBdr/>
              <w:spacing w:after="40"/>
              <w:ind/>
              <w:rPr/>
            </w:pPr>
            <w:r>
              <w:rPr>
                <w:b w:val="0"/>
                <w:i w:val="0"/>
                <w:color w:val="1a1a14"/>
                <w:sz w:val="18"/>
              </w:rPr>
              <w:t xml:space="preserve">Off the bar. Counting the row as it renders on the home page — where Home is absent because the wordmark already goes there — that leaves exactly seven: How It Works, Pricing, News, The Wall, Tell the Boss, Charities, About Us.</w:t>
            </w:r>
            <w:r/>
          </w:p>
          <w:p>
            <w:pPr>
              <w:pBdr/>
              <w:spacing w:after="40"/>
              <w:ind/>
              <w:rPr/>
            </w:pPr>
            <w:r>
              <w:rPr>
                <w:b w:val="0"/>
                <w:i w:val="0"/>
                <w:color w:val="1a1a14"/>
                <w:sz w:val="18"/>
              </w:rPr>
              <w:t xml:space="preserve">The page is untouched: /leaderboard/ still serves, still carries its SEO record, and the footer's Platform column still links to it. Off the bar, not gone — “for now” is doing real work in that sentence.</w:t>
            </w:r>
            <w:r/>
          </w:p>
        </w:tc>
        <w:tc>
          <w:tcPr>
            <w:tcBorders/>
            <w:tcW w:w="4079"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templates/public/partials/_nav.html:52</w:t>
            </w:r>
            <w:r/>
          </w:p>
          <w:p>
            <w:pPr>
              <w:pBdr/>
              <w:spacing w:after="40"/>
              <w:ind/>
              <w:rPr/>
            </w:pPr>
            <w:r>
              <w:rPr>
                <w:b w:val="0"/>
                <w:i w:val="0"/>
                <w:color w:val="1a1a14"/>
                <w:sz w:val="17"/>
              </w:rPr>
              <w:t xml:space="preserve">The comment there shows how the count of seven works out.</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Count the items on the home page bar. /leaderboard/ still loads.</w:t>
            </w:r>
            <w:r/>
          </w:p>
        </w:tc>
      </w:tr>
      <w:tr>
        <w:trPr/>
        <w:tc>
          <w:tcPr>
            <w:tcBorders/>
            <w:tcW w:w="3395" w:type="dxa"/>
          </w:tcPr>
          <w:p>
            <w:pPr>
              <w:pBdr/>
              <w:spacing w:after="40"/>
              <w:ind/>
              <w:rPr/>
            </w:pPr>
            <w:r>
              <w:rPr>
                <w:b/>
                <w:i w:val="0"/>
                <w:color w:val="0f2e22"/>
                <w:sz w:val="18"/>
              </w:rPr>
              <w:t xml:space="preserve">9.  Fix the footer logo to match the one at the top of the site</w:t>
            </w:r>
            <w:r/>
          </w:p>
          <w:p>
            <w:pPr>
              <w:pBdr/>
              <w:spacing w:after="40"/>
              <w:ind/>
              <w:rPr/>
            </w:pPr>
            <w:r>
              <w:rPr>
                <w:b w:val="0"/>
                <w:i/>
                <w:color w:val="5a5f58"/>
                <w:sz w:val="17"/>
              </w:rPr>
              <w:t xml:space="preserve">“Can we fix this logo to be like the one at the top of the site?”</w:t>
            </w:r>
            <w:r/>
          </w:p>
        </w:tc>
        <w:tc>
          <w:tcPr>
            <w:tcBorders/>
            <w:tcW w:w="2369" w:type="dxa"/>
          </w:tcPr>
          <w:p>
            <w:pPr>
              <w:pBdr/>
              <w:spacing w:after="40"/>
              <w:ind/>
              <w:rPr/>
            </w:pPr>
            <w:r>
              <w:rPr>
                <w:b w:val="0"/>
                <w:i w:val="0"/>
                <w:color w:val="5a5f58"/>
                <w:sz w:val="17"/>
              </w:rPr>
              <w:t xml:space="preserve">Email, 04:03 (+ screenshot of the socials block)</w:t>
            </w:r>
            <w:r/>
          </w:p>
        </w:tc>
        <w:tc>
          <w:tcPr>
            <w:tcBorders/>
            <w:tcW w:w="4485" w:type="dxa"/>
          </w:tcPr>
          <w:p>
            <w:pPr>
              <w:pBdr/>
              <w:spacing w:after="40"/>
              <w:ind/>
              <w:rPr/>
            </w:pPr>
            <w:r>
              <w:rPr>
                <w:b w:val="0"/>
                <w:i w:val="0"/>
                <w:color w:val="1a1a14"/>
                <w:sz w:val="18"/>
              </w:rPr>
              <w:t xml:space="preserve">The footer was showing goodtip-logo.png — black type on a lime block, a second version of the brand that appeared nowhere else and read as another company's badge sitting above our own social buttons.</w:t>
            </w:r>
            <w:r/>
          </w:p>
          <w:p>
            <w:pPr>
              <w:pBdr/>
              <w:spacing w:after="40"/>
              <w:ind/>
              <w:rPr/>
            </w:pPr>
            <w:r>
              <w:rPr>
                <w:b w:val="0"/>
                <w:i w:val="0"/>
                <w:color w:val="1a1a14"/>
                <w:sz w:val="18"/>
              </w:rPr>
              <w:t xml:space="preserve">It now renders the identical markup the nav bar uses, so there is one mark with one definition, and it stays crisp at any size.</w:t>
            </w:r>
            <w:r/>
          </w:p>
        </w:tc>
        <w:tc>
          <w:tcPr>
            <w:tcBorders/>
            <w:tcW w:w="4079"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templates/public/partials/_footer.html:31</w:t>
            </w:r>
            <w:r/>
          </w:p>
          <w:p>
            <w:pPr>
              <w:pBdr/>
              <w:spacing w:after="40"/>
              <w:ind/>
              <w:rPr/>
            </w:pPr>
            <w:r>
              <w:rPr>
                <w:b w:val="0"/>
                <w:i w:val="0"/>
                <w:color w:val="1a1a14"/>
                <w:sz w:val="17"/>
              </w:rPr>
              <w:t xml:space="preserve">Compare with the wordmark in _nav.html — same three spans.</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Scroll to the footer of any public page. The mark above “Footy tipping, for good.” matches the bar.</w:t>
            </w:r>
            <w:r/>
          </w:p>
        </w:tc>
      </w:tr>
    </w:tbl>
    <w:p>
      <w:pPr>
        <w:pBdr/>
        <w:spacing/>
        <w:ind/>
        <w:rPr/>
      </w:pPr>
      <w:r>
        <w:br w:type="page" w:clear="all"/>
      </w:r>
      <w:r/>
    </w:p>
    <w:p>
      <w:pPr>
        <w:pBdr/>
        <w:spacing w:after="120" w:before="0"/>
        <w:ind/>
        <w:rPr/>
      </w:pPr>
      <w:r>
        <w:rPr>
          <w:b/>
          <w:i w:val="0"/>
          <w:color w:val="0f2e22"/>
          <w:sz w:val="32"/>
        </w:rPr>
        <w:t xml:space="preserve">Part 2 — The task spreadsheet</w:t>
      </w:r>
      <w:r/>
    </w:p>
    <w:p>
      <w:pPr>
        <w:pBdr/>
        <w:spacing w:after="160" w:before="0"/>
        <w:ind/>
        <w:rPr/>
      </w:pPr>
      <w:r>
        <w:rPr>
          <w:b w:val="0"/>
          <w:i w:val="0"/>
          <w:color w:val="5a5f58"/>
          <w:sz w:val="19"/>
        </w:rPr>
        <w:t xml:space="preserve">Items assigned to development. Marketing and production items are listed separately at the end.</w:t>
      </w:r>
      <w:r/>
    </w:p>
    <w:tbl>
      <w:tblPr>
        <w:tblStyle w:val="934"/>
        <w:jc w:val="center"/>
        <w:tblW w:w="0" w:type="auto"/>
        <w:tblBorders/>
        <w:tblLook w:val="04A0" w:firstRow="1" w:lastRow="0" w:firstColumn="1" w:lastColumn="0" w:noHBand="0" w:noVBand="1"/>
      </w:tblPr>
      <w:tblGrid>
        <w:gridCol w:w="2880"/>
        <w:gridCol w:w="2160"/>
        <w:gridCol w:w="4752"/>
        <w:gridCol w:w="5040"/>
      </w:tblGrid>
      <w:tr>
        <w:trPr/>
        <w:tc>
          <w:tcPr>
            <w:shd w:val="clear" w:color="auto" w:fill="0f2e22"/>
            <w:tcBorders/>
            <w:tcW w:w="3528" w:type="dxa"/>
          </w:tcPr>
          <w:p>
            <w:pPr>
              <w:pBdr/>
              <w:spacing w:after="40"/>
              <w:ind/>
              <w:rPr/>
            </w:pPr>
            <w:r>
              <w:rPr>
                <w:b/>
                <w:color w:val="ffffff"/>
                <w:sz w:val="18"/>
              </w:rPr>
              <w:t xml:space="preserve">#  ·  What was asked</w:t>
            </w:r>
            <w:r/>
          </w:p>
        </w:tc>
        <w:tc>
          <w:tcPr>
            <w:shd w:val="clear" w:color="auto" w:fill="0f2e22"/>
            <w:tcBorders/>
            <w:tcW w:w="3528" w:type="dxa"/>
          </w:tcPr>
          <w:p>
            <w:pPr>
              <w:pBdr/>
              <w:spacing w:after="40"/>
              <w:ind/>
              <w:rPr/>
            </w:pPr>
            <w:r>
              <w:rPr>
                <w:b/>
                <w:color w:val="ffffff"/>
                <w:sz w:val="18"/>
              </w:rPr>
              <w:t xml:space="preserve">Who asked / where</w:t>
            </w:r>
            <w:r/>
          </w:p>
        </w:tc>
        <w:tc>
          <w:tcPr>
            <w:shd w:val="clear" w:color="auto" w:fill="0f2e22"/>
            <w:tcBorders/>
            <w:tcW w:w="3528" w:type="dxa"/>
          </w:tcPr>
          <w:p>
            <w:pPr>
              <w:pBdr/>
              <w:spacing w:after="40"/>
              <w:ind/>
              <w:rPr/>
            </w:pPr>
            <w:r>
              <w:rPr>
                <w:b/>
                <w:color w:val="ffffff"/>
                <w:sz w:val="18"/>
              </w:rPr>
              <w:t xml:space="preserve">What was built</w:t>
            </w:r>
            <w:r/>
          </w:p>
        </w:tc>
        <w:tc>
          <w:tcPr>
            <w:shd w:val="clear" w:color="auto" w:fill="0f2e22"/>
            <w:tcBorders/>
            <w:tcW w:w="3528" w:type="dxa"/>
          </w:tcPr>
          <w:p>
            <w:pPr>
              <w:pBdr/>
              <w:spacing w:after="40"/>
              <w:ind/>
              <w:rPr/>
            </w:pPr>
            <w:r>
              <w:rPr>
                <w:b/>
                <w:color w:val="ffffff"/>
                <w:sz w:val="18"/>
              </w:rPr>
              <w:t xml:space="preserve">Where to check it</w:t>
            </w:r>
            <w:r/>
          </w:p>
        </w:tc>
      </w:tr>
      <w:tr>
        <w:trPr/>
        <w:tc>
          <w:tcPr>
            <w:tcBorders/>
            <w:tcW w:w="3528" w:type="dxa"/>
          </w:tcPr>
          <w:p>
            <w:pPr>
              <w:pBdr/>
              <w:spacing w:after="40"/>
              <w:ind/>
              <w:rPr/>
            </w:pPr>
            <w:r>
              <w:rPr>
                <w:b/>
                <w:i w:val="0"/>
                <w:color w:val="0f2e22"/>
                <w:sz w:val="18"/>
              </w:rPr>
              <w:t xml:space="preserve">10.  Connect Stripe and build the 3-year Founding Member price lock</w:t>
            </w:r>
            <w:r/>
          </w:p>
          <w:p>
            <w:pPr>
              <w:pBdr/>
              <w:spacing w:after="40"/>
              <w:ind/>
              <w:rPr/>
            </w:pPr>
            <w:r>
              <w:rPr>
                <w:b w:val="0"/>
                <w:i/>
                <w:color w:val="5a5f58"/>
                <w:sz w:val="17"/>
              </w:rPr>
              <w:t xml:space="preserve">“currently just a label on the site, no backend mechanism enforces it”</w:t>
            </w:r>
            <w:r/>
          </w:p>
        </w:tc>
        <w:tc>
          <w:tcPr>
            <w:tcBorders/>
            <w:tcW w:w="3528" w:type="dxa"/>
          </w:tcPr>
          <w:p>
            <w:pPr>
              <w:pBdr/>
              <w:spacing w:after="40"/>
              <w:ind/>
              <w:rPr/>
            </w:pPr>
            <w:r>
              <w:rPr>
                <w:b w:val="0"/>
                <w:i w:val="0"/>
                <w:color w:val="5a5f58"/>
                <w:sz w:val="17"/>
              </w:rPr>
              <w:t xml:space="preserve">Task sheet</w:t>
            </w:r>
            <w:r/>
          </w:p>
        </w:tc>
        <w:tc>
          <w:tcPr>
            <w:tcBorders/>
            <w:tcW w:w="3528" w:type="dxa"/>
          </w:tcPr>
          <w:p>
            <w:pPr>
              <w:pBdr/>
              <w:spacing w:after="40"/>
              <w:ind/>
              <w:rPr/>
            </w:pPr>
            <w:r>
              <w:rPr>
                <w:b w:val="0"/>
                <w:i w:val="0"/>
                <w:color w:val="1a1a14"/>
                <w:sz w:val="18"/>
              </w:rPr>
              <w:t xml:space="preserve">Stripe itself was already wired — checkout session, webhook, payment recording. What was missing was the lock, and the sheet is right that it was only a sentence on a marketing page.</w:t>
            </w:r>
            <w:r/>
          </w:p>
          <w:p>
            <w:pPr>
              <w:pBdr/>
              <w:spacing w:after="40"/>
              <w:ind/>
              <w:rPr/>
            </w:pPr>
            <w:r>
              <w:rPr>
                <w:b w:val="0"/>
                <w:i w:val="0"/>
                <w:color w:val="1a1a14"/>
                <w:sz w:val="18"/>
              </w:rPr>
              <w:t xml:space="preserve">New FoundingRate model: one per organisation, granted when a plan is first chosen inside the window, with the locked amount and the date it runs out.</w:t>
            </w:r>
            <w:r/>
          </w:p>
          <w:p>
            <w:pPr>
              <w:pBdr/>
              <w:spacing w:after="40"/>
              <w:ind/>
              <w:rPr/>
            </w:pPr>
            <w:r>
              <w:rPr>
                <w:b w:val="0"/>
                <w:i w:val="0"/>
                <w:color w:val="1a1a14"/>
                <w:sz w:val="18"/>
              </w:rPr>
              <w:t xml:space="preserve">Two rules, and both narrow the lock. It applies only to the plan it was granted for — a $99 Starter lock does not buy a $1,299 plan. And it is a ceiling, never a floor: if a list price ever falls below the locked amount, the list price is charged.</w:t>
            </w:r>
            <w:r/>
          </w:p>
          <w:p>
            <w:pPr>
              <w:pBdr/>
              <w:spacing w:after="40"/>
              <w:ind/>
              <w:rPr/>
            </w:pPr>
            <w:r>
              <w:rPr>
                <w:b w:val="0"/>
                <w:i w:val="0"/>
                <w:color w:val="1a1a14"/>
                <w:sz w:val="18"/>
              </w:rPr>
              <w:t xml:space="preserve">The rate is named on the Stripe line item, so a receipt can explain itself years later, and the subscription records the list price it beat.</w:t>
            </w:r>
            <w:r/>
          </w:p>
          <w:p>
            <w:pPr>
              <w:pBdr/>
              <w:spacing w:after="40"/>
              <w:ind/>
              <w:rPr/>
            </w:pPr>
            <w:r>
              <w:rPr>
                <w:b w:val="0"/>
                <w:i w:val="0"/>
                <w:color w:val="1a1a14"/>
                <w:sz w:val="18"/>
              </w:rPr>
              <w:t xml:space="preserve">The plans screen now shows each organisation its own price, and says either “you are locked until &lt;date&gt;” or “the window shuts on &lt;date&gt;”.</w:t>
            </w:r>
            <w:r/>
          </w:p>
        </w:tc>
        <w:tc>
          <w:tcPr>
            <w:tcBorders/>
            <w:tcW w:w="3528"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billing/models.py  FoundingRate</w:t>
            </w:r>
            <w:r/>
          </w:p>
          <w:p>
            <w:pPr>
              <w:pBdr/>
              <w:spacing w:after="40"/>
              <w:ind/>
              <w:rPr/>
            </w:pPr>
            <w:r>
              <w:rPr>
                <w:rFonts w:ascii="Consolas" w:hAnsi="Consolas"/>
                <w:b w:val="0"/>
                <w:color w:val="0f2e22"/>
                <w:sz w:val="16"/>
              </w:rPr>
              <w:t xml:space="preserve">billing/services.py:49  grant_founding_rate()</w:t>
            </w:r>
            <w:r/>
          </w:p>
          <w:p>
            <w:pPr>
              <w:pBdr/>
              <w:spacing w:after="40"/>
              <w:ind/>
              <w:rPr/>
            </w:pPr>
            <w:r>
              <w:rPr>
                <w:rFonts w:ascii="Consolas" w:hAnsi="Consolas"/>
                <w:b w:val="0"/>
                <w:color w:val="0f2e22"/>
                <w:sz w:val="16"/>
              </w:rPr>
              <w:t xml:space="preserve">billing/services.py:80  price_for()</w:t>
            </w:r>
            <w:r/>
          </w:p>
          <w:p>
            <w:pPr>
              <w:pBdr/>
              <w:spacing w:after="40"/>
              <w:ind/>
              <w:rPr/>
            </w:pPr>
            <w:r>
              <w:rPr>
                <w:rFonts w:ascii="Consolas" w:hAnsi="Consolas"/>
                <w:b w:val="0"/>
                <w:color w:val="0f2e22"/>
                <w:sz w:val="16"/>
              </w:rPr>
              <w:t xml:space="preserve">billing/pricing.py:141-142  the two constants</w:t>
            </w:r>
            <w:r/>
          </w:p>
          <w:p>
            <w:pPr>
              <w:pBdr/>
              <w:spacing w:after="40"/>
              <w:ind/>
              <w:rPr/>
            </w:pPr>
            <w:r>
              <w:rPr>
                <w:b/>
                <w:i w:val="0"/>
                <w:color w:val="2a7337"/>
                <w:sz w:val="17"/>
              </w:rPr>
              <w:t xml:space="preserve">Migration</w:t>
            </w:r>
            <w:r/>
          </w:p>
          <w:p>
            <w:pPr>
              <w:pBdr/>
              <w:spacing w:after="40"/>
              <w:ind/>
              <w:rPr/>
            </w:pPr>
            <w:r>
              <w:rPr>
                <w:rFonts w:ascii="Consolas" w:hAnsi="Consolas"/>
                <w:b w:val="0"/>
                <w:color w:val="0f2e22"/>
                <w:sz w:val="16"/>
              </w:rPr>
              <w:t xml:space="preserve">billing/migrations/0006_…</w:t>
            </w:r>
            <w:r/>
          </w:p>
          <w:p>
            <w:pPr>
              <w:pBdr/>
              <w:spacing w:after="40"/>
              <w:ind/>
              <w:rPr/>
            </w:pPr>
            <w:r>
              <w:rPr>
                <w:b/>
                <w:i w:val="0"/>
                <w:color w:val="2a7337"/>
                <w:sz w:val="17"/>
              </w:rPr>
              <w:t xml:space="preserve">Tests — 8, all new</w:t>
            </w:r>
            <w:r/>
          </w:p>
          <w:p>
            <w:pPr>
              <w:pBdr/>
              <w:spacing w:after="40"/>
              <w:ind/>
              <w:rPr/>
            </w:pPr>
            <w:r>
              <w:rPr>
                <w:rFonts w:ascii="Consolas" w:hAnsi="Consolas"/>
                <w:b w:val="0"/>
                <w:color w:val="0f2e22"/>
                <w:sz w:val="16"/>
              </w:rPr>
              <w:t xml:space="preserve">billing.tests.FoundingRateTests</w:t>
            </w:r>
            <w:r/>
          </w:p>
          <w:p>
            <w:pPr>
              <w:pBdr/>
              <w:spacing w:after="40"/>
              <w:ind/>
              <w:rPr/>
            </w:pPr>
            <w:r>
              <w:rPr>
                <w:b w:val="0"/>
                <w:i w:val="0"/>
                <w:color w:val="1a1a14"/>
                <w:sz w:val="17"/>
              </w:rPr>
              <w:t xml:space="preserve">Includes: the lock holds when list prices rise; it is a ceiling; moving up a plan pays that plan's price; an expired lock stops.</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Billing is genuinely off there — Stripe keys are blank by request — so checkout cannot be exercised. The lock and the plans screen can: /billing/&lt;org&gt;/plans/. The admin at /admin/ now lists Founding rates.</w:t>
            </w:r>
            <w:r/>
          </w:p>
        </w:tc>
      </w:tr>
      <w:tr>
        <w:trPr/>
        <w:tc>
          <w:tcPr>
            <w:tcBorders/>
            <w:tcW w:w="3528" w:type="dxa"/>
          </w:tcPr>
          <w:p>
            <w:pPr>
              <w:pBdr/>
              <w:spacing w:after="40"/>
              <w:ind/>
              <w:rPr/>
            </w:pPr>
            <w:r>
              <w:rPr>
                <w:b/>
                <w:i w:val="0"/>
                <w:color w:val="0f2e22"/>
                <w:sz w:val="18"/>
              </w:rPr>
              <w:t xml:space="preserve">11.  Add an ‘informal’ org type to sign-up</w:t>
            </w:r>
            <w:r/>
          </w:p>
          <w:p>
            <w:pPr>
              <w:pBdr/>
              <w:spacing w:after="40"/>
              <w:ind/>
              <w:rPr/>
            </w:pPr>
            <w:r>
              <w:rPr>
                <w:b w:val="0"/>
                <w:i/>
                <w:color w:val="5a5f58"/>
                <w:sz w:val="17"/>
              </w:rPr>
              <w:t xml:space="preserve">“Covers mates groups, book clubs, and similar low-budget groups”</w:t>
            </w:r>
            <w:r/>
          </w:p>
        </w:tc>
        <w:tc>
          <w:tcPr>
            <w:tcBorders/>
            <w:tcW w:w="3528" w:type="dxa"/>
          </w:tcPr>
          <w:p>
            <w:pPr>
              <w:pBdr/>
              <w:spacing w:after="40"/>
              <w:ind/>
              <w:rPr/>
            </w:pPr>
            <w:r>
              <w:rPr>
                <w:b w:val="0"/>
                <w:i w:val="0"/>
                <w:color w:val="5a5f58"/>
                <w:sz w:val="17"/>
              </w:rPr>
              <w:t xml:space="preserve">Task sheet</w:t>
            </w:r>
            <w:r/>
          </w:p>
        </w:tc>
        <w:tc>
          <w:tcPr>
            <w:tcBorders/>
            <w:tcW w:w="3528" w:type="dxa"/>
          </w:tcPr>
          <w:p>
            <w:pPr>
              <w:pBdr/>
              <w:spacing w:after="40"/>
              <w:ind/>
              <w:rPr/>
            </w:pPr>
            <w:r>
              <w:rPr>
                <w:b w:val="0"/>
                <w:i w:val="0"/>
                <w:color w:val="1a1a14"/>
                <w:sz w:val="18"/>
              </w:rPr>
              <w:t xml:space="preserve">ALREADY DONE — no work was needed, and this is here so it can be ticked off rather than chased.</w:t>
            </w:r>
            <w:r/>
          </w:p>
          <w:p>
            <w:pPr>
              <w:pBdr/>
              <w:spacing w:after="40"/>
              <w:ind/>
              <w:rPr/>
            </w:pPr>
            <w:r>
              <w:rPr>
                <w:b w:val="0"/>
                <w:i w:val="0"/>
                <w:color w:val="1a1a14"/>
                <w:sz w:val="18"/>
              </w:rPr>
              <w:t xml:space="preserve">Informal is one of the </w:t>
            </w:r>
            <w:r>
              <w:rPr>
                <w:b w:val="0"/>
                <w:i w:val="0"/>
                <w:color w:val="1a1a14"/>
                <w:sz w:val="18"/>
              </w:rPr>
              <w:t xml:space="preserve">five seeded organisation types, and “formal or informal” is step one of the sign-up wizard — asked before anything else, because everything after it reads the answer. An informal group is excused the work-domain check and describes itself in its own words.</w:t>
            </w:r>
            <w:r/>
          </w:p>
        </w:tc>
        <w:tc>
          <w:tcPr>
            <w:tcBorders/>
            <w:tcW w:w="3528"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catalog/migrations/0008_…  seeds the type</w:t>
            </w:r>
            <w:r/>
          </w:p>
          <w:p>
            <w:pPr>
              <w:pBdr/>
              <w:spacing w:after="40"/>
              <w:ind/>
              <w:rPr/>
            </w:pPr>
            <w:r>
              <w:rPr>
                <w:rFonts w:ascii="Consolas" w:hAnsi="Consolas"/>
                <w:b w:val="0"/>
                <w:color w:val="0f2e22"/>
                <w:sz w:val="16"/>
              </w:rPr>
              <w:t xml:space="preserve">catalog/migrations/0018_mark_informal_types.py</w:t>
            </w:r>
            <w:r/>
          </w:p>
          <w:p>
            <w:pPr>
              <w:pBdr/>
              <w:spacing w:after="40"/>
              <w:ind/>
              <w:rPr/>
            </w:pPr>
            <w:r>
              <w:rPr>
                <w:rFonts w:ascii="Consolas" w:hAnsi="Consolas"/>
                <w:b w:val="0"/>
                <w:color w:val="0f2e22"/>
                <w:sz w:val="16"/>
              </w:rPr>
              <w:t xml:space="preserve">orgs/views.py  FORMALITY_STEP</w:t>
            </w:r>
            <w:r/>
          </w:p>
          <w:p>
            <w:pPr>
              <w:pBdr/>
              <w:spacing w:after="40"/>
              <w:ind/>
              <w:rPr/>
            </w:pPr>
            <w:r>
              <w:rPr>
                <w:rFonts w:ascii="Consolas" w:hAnsi="Consolas"/>
                <w:b w:val="0"/>
                <w:color w:val="0f2e22"/>
                <w:sz w:val="16"/>
              </w:rPr>
              <w:t xml:space="preserve">orgs/forms.py  FORMALITY_INFORMAL</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Start /leagues/new/ — the first screen asks formal or informal.</w:t>
            </w:r>
            <w:r/>
          </w:p>
        </w:tc>
      </w:tr>
      <w:tr>
        <w:trPr/>
        <w:tc>
          <w:tcPr>
            <w:tcBorders/>
            <w:tcW w:w="3528" w:type="dxa"/>
          </w:tcPr>
          <w:p>
            <w:pPr>
              <w:pBdr/>
              <w:spacing w:after="40"/>
              <w:ind/>
              <w:rPr/>
            </w:pPr>
            <w:r>
              <w:rPr>
                <w:b/>
                <w:i w:val="0"/>
                <w:color w:val="0f2e22"/>
                <w:sz w:val="18"/>
              </w:rPr>
              <w:t xml:space="preserve">12.  Build a sponsorship application path for people who can't pay</w:t>
            </w:r>
            <w:r/>
          </w:p>
          <w:p>
            <w:pPr>
              <w:pBdr/>
              <w:spacing w:after="40"/>
              <w:ind/>
              <w:rPr/>
            </w:pPr>
            <w:r>
              <w:rPr>
                <w:b w:val="0"/>
                <w:i/>
                <w:color w:val="5a5f58"/>
                <w:sz w:val="17"/>
              </w:rPr>
              <w:t xml:space="preserve">“aimed initially at the PNG audience, a way to apply for a sponsored place if they can't afford the platform fee”</w:t>
            </w:r>
            <w:r/>
          </w:p>
        </w:tc>
        <w:tc>
          <w:tcPr>
            <w:tcBorders/>
            <w:tcW w:w="3528" w:type="dxa"/>
          </w:tcPr>
          <w:p>
            <w:pPr>
              <w:pBdr/>
              <w:spacing w:after="40"/>
              <w:ind/>
              <w:rPr/>
            </w:pPr>
            <w:r>
              <w:rPr>
                <w:b w:val="0"/>
                <w:i w:val="0"/>
                <w:color w:val="5a5f58"/>
                <w:sz w:val="17"/>
              </w:rPr>
              <w:t xml:space="preserve">Task sheet</w:t>
            </w:r>
            <w:r/>
          </w:p>
        </w:tc>
        <w:tc>
          <w:tcPr>
            <w:tcBorders/>
            <w:tcW w:w="3528" w:type="dxa"/>
          </w:tcPr>
          <w:p>
            <w:pPr>
              <w:pBdr/>
              <w:spacing w:after="40"/>
              <w:ind/>
              <w:rPr/>
            </w:pPr>
            <w:r>
              <w:rPr>
                <w:b w:val="0"/>
                <w:i w:val="0"/>
                <w:color w:val="1a1a14"/>
                <w:sz w:val="18"/>
              </w:rPr>
              <w:t xml:space="preserve">A public page at /sponsorship/, reachable without an account — the audience is people who read /pricing/ and stopped, and making them create an organisation before they can ask whether they can afford one is the order that loses them.</w:t>
            </w:r>
            <w:r/>
          </w:p>
          <w:p>
            <w:pPr>
              <w:pBdr/>
              <w:spacing w:after="40"/>
              <w:ind/>
              <w:rPr/>
            </w:pPr>
            <w:r>
              <w:rPr>
                <w:b w:val="0"/>
                <w:i w:val="0"/>
                <w:color w:val="1a1a14"/>
                <w:sz w:val="18"/>
              </w:rPr>
              <w:t xml:space="preserve">Five questions, one of which is open: tell us about your group and why the fee is out of reach. No budget figures, no evidence, nothing to attach — asking for those filters for groups with a finance function, which is the opposite of who this is for.</w:t>
            </w:r>
            <w:r/>
          </w:p>
          <w:p>
            <w:pPr>
              <w:pBdr/>
              <w:spacing w:after="40"/>
              <w:ind/>
              <w:rPr/>
            </w:pPr>
            <w:r>
              <w:rPr>
                <w:b w:val="0"/>
                <w:i w:val="0"/>
                <w:color w:val="1a1a14"/>
                <w:sz w:val="18"/>
              </w:rPr>
              <w:t xml:space="preserve">Saved first, emailed second, so a mail outage cannot lose an application. Staff get an alert with reply-to set to the applicant; the applicant gets an acknowledgement.</w:t>
            </w:r>
            <w:r/>
          </w:p>
          <w:p>
            <w:pPr>
              <w:pBdr/>
              <w:spacing w:after="40"/>
              <w:ind/>
              <w:rPr/>
            </w:pPr>
            <w:r>
              <w:rPr>
                <w:b w:val="0"/>
                <w:i w:val="0"/>
                <w:color w:val="1a1a14"/>
                <w:sz w:val="18"/>
              </w:rPr>
              <w:t xml:space="preserve">Applications land in an admin queue with a status and a decision note, and the admin stamps who decided it — approving one means GoodTip carries an organisation's fee out of a real budget.</w:t>
            </w:r>
            <w:r/>
          </w:p>
          <w:p>
            <w:pPr>
              <w:pBdr/>
              <w:spacing w:after="40"/>
              <w:ind/>
              <w:rPr/>
            </w:pPr>
            <w:r>
              <w:rPr>
                <w:b w:val="0"/>
                <w:i w:val="0"/>
                <w:color w:val="1a1a14"/>
                <w:sz w:val="18"/>
              </w:rPr>
              <w:t xml:space="preserve">Linked from directly under the prices on /pricing/ and from the in-app plans screen — the two moments somebody reads a number and stops.</w:t>
            </w:r>
            <w:r/>
          </w:p>
        </w:tc>
        <w:tc>
          <w:tcPr>
            <w:tcBorders/>
            <w:tcW w:w="3528" w:type="dxa"/>
          </w:tcPr>
          <w:p>
            <w:pPr>
              <w:pBdr/>
              <w:spacing w:after="40"/>
              <w:ind/>
              <w:rPr/>
            </w:pPr>
            <w:r>
              <w:rPr>
                <w:b/>
                <w:i w:val="0"/>
                <w:color w:val="2a7337"/>
                <w:sz w:val="17"/>
              </w:rPr>
              <w:t xml:space="preserve">New files</w:t>
            </w:r>
            <w:r/>
          </w:p>
          <w:p>
            <w:pPr>
              <w:pBdr/>
              <w:spacing w:after="40"/>
              <w:ind/>
              <w:rPr/>
            </w:pPr>
            <w:r>
              <w:rPr>
                <w:rFonts w:ascii="Consolas" w:hAnsi="Consolas"/>
                <w:b w:val="0"/>
                <w:color w:val="0f2e22"/>
                <w:sz w:val="16"/>
              </w:rPr>
              <w:t xml:space="preserve">templates/public/sponsorship.html</w:t>
            </w:r>
            <w:r/>
          </w:p>
          <w:p>
            <w:pPr>
              <w:pBdr/>
              <w:spacing w:after="40"/>
              <w:ind/>
              <w:rPr/>
            </w:pPr>
            <w:r>
              <w:rPr>
                <w:rFonts w:ascii="Consolas" w:hAnsi="Consolas"/>
                <w:b w:val="0"/>
                <w:color w:val="0f2e22"/>
                <w:sz w:val="16"/>
              </w:rPr>
              <w:t xml:space="preserve">templates/emails/sponsorship_*.html / .txt</w:t>
            </w:r>
            <w:r/>
          </w:p>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billing/models.py  SponsorshipApplication</w:t>
            </w:r>
            <w:r/>
          </w:p>
          <w:p>
            <w:pPr>
              <w:pBdr/>
              <w:spacing w:after="40"/>
              <w:ind/>
              <w:rPr/>
            </w:pPr>
            <w:r>
              <w:rPr>
                <w:rFonts w:ascii="Consolas" w:hAnsi="Consolas"/>
                <w:b w:val="0"/>
                <w:color w:val="0f2e22"/>
                <w:sz w:val="16"/>
              </w:rPr>
              <w:t xml:space="preserve">billing/views.py  sponsorship_view()</w:t>
            </w:r>
            <w:r/>
          </w:p>
          <w:p>
            <w:pPr>
              <w:pBdr/>
              <w:spacing w:after="40"/>
              <w:ind/>
              <w:rPr/>
            </w:pPr>
            <w:r>
              <w:rPr>
                <w:rFonts w:ascii="Consolas" w:hAnsi="Consolas"/>
                <w:b w:val="0"/>
                <w:color w:val="0f2e22"/>
                <w:sz w:val="16"/>
              </w:rPr>
              <w:t xml:space="preserve">goodtip/urls.py:80</w:t>
            </w:r>
            <w:r/>
          </w:p>
          <w:p>
            <w:pPr>
              <w:pBdr/>
              <w:spacing w:after="40"/>
              <w:ind/>
              <w:rPr/>
            </w:pPr>
            <w:r>
              <w:rPr>
                <w:b/>
                <w:i w:val="0"/>
                <w:color w:val="2a7337"/>
                <w:sz w:val="17"/>
              </w:rPr>
              <w:t xml:space="preserve">Migration</w:t>
            </w:r>
            <w:r/>
          </w:p>
          <w:p>
            <w:pPr>
              <w:pBdr/>
              <w:spacing w:after="40"/>
              <w:ind/>
              <w:rPr/>
            </w:pPr>
            <w:r>
              <w:rPr>
                <w:rFonts w:ascii="Consolas" w:hAnsi="Consolas"/>
                <w:b w:val="0"/>
                <w:color w:val="0f2e22"/>
                <w:sz w:val="16"/>
              </w:rPr>
              <w:t xml:space="preserve">billing/migrations/0007_sponsorshipapplication.py</w:t>
            </w:r>
            <w:r/>
          </w:p>
          <w:p>
            <w:pPr>
              <w:pBdr/>
              <w:spacing w:after="40"/>
              <w:ind/>
              <w:rPr/>
            </w:pPr>
            <w:r>
              <w:rPr>
                <w:b/>
                <w:i w:val="0"/>
                <w:color w:val="2a7337"/>
                <w:sz w:val="17"/>
              </w:rPr>
              <w:t xml:space="preserve">Tests — 6, all new</w:t>
            </w:r>
            <w:r/>
          </w:p>
          <w:p>
            <w:pPr>
              <w:pBdr/>
              <w:spacing w:after="40"/>
              <w:ind/>
              <w:rPr/>
            </w:pPr>
            <w:r>
              <w:rPr>
                <w:rFonts w:ascii="Consolas" w:hAnsi="Consolas"/>
                <w:b w:val="0"/>
                <w:color w:val="0f2e22"/>
                <w:sz w:val="16"/>
              </w:rPr>
              <w:t xml:space="preserve">orgs.tests.SponsorshipApplicationTests</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/sponsorship/ — and the link under the price table on /pricing/. Submitted applications appear in /admin/ under Billing.</w:t>
            </w:r>
            <w:r/>
          </w:p>
        </w:tc>
      </w:tr>
      <w:tr>
        <w:trPr/>
        <w:tc>
          <w:tcPr>
            <w:tcBorders/>
            <w:tcW w:w="3528" w:type="dxa"/>
          </w:tcPr>
          <w:p>
            <w:pPr>
              <w:pBdr/>
              <w:spacing w:after="40"/>
              <w:ind/>
              <w:rPr/>
            </w:pPr>
            <w:r>
              <w:rPr>
                <w:b/>
                <w:i w:val="0"/>
                <w:color w:val="0f2e22"/>
                <w:sz w:val="18"/>
              </w:rPr>
              <w:t xml:space="preserve">13.  Hide the Supporters carousel entirely</w:t>
            </w:r>
            <w:r/>
          </w:p>
          <w:p>
            <w:pPr>
              <w:pBdr/>
              <w:spacing w:after="40"/>
              <w:ind/>
              <w:rPr/>
            </w:pPr>
            <w:r>
              <w:rPr>
                <w:b w:val="0"/>
                <w:i/>
                <w:color w:val="5a5f58"/>
                <w:sz w:val="17"/>
              </w:rPr>
              <w:t xml:space="preserve">“Hide the whole section, not just the one quote”</w:t>
            </w:r>
            <w:r/>
          </w:p>
        </w:tc>
        <w:tc>
          <w:tcPr>
            <w:tcBorders/>
            <w:tcW w:w="3528" w:type="dxa"/>
          </w:tcPr>
          <w:p>
            <w:pPr>
              <w:pBdr/>
              <w:spacing w:after="40"/>
              <w:ind/>
              <w:rPr/>
            </w:pPr>
            <w:r>
              <w:rPr>
                <w:b w:val="0"/>
                <w:i w:val="0"/>
                <w:color w:val="5a5f58"/>
                <w:sz w:val="17"/>
              </w:rPr>
              <w:t xml:space="preserve">Task sheet</w:t>
            </w:r>
            <w:r/>
          </w:p>
        </w:tc>
        <w:tc>
          <w:tcPr>
            <w:tcBorders/>
            <w:tcW w:w="3528" w:type="dxa"/>
          </w:tcPr>
          <w:p>
            <w:pPr>
              <w:pBdr/>
              <w:spacing w:after="40"/>
              <w:ind/>
              <w:rPr/>
            </w:pPr>
            <w:r>
              <w:rPr>
                <w:b w:val="0"/>
                <w:i w:val="0"/>
                <w:color w:val="1a1a14"/>
                <w:sz w:val="18"/>
              </w:rPr>
              <w:t xml:space="preserve">Same item as #7 above. Done, with the fabricated quote removed rather than commented out.</w:t>
            </w:r>
            <w:r/>
          </w:p>
        </w:tc>
        <w:tc>
          <w:tcPr>
            <w:tcBorders/>
            <w:tcW w:w="3528" w:type="dxa"/>
          </w:tcPr>
          <w:p>
            <w:pPr>
              <w:pBdr/>
              <w:spacing w:after="40"/>
              <w:ind/>
              <w:rPr/>
            </w:pPr>
            <w:r>
              <w:rPr>
                <w:b/>
                <w:i w:val="0"/>
                <w:color w:val="2a7337"/>
                <w:sz w:val="17"/>
              </w:rPr>
              <w:t xml:space="preserve">See row 7</w:t>
            </w:r>
            <w:r/>
          </w:p>
          <w:p>
            <w:pPr>
              <w:pBdr/>
              <w:spacing w:after="40"/>
              <w:ind/>
              <w:rPr/>
            </w:pPr>
            <w:r>
              <w:rPr>
                <w:rFonts w:ascii="Consolas" w:hAnsi="Consolas"/>
                <w:b w:val="0"/>
                <w:color w:val="0f2e22"/>
                <w:sz w:val="16"/>
              </w:rPr>
              <w:t xml:space="preserve">templates/public/home.html:229</w:t>
            </w:r>
            <w:r/>
          </w:p>
        </w:tc>
      </w:tr>
      <w:tr>
        <w:trPr/>
        <w:tc>
          <w:tcPr>
            <w:tcBorders/>
            <w:tcW w:w="3528" w:type="dxa"/>
          </w:tcPr>
          <w:p>
            <w:pPr>
              <w:pBdr/>
              <w:spacing w:after="40"/>
              <w:ind/>
              <w:rPr/>
            </w:pPr>
            <w:r>
              <w:rPr>
                <w:b/>
                <w:i w:val="0"/>
                <w:color w:val="0f2e22"/>
                <w:sz w:val="18"/>
              </w:rPr>
              <w:t xml:space="preserve">14.  Disclaimers on every non-real dollar figure</w:t>
            </w:r>
            <w:r/>
          </w:p>
          <w:p>
            <w:pPr>
              <w:pBdr/>
              <w:spacing w:after="40"/>
              <w:ind/>
              <w:rPr/>
            </w:pPr>
            <w:r>
              <w:rPr>
                <w:b w:val="0"/>
                <w:i/>
                <w:color w:val="5a5f58"/>
                <w:sz w:val="17"/>
              </w:rPr>
              <w:t xml:space="preserve">“Label clearly as illustrative, not actual funds raised”</w:t>
            </w:r>
            <w:r/>
          </w:p>
        </w:tc>
        <w:tc>
          <w:tcPr>
            <w:tcBorders/>
            <w:tcW w:w="3528" w:type="dxa"/>
          </w:tcPr>
          <w:p>
            <w:pPr>
              <w:pBdr/>
              <w:spacing w:after="40"/>
              <w:ind/>
              <w:rPr/>
            </w:pPr>
            <w:r>
              <w:rPr>
                <w:b w:val="0"/>
                <w:i w:val="0"/>
                <w:color w:val="5a5f58"/>
                <w:sz w:val="17"/>
              </w:rPr>
              <w:t xml:space="preserve">Task sheet</w:t>
            </w:r>
            <w:r/>
          </w:p>
        </w:tc>
        <w:tc>
          <w:tcPr>
            <w:tcBorders/>
            <w:tcW w:w="3528" w:type="dxa"/>
          </w:tcPr>
          <w:p>
            <w:pPr>
              <w:pBdr/>
              <w:spacing w:after="40"/>
              <w:ind/>
              <w:rPr/>
            </w:pPr>
            <w:r>
              <w:rPr>
                <w:b w:val="0"/>
                <w:i w:val="0"/>
                <w:color w:val="1a1a14"/>
                <w:sz w:val="18"/>
              </w:rPr>
              <w:t xml:space="preserve">An EXAMPLE chip sits beside the figure itself, not in a footnote — a reader who scans a big green $8,420 and moves on has to meet the word in the same glance, or the disclaimer has not disclaimed anything.</w:t>
            </w:r>
            <w:r/>
          </w:p>
          <w:p>
            <w:pPr>
              <w:pBdr/>
              <w:spacing w:after="40"/>
              <w:ind/>
              <w:rPr/>
            </w:pPr>
            <w:r>
              <w:rPr>
                <w:b w:val="0"/>
                <w:i w:val="0"/>
                <w:color w:val="1a1a14"/>
                <w:sz w:val="18"/>
              </w:rPr>
              <w:t xml:space="preserve">Applied to: the home page donation counter ($8,420 and the $12,500 goal); the sidebar stat, which appears on BOTH the sign-up and log-in screens; and the $340 in the preview quote on the two news index pages.</w:t>
            </w:r>
            <w:r/>
          </w:p>
          <w:p>
            <w:pPr>
              <w:pBdr/>
              <w:spacing w:after="40"/>
              <w:ind/>
              <w:rPr/>
            </w:pPr>
            <w:r>
              <w:rPr>
                <w:b w:val="0"/>
                <w:i w:val="0"/>
                <w:color w:val="1a1a14"/>
                <w:sz w:val="18"/>
              </w:rPr>
              <w:t xml:space="preserve">Also found while sweepi</w:t>
            </w:r>
            <w:r>
              <w:rPr>
                <w:b w:val="0"/>
                <w:i w:val="0"/>
                <w:color w:val="1a1a14"/>
                <w:sz w:val="18"/>
              </w:rPr>
              <w:t xml:space="preserve">ng: two posts in the animated Wall demo described a funding model the product does not have — “chucking in +$25” and “the match cap just got raised”. Participants are never asked for money and there is no match. Rewritten: same voices, same joke, no money.</w:t>
            </w:r>
            <w:r/>
          </w:p>
          <w:p>
            <w:pPr>
              <w:pBdr/>
              <w:spacing w:after="40"/>
              <w:ind/>
              <w:rPr/>
            </w:pPr>
            <w:r>
              <w:rPr>
                <w:b w:val="0"/>
                <w:i w:val="0"/>
                <w:color w:val="1a1a14"/>
                <w:sz w:val="18"/>
              </w:rPr>
              <w:t xml:space="preserve">Real figures were left alone — the plan prices are real, and The Good List reads live data.</w:t>
            </w:r>
            <w:r/>
          </w:p>
        </w:tc>
        <w:tc>
          <w:tcPr>
            <w:tcBorders/>
            <w:tcW w:w="3528" w:type="dxa"/>
          </w:tcPr>
          <w:p>
            <w:pPr>
              <w:pBdr/>
              <w:spacing w:after="40"/>
              <w:ind/>
              <w:rPr/>
            </w:pPr>
            <w:r>
              <w:rPr>
                <w:b/>
                <w:i w:val="0"/>
                <w:color w:val="2a7337"/>
                <w:sz w:val="17"/>
              </w:rPr>
              <w:t xml:space="preserve">Code</w:t>
            </w:r>
            <w:r/>
          </w:p>
          <w:p>
            <w:pPr>
              <w:pBdr/>
              <w:spacing w:after="40"/>
              <w:ind/>
              <w:rPr/>
            </w:pPr>
            <w:r>
              <w:rPr>
                <w:rFonts w:ascii="Consolas" w:hAnsi="Consolas"/>
                <w:b w:val="0"/>
                <w:color w:val="0f2e22"/>
                <w:sz w:val="16"/>
              </w:rPr>
              <w:t xml:space="preserve">templates/public/home.html:116</w:t>
            </w:r>
            <w:r/>
          </w:p>
          <w:p>
            <w:pPr>
              <w:pBdr/>
              <w:spacing w:after="40"/>
              <w:ind/>
              <w:rPr/>
            </w:pPr>
            <w:r>
              <w:rPr>
                <w:rFonts w:ascii="Consolas" w:hAnsi="Consolas"/>
                <w:b w:val="0"/>
                <w:color w:val="0f2e22"/>
                <w:sz w:val="16"/>
              </w:rPr>
              <w:t xml:space="preserve">templates/auth_base.html:126</w:t>
            </w:r>
            <w:r/>
          </w:p>
          <w:p>
            <w:pPr>
              <w:pBdr/>
              <w:spacing w:after="40"/>
              <w:ind/>
              <w:rPr/>
            </w:pPr>
            <w:r>
              <w:rPr>
                <w:rFonts w:ascii="Consolas" w:hAnsi="Consolas"/>
                <w:b w:val="0"/>
                <w:color w:val="0f2e22"/>
                <w:sz w:val="16"/>
              </w:rPr>
              <w:t xml:space="preserve">templates/public/news_index.html</w:t>
            </w:r>
            <w:r/>
          </w:p>
          <w:p>
            <w:pPr>
              <w:pBdr/>
              <w:spacing w:after="40"/>
              <w:ind/>
              <w:rPr/>
            </w:pPr>
            <w:r>
              <w:rPr>
                <w:rFonts w:ascii="Consolas" w:hAnsi="Consolas"/>
                <w:b w:val="0"/>
                <w:color w:val="0f2e22"/>
                <w:sz w:val="16"/>
              </w:rPr>
              <w:t xml:space="preserve">templates/news_index.html</w:t>
            </w:r>
            <w:r/>
          </w:p>
          <w:p>
            <w:pPr>
              <w:pBdr/>
              <w:spacing w:after="40"/>
              <w:ind/>
              <w:rPr/>
            </w:pPr>
            <w:r>
              <w:rPr>
                <w:rFonts w:ascii="Consolas" w:hAnsi="Consolas"/>
                <w:b w:val="0"/>
                <w:color w:val="0f2e22"/>
                <w:sz w:val="16"/>
              </w:rPr>
              <w:t xml:space="preserve">templates/public/base.html  (Wall demo)</w:t>
            </w:r>
            <w:r/>
          </w:p>
          <w:p>
            <w:pPr>
              <w:pBdr/>
              <w:spacing w:after="40"/>
              <w:ind/>
              <w:rPr/>
            </w:pPr>
            <w:r>
              <w:rPr>
                <w:b/>
                <w:i w:val="0"/>
                <w:color w:val="2a7337"/>
                <w:sz w:val="17"/>
              </w:rPr>
              <w:t xml:space="preserve">Styles</w:t>
            </w:r>
            <w:r/>
          </w:p>
          <w:p>
            <w:pPr>
              <w:pBdr/>
              <w:spacing w:after="40"/>
              <w:ind/>
              <w:rPr/>
            </w:pPr>
            <w:r>
              <w:rPr>
                <w:rFonts w:ascii="Consolas" w:hAnsi="Consolas"/>
                <w:b w:val="0"/>
                <w:color w:val="0f2e22"/>
                <w:sz w:val="16"/>
              </w:rPr>
              <w:t xml:space="preserve">static/css/goodtip.css  .illus-tag / .illus-note</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Home page, the green ladder band. Then /signup/ and /login/ — the figure in the right-hand panel.</w:t>
            </w:r>
            <w:r/>
          </w:p>
        </w:tc>
      </w:tr>
      <w:tr>
        <w:trPr/>
        <w:tc>
          <w:tcPr>
            <w:tcBorders/>
            <w:tcW w:w="3528" w:type="dxa"/>
          </w:tcPr>
          <w:p>
            <w:pPr>
              <w:pBdr/>
              <w:spacing w:after="40"/>
              <w:ind/>
              <w:rPr/>
            </w:pPr>
            <w:r>
              <w:rPr>
                <w:b/>
                <w:i w:val="0"/>
                <w:color w:val="0f2e22"/>
                <w:sz w:val="18"/>
              </w:rPr>
              <w:t xml:space="preserve">15.  Trim the main nav to exactly 7 items</w:t>
            </w:r>
            <w:r/>
          </w:p>
          <w:p>
            <w:pPr>
              <w:pBdr/>
              <w:spacing w:after="40"/>
              <w:ind/>
              <w:rPr/>
            </w:pPr>
            <w:r>
              <w:rPr>
                <w:b w:val="0"/>
                <w:i/>
                <w:color w:val="5a5f58"/>
                <w:sz w:val="17"/>
              </w:rPr>
              <w:t xml:space="preserve">“Hop to decide which item or items come out”</w:t>
            </w:r>
            <w:r/>
          </w:p>
        </w:tc>
        <w:tc>
          <w:tcPr>
            <w:tcBorders/>
            <w:tcW w:w="3528" w:type="dxa"/>
          </w:tcPr>
          <w:p>
            <w:pPr>
              <w:pBdr/>
              <w:spacing w:after="40"/>
              <w:ind/>
              <w:rPr/>
            </w:pPr>
            <w:r>
              <w:rPr>
                <w:b w:val="0"/>
                <w:i w:val="0"/>
                <w:color w:val="5a5f58"/>
                <w:sz w:val="17"/>
              </w:rPr>
              <w:t xml:space="preserve">Task sheet</w:t>
            </w:r>
            <w:r/>
          </w:p>
        </w:tc>
        <w:tc>
          <w:tcPr>
            <w:tcBorders/>
            <w:tcW w:w="3528" w:type="dxa"/>
          </w:tcPr>
          <w:p>
            <w:pPr>
              <w:pBdr/>
              <w:spacing w:after="40"/>
              <w:ind/>
              <w:rPr/>
            </w:pPr>
            <w:r>
              <w:rPr>
                <w:b w:val="0"/>
                <w:i w:val="0"/>
                <w:color w:val="1a1a14"/>
                <w:sz w:val="18"/>
              </w:rPr>
              <w:t xml:space="preserve">Same item as #8. Ian decided in his 05:08 email: The Good List.</w:t>
            </w:r>
            <w:r/>
          </w:p>
        </w:tc>
        <w:tc>
          <w:tcPr>
            <w:tcBorders/>
            <w:tcW w:w="3528" w:type="dxa"/>
          </w:tcPr>
          <w:p>
            <w:pPr>
              <w:pBdr/>
              <w:spacing w:after="40"/>
              <w:ind/>
              <w:rPr/>
            </w:pPr>
            <w:r>
              <w:rPr>
                <w:b/>
                <w:i w:val="0"/>
                <w:color w:val="2a7337"/>
                <w:sz w:val="17"/>
              </w:rPr>
              <w:t xml:space="preserve">See row 8</w:t>
            </w:r>
            <w:r/>
          </w:p>
          <w:p>
            <w:pPr>
              <w:pBdr/>
              <w:spacing w:after="40"/>
              <w:ind/>
              <w:rPr/>
            </w:pPr>
            <w:r>
              <w:rPr>
                <w:rFonts w:ascii="Consolas" w:hAnsi="Consolas"/>
                <w:b w:val="0"/>
                <w:color w:val="0f2e22"/>
                <w:sz w:val="16"/>
              </w:rPr>
              <w:t xml:space="preserve">templates/public/partials/_nav.html:52</w:t>
            </w:r>
            <w:r/>
          </w:p>
        </w:tc>
      </w:tr>
      <w:tr>
        <w:trPr/>
        <w:tc>
          <w:tcPr>
            <w:tcBorders/>
            <w:tcW w:w="3528" w:type="dxa"/>
          </w:tcPr>
          <w:p>
            <w:pPr>
              <w:pBdr/>
              <w:spacing w:after="40"/>
              <w:ind/>
              <w:rPr/>
            </w:pPr>
            <w:r>
              <w:rPr>
                <w:b/>
                <w:i w:val="0"/>
                <w:color w:val="0f2e22"/>
                <w:sz w:val="18"/>
              </w:rPr>
              <w:t xml:space="preserve">16.  Terms and Privacy sign-off, a sign-up checkbox, and the Privacy contradiction</w:t>
            </w:r>
            <w:r/>
          </w:p>
          <w:p>
            <w:pPr>
              <w:pBdr/>
              <w:spacing w:after="40"/>
              <w:ind/>
              <w:rPr/>
            </w:pPr>
            <w:r>
              <w:rPr>
                <w:b w:val="0"/>
                <w:i/>
                <w:color w:val="5a5f58"/>
                <w:sz w:val="17"/>
              </w:rPr>
              <w:t xml:space="preserve">“Add a checkbox agreement into the organisation sign-up workflow with a plain-English top-3 summary … fix the Privacy Policy's ‘payment provider to process donations’ line”</w:t>
            </w:r>
            <w:r/>
          </w:p>
        </w:tc>
        <w:tc>
          <w:tcPr>
            <w:tcBorders/>
            <w:tcW w:w="3528" w:type="dxa"/>
          </w:tcPr>
          <w:p>
            <w:pPr>
              <w:pBdr/>
              <w:spacing w:after="40"/>
              <w:ind/>
              <w:rPr/>
            </w:pPr>
            <w:r>
              <w:rPr>
                <w:b w:val="0"/>
                <w:i w:val="0"/>
                <w:color w:val="5a5f58"/>
                <w:sz w:val="17"/>
              </w:rPr>
              <w:t xml:space="preserve">Task sheet</w:t>
            </w:r>
            <w:r/>
          </w:p>
        </w:tc>
        <w:tc>
          <w:tcPr>
            <w:tcBorders/>
            <w:tcW w:w="3528" w:type="dxa"/>
          </w:tcPr>
          <w:p>
            <w:pPr>
              <w:pBdr/>
              <w:spacing w:after="40"/>
              <w:ind/>
              <w:rPr/>
            </w:pPr>
            <w:r>
              <w:rPr>
                <w:b w:val="0"/>
                <w:i w:val="0"/>
                <w:color w:val="1a1a14"/>
                <w:sz w:val="18"/>
              </w:rPr>
              <w:t xml:space="preserve">THE PRIVACY LINE is fixed. “A payment provider to process donations” described a product where money moves fro</w:t>
            </w:r>
            <w:r>
              <w:rPr>
                <w:b w:val="0"/>
                <w:i w:val="0"/>
                <w:color w:val="1a1a14"/>
                <w:sz w:val="18"/>
              </w:rPr>
              <w:t xml:space="preserve">m members to charities through us. Nobody playing is ever asked for money. It now says the provider takes the organisation's platform fee, and adds that no participant's payment details are ever held. The donation-receipts retention line was corrected too.</w:t>
            </w:r>
            <w:r/>
          </w:p>
          <w:p>
            <w:pPr>
              <w:pBdr/>
              <w:spacing w:after="40"/>
              <w:ind/>
              <w:rPr/>
            </w:pPr>
            <w:r>
              <w:rPr>
                <w:b w:val="0"/>
                <w:i w:val="0"/>
                <w:color w:val="1a1a14"/>
                <w:sz w:val="18"/>
              </w:rPr>
              <w:t xml:space="preserve">THE CHECKBOX is on the last step of the org wizard — the screen with the Create button on it. Required, and never pre-ticked: a box that arrives ticked is a notice, not an agreement.</w:t>
            </w:r>
            <w:r/>
          </w:p>
          <w:p>
            <w:pPr>
              <w:pBdr/>
              <w:spacing w:after="40"/>
              <w:ind/>
              <w:rPr/>
            </w:pPr>
            <w:r>
              <w:rPr>
                <w:b w:val="0"/>
                <w:i w:val="0"/>
                <w:color w:val="1a1a14"/>
                <w:sz w:val="18"/>
              </w:rPr>
              <w:t xml:space="preserve">THE TOP THREE are printed beside it, set to </w:t>
            </w:r>
            <w:r>
              <w:rPr>
                <w:b w:val="0"/>
                <w:i w:val="0"/>
                <w:color w:val="1a1a14"/>
                <w:sz w:val="18"/>
              </w:rPr>
              <w:t xml:space="preserve">be read: what the money does, that you will be handling other people's details, and that this is a tipping comp and not a wagering one. They live in one module, so the checkbox and the Terms page cannot come to print different versions of the same promise.</w:t>
            </w:r>
            <w:r/>
          </w:p>
          <w:p>
            <w:pPr>
              <w:pBdr/>
              <w:spacing w:after="40"/>
              <w:ind/>
              <w:rPr/>
            </w:pPr>
            <w:r>
              <w:rPr>
                <w:b w:val="0"/>
                <w:i w:val="0"/>
                <w:color w:val="1a1a14"/>
                <w:sz w:val="18"/>
              </w:rPr>
              <w:t xml:space="preserve">Who agreed, when, and to which dated version is recorded on the organisation.</w:t>
            </w:r>
            <w:r/>
          </w:p>
          <w:p>
            <w:pPr>
              <w:pBdr/>
              <w:spacing w:after="40"/>
              <w:ind/>
              <w:rPr/>
            </w:pPr>
            <w:r>
              <w:rPr>
                <w:b w:val="0"/>
                <w:i w:val="0"/>
                <w:color w:val="1a1a14"/>
                <w:sz w:val="18"/>
              </w:rPr>
              <w:t xml:space="preserve">A /</w:t>
            </w:r>
            <w:r>
              <w:rPr>
                <w:b w:val="0"/>
                <w:i w:val="0"/>
                <w:color w:val="1a1a14"/>
                <w:sz w:val="18"/>
              </w:rPr>
              <w:t xml:space="preserve">terms/ page was written, describing what the system actually does — one fee, no stake, no prize pool, who can see what. It is the honest starting point for a lawyer to edit, and it carries a visible “Draft, pending legal sign-off” banner until it has been.</w:t>
            </w:r>
            <w:r/>
          </w:p>
        </w:tc>
        <w:tc>
          <w:tcPr>
            <w:tcBorders/>
            <w:tcW w:w="3528" w:type="dxa"/>
          </w:tcPr>
          <w:p>
            <w:pPr>
              <w:pBdr/>
              <w:spacing w:after="40"/>
              <w:ind/>
              <w:rPr/>
            </w:pPr>
            <w:r>
              <w:rPr>
                <w:b/>
                <w:i w:val="0"/>
                <w:color w:val="2a7337"/>
                <w:sz w:val="17"/>
              </w:rPr>
              <w:t xml:space="preserve">Privacy fix</w:t>
            </w:r>
            <w:r/>
          </w:p>
          <w:p>
            <w:pPr>
              <w:pBdr/>
              <w:spacing w:after="40"/>
              <w:ind/>
              <w:rPr/>
            </w:pPr>
            <w:r>
              <w:rPr>
                <w:rFonts w:ascii="Consolas" w:hAnsi="Consolas"/>
                <w:b w:val="0"/>
                <w:color w:val="0f2e22"/>
                <w:sz w:val="16"/>
              </w:rPr>
              <w:t xml:space="preserve">templates/public/privacy.html:131</w:t>
            </w:r>
            <w:r/>
          </w:p>
          <w:p>
            <w:pPr>
              <w:pBdr/>
              <w:spacing w:after="40"/>
              <w:ind/>
              <w:rPr/>
            </w:pPr>
            <w:r>
              <w:rPr>
                <w:b/>
                <w:i w:val="0"/>
                <w:color w:val="2a7337"/>
                <w:sz w:val="17"/>
              </w:rPr>
              <w:t xml:space="preserve">New files</w:t>
            </w:r>
            <w:r/>
          </w:p>
          <w:p>
            <w:pPr>
              <w:pBdr/>
              <w:spacing w:after="40"/>
              <w:ind/>
              <w:rPr/>
            </w:pPr>
            <w:r>
              <w:rPr>
                <w:rFonts w:ascii="Consolas" w:hAnsi="Consolas"/>
                <w:b w:val="0"/>
                <w:color w:val="0f2e22"/>
                <w:sz w:val="16"/>
              </w:rPr>
              <w:t xml:space="preserve">goodtip/legal.py  (the three, and the version)</w:t>
            </w:r>
            <w:r/>
          </w:p>
          <w:p>
            <w:pPr>
              <w:pBdr/>
              <w:spacing w:after="40"/>
              <w:ind/>
              <w:rPr/>
            </w:pPr>
            <w:r>
              <w:rPr>
                <w:rFonts w:ascii="Consolas" w:hAnsi="Consolas"/>
                <w:b w:val="0"/>
                <w:color w:val="0f2e22"/>
                <w:sz w:val="16"/>
              </w:rPr>
              <w:t xml:space="preserve">templates/public/terms.html</w:t>
            </w:r>
            <w:r/>
          </w:p>
          <w:p>
            <w:pPr>
              <w:pBdr/>
              <w:spacing w:after="40"/>
              <w:ind/>
              <w:rPr/>
            </w:pPr>
            <w:r>
              <w:rPr>
                <w:b/>
                <w:i w:val="0"/>
                <w:color w:val="2a7337"/>
                <w:sz w:val="17"/>
              </w:rPr>
              <w:t xml:space="preserve">The checkbox</w:t>
            </w:r>
            <w:r/>
          </w:p>
          <w:p>
            <w:pPr>
              <w:pBdr/>
              <w:spacing w:after="40"/>
              <w:ind/>
              <w:rPr/>
            </w:pPr>
            <w:r>
              <w:rPr>
                <w:rFonts w:ascii="Consolas" w:hAnsi="Consolas"/>
                <w:b w:val="0"/>
                <w:color w:val="0f2e22"/>
                <w:sz w:val="16"/>
              </w:rPr>
              <w:t xml:space="preserve">orgs/forms.py  terms_accepted</w:t>
            </w:r>
            <w:r/>
          </w:p>
          <w:p>
            <w:pPr>
              <w:pBdr/>
              <w:spacing w:after="40"/>
              <w:ind/>
              <w:rPr/>
            </w:pPr>
            <w:r>
              <w:rPr>
                <w:rFonts w:ascii="Consolas" w:hAnsi="Consolas"/>
                <w:b w:val="0"/>
                <w:color w:val="0f2e22"/>
                <w:sz w:val="16"/>
              </w:rPr>
              <w:t xml:space="preserve">templates/orgs/create.html  review step</w:t>
            </w:r>
            <w:r/>
          </w:p>
          <w:p>
            <w:pPr>
              <w:pBdr/>
              <w:spacing w:after="40"/>
              <w:ind/>
              <w:rPr/>
            </w:pPr>
            <w:r>
              <w:rPr>
                <w:rFonts w:ascii="Consolas" w:hAnsi="Consolas"/>
                <w:b w:val="0"/>
                <w:color w:val="0f2e22"/>
                <w:sz w:val="16"/>
              </w:rPr>
              <w:t xml:space="preserve">orgs/models.py  terms_accepted_at / _by / _version</w:t>
            </w:r>
            <w:r/>
          </w:p>
          <w:p>
            <w:pPr>
              <w:pBdr/>
              <w:spacing w:after="40"/>
              <w:ind/>
              <w:rPr/>
            </w:pPr>
            <w:r>
              <w:rPr>
                <w:b/>
                <w:i w:val="0"/>
                <w:color w:val="2a7337"/>
                <w:sz w:val="17"/>
              </w:rPr>
              <w:t xml:space="preserve">Migration</w:t>
            </w:r>
            <w:r/>
          </w:p>
          <w:p>
            <w:pPr>
              <w:pBdr/>
              <w:spacing w:after="40"/>
              <w:ind/>
              <w:rPr/>
            </w:pPr>
            <w:r>
              <w:rPr>
                <w:rFonts w:ascii="Consolas" w:hAnsi="Consolas"/>
                <w:b w:val="0"/>
                <w:color w:val="0f2e22"/>
                <w:sz w:val="16"/>
              </w:rPr>
              <w:t xml:space="preserve">orgs/migrations/0051_…</w:t>
            </w:r>
            <w:r/>
          </w:p>
          <w:p>
            <w:pPr>
              <w:pBdr/>
              <w:spacing w:after="40"/>
              <w:ind/>
              <w:rPr/>
            </w:pPr>
            <w:r>
              <w:rPr>
                <w:b/>
                <w:i w:val="0"/>
                <w:color w:val="2a7337"/>
                <w:sz w:val="17"/>
              </w:rPr>
              <w:t xml:space="preserve">Tests — 6, all new</w:t>
            </w:r>
            <w:r/>
          </w:p>
          <w:p>
            <w:pPr>
              <w:pBdr/>
              <w:spacing w:after="40"/>
              <w:ind/>
              <w:rPr/>
            </w:pPr>
            <w:r>
              <w:rPr>
                <w:rFonts w:ascii="Consolas" w:hAnsi="Consolas"/>
                <w:b w:val="0"/>
                <w:color w:val="0f2e22"/>
                <w:sz w:val="16"/>
              </w:rPr>
              <w:t xml:space="preserve">orgs.tests.TermsAgreementTests</w:t>
            </w:r>
            <w:r/>
          </w:p>
          <w:p>
            <w:pPr>
              <w:pBdr/>
              <w:spacing w:after="40"/>
              <w:ind/>
              <w:rPr/>
            </w:pPr>
            <w:r>
              <w:rPr>
                <w:b w:val="0"/>
                <w:i w:val="0"/>
                <w:color w:val="1a1a14"/>
                <w:sz w:val="17"/>
              </w:rPr>
              <w:t xml:space="preserve">Includes: the box is not pre-ticked; nothing is created without it; what was agreed is recorded.</w:t>
            </w:r>
            <w:r/>
          </w:p>
          <w:p>
            <w:pPr>
              <w:pBdr/>
              <w:spacing w:after="40"/>
              <w:ind/>
              <w:rPr/>
            </w:pPr>
            <w:r>
              <w:rPr>
                <w:b/>
                <w:i w:val="0"/>
                <w:color w:val="2a7337"/>
                <w:sz w:val="17"/>
              </w:rPr>
              <w:t xml:space="preserve">On staging</w:t>
            </w:r>
            <w:r/>
          </w:p>
          <w:p>
            <w:pPr>
              <w:pBdr/>
              <w:spacing w:after="40"/>
              <w:ind/>
              <w:rPr/>
            </w:pPr>
            <w:r>
              <w:rPr>
                <w:b w:val="0"/>
                <w:i w:val="0"/>
                <w:color w:val="1a1a14"/>
                <w:sz w:val="17"/>
              </w:rPr>
              <w:t xml:space="preserve">/leagues/new/ to the last step. Then /terms/ and /privacy/ section 04.</w:t>
            </w:r>
            <w:r/>
          </w:p>
        </w:tc>
      </w:tr>
    </w:tbl>
    <w:p>
      <w:pPr>
        <w:pBdr/>
        <w:spacing/>
        <w:ind/>
        <w:rPr/>
      </w:pPr>
      <w:r>
        <w:br w:type="page" w:clear="all"/>
      </w:r>
      <w:r/>
    </w:p>
    <w:p>
      <w:pPr>
        <w:pBdr/>
        <w:spacing w:after="120" w:before="0"/>
        <w:ind/>
        <w:rPr/>
      </w:pPr>
      <w:r>
        <w:rPr>
          <w:b/>
          <w:i w:val="0"/>
          <w:color w:val="0f2e22"/>
          <w:sz w:val="32"/>
        </w:rPr>
        <w:t xml:space="preserve">Part 3 — Not done, and why</w:t>
      </w:r>
      <w:r/>
    </w:p>
    <w:p>
      <w:pPr>
        <w:pBdr/>
        <w:spacing w:after="160" w:before="0"/>
        <w:ind/>
        <w:rPr/>
      </w:pPr>
      <w:r>
        <w:rPr>
          <w:b w:val="0"/>
          <w:i w:val="0"/>
          <w:color w:val="5a5f58"/>
          <w:sz w:val="19"/>
        </w:rPr>
        <w:t xml:space="preserve">Three of these need a decision from Ian before code can be right, and three are not development work at all. None of them is quietly left out.</w:t>
      </w:r>
      <w:r/>
    </w:p>
    <w:tbl>
      <w:tblPr>
        <w:tblStyle w:val="934"/>
        <w:tblW w:w="0" w:type="auto"/>
        <w:tblBorders/>
        <w:tblLook w:val="04A0" w:firstRow="1" w:lastRow="0" w:firstColumn="1" w:lastColumn="0" w:noHBand="0" w:noVBand="1"/>
      </w:tblPr>
      <w:tblGrid>
        <w:gridCol w:w="3312"/>
        <w:gridCol w:w="6192"/>
        <w:gridCol w:w="5328"/>
      </w:tblGrid>
      <w:tr>
        <w:trPr/>
        <w:tc>
          <w:tcPr>
            <w:shd w:val="clear" w:color="auto" w:fill="0f2e22"/>
            <w:tcBorders/>
            <w:tcW w:w="4704" w:type="dxa"/>
          </w:tcPr>
          <w:p>
            <w:pPr>
              <w:pBdr/>
              <w:spacing w:after="40"/>
              <w:ind/>
              <w:rPr/>
            </w:pPr>
            <w:r>
              <w:rPr>
                <w:b/>
                <w:color w:val="ffffff"/>
                <w:sz w:val="18"/>
              </w:rPr>
              <w:t xml:space="preserve">Item</w:t>
            </w:r>
            <w:r/>
          </w:p>
        </w:tc>
        <w:tc>
          <w:tcPr>
            <w:shd w:val="clear" w:color="auto" w:fill="0f2e22"/>
            <w:tcBorders/>
            <w:tcW w:w="4704" w:type="dxa"/>
          </w:tcPr>
          <w:p>
            <w:pPr>
              <w:pBdr/>
              <w:spacing w:after="40"/>
              <w:ind/>
              <w:rPr/>
            </w:pPr>
            <w:r>
              <w:rPr>
                <w:b/>
                <w:color w:val="ffffff"/>
                <w:sz w:val="18"/>
              </w:rPr>
              <w:t xml:space="preserve">Where it stands</w:t>
            </w:r>
            <w:r/>
          </w:p>
        </w:tc>
        <w:tc>
          <w:tcPr>
            <w:shd w:val="clear" w:color="auto" w:fill="0f2e22"/>
            <w:tcBorders/>
            <w:tcW w:w="4704" w:type="dxa"/>
          </w:tcPr>
          <w:p>
            <w:pPr>
              <w:pBdr/>
              <w:spacing w:after="40"/>
              <w:ind/>
              <w:rPr/>
            </w:pPr>
            <w:r>
              <w:rPr>
                <w:b/>
                <w:color w:val="ffffff"/>
                <w:sz w:val="18"/>
              </w:rPr>
              <w:t xml:space="preserve">What is needed</w:t>
            </w:r>
            <w:r/>
          </w:p>
        </w:tc>
      </w:tr>
      <w:tr>
        <w:trPr>
          <w:trHeight w:val="847"/>
        </w:trPr>
        <w:tc>
          <w:tcPr>
            <w:tcBorders/>
            <w:tcW w:w="4704" w:type="dxa"/>
          </w:tcPr>
          <w:p>
            <w:pPr>
              <w:pBdr/>
              <w:spacing w:after="40"/>
              <w:ind/>
              <w:rPr/>
            </w:pPr>
            <w:r>
              <w:rPr>
                <w:b/>
                <w:i w:val="0"/>
                <w:color w:val="0f2e22"/>
                <w:sz w:val="18"/>
              </w:rPr>
              <w:t xml:space="preserve">The lock is 3 years or through 2027 — the brief says both</w:t>
            </w:r>
            <w:r/>
          </w:p>
        </w:tc>
        <w:tc>
          <w:tcPr>
            <w:tcBorders/>
            <w:tcW w:w="4704" w:type="dxa"/>
          </w:tcPr>
          <w:p>
            <w:pPr>
              <w:pBdr/>
              <w:spacing w:after="40"/>
              <w:ind/>
              <w:rPr/>
            </w:pPr>
            <w:r>
              <w:rPr>
                <w:b w:val="0"/>
                <w:i w:val="0"/>
                <w:color w:val="1a1a14"/>
                <w:sz w:val="18"/>
              </w:rPr>
              <w:t xml:space="preserve">The task heading says “3-year Founding Member price lock”; the line under it says “locked through end of 2027”. Three seasons from a window closing 31 Dec 2026 is 2027, 2028 a</w:t>
            </w:r>
            <w:r>
              <w:rPr>
                <w:b w:val="0"/>
                <w:i w:val="0"/>
                <w:color w:val="1a1a14"/>
                <w:sz w:val="18"/>
              </w:rPr>
              <w:t xml:space="preserve">nd 2029, so the two cannot both be true. Three seasons is built, because that is what the task asked to be built — and the site copy was changed to match, including the home page's “locked permanently, never increases”, which we now enforce a date against.</w:t>
            </w:r>
            <w:r/>
          </w:p>
        </w:tc>
        <w:tc>
          <w:tcPr>
            <w:tcBorders/>
            <w:tcW w:w="4704" w:type="dxa"/>
          </w:tcPr>
          <w:p>
            <w:pPr>
              <w:pBdr/>
              <w:spacing w:after="40"/>
              <w:ind/>
              <w:rPr/>
            </w:pPr>
            <w:r>
              <w:rPr>
                <w:b w:val="0"/>
                <w:i w:val="0"/>
                <w:color w:val="1a1a14"/>
                <w:sz w:val="18"/>
              </w:rPr>
              <w:t xml:space="preserve">Ian to confirm which he meant. If it is through-2027, it is one constant: FOUNDING_LOCK_SEASONS in billing/pricing.py, and the two copy lines follow.</w:t>
            </w:r>
            <w:r/>
          </w:p>
        </w:tc>
      </w:tr>
      <w:tr>
        <w:trPr/>
        <w:tc>
          <w:tcPr>
            <w:tcBorders/>
            <w:tcW w:w="4704" w:type="dxa"/>
          </w:tcPr>
          <w:p>
            <w:pPr>
              <w:pBdr/>
              <w:spacing w:after="40"/>
              <w:ind/>
              <w:rPr/>
            </w:pPr>
            <w:r>
              <w:rPr>
                <w:b/>
                <w:i w:val="0"/>
                <w:color w:val="0f2e22"/>
                <w:sz w:val="18"/>
              </w:rPr>
              <w:t xml:space="preserve">Terms and Privacy still need the lawyer</w:t>
            </w:r>
            <w:r/>
          </w:p>
        </w:tc>
        <w:tc>
          <w:tcPr>
            <w:tcBorders/>
            <w:tcW w:w="4704" w:type="dxa"/>
          </w:tcPr>
          <w:p>
            <w:pPr>
              <w:pBdr/>
              <w:spacing w:after="40"/>
              <w:ind/>
              <w:rPr/>
            </w:pPr>
            <w:r>
              <w:rPr>
                <w:b w:val="0"/>
                <w:i w:val="0"/>
                <w:color w:val="1a1a14"/>
                <w:sz w:val="18"/>
              </w:rPr>
              <w:t xml:space="preserve">The Terms page is written and</w:t>
            </w:r>
            <w:r>
              <w:rPr>
                <w:b w:val="0"/>
                <w:i w:val="0"/>
                <w:color w:val="1a1a14"/>
                <w:sz w:val="18"/>
              </w:rPr>
              <w:t xml:space="preserve"> live-ready behind a visible “Draft, pending legal sign-off” banner. Clause 3 — no stake, no prize pool, no side pots — is the one the outstanding NFP/gaming review exists to check, and it is stated as a rule members agree to rather than as marketing copy.</w:t>
            </w:r>
            <w:r/>
          </w:p>
        </w:tc>
        <w:tc>
          <w:tcPr>
            <w:tcBorders/>
            <w:tcW w:w="4704" w:type="dxa"/>
          </w:tcPr>
          <w:p>
            <w:pPr>
              <w:pBdr/>
              <w:spacing w:after="40"/>
              <w:ind/>
              <w:rPr/>
            </w:pPr>
            <w:r>
              <w:rPr>
                <w:b w:val="0"/>
                <w:i w:val="0"/>
                <w:color w:val="1a1a14"/>
                <w:sz w:val="18"/>
              </w:rPr>
              <w:t xml:space="preserve">The lawyer's pass. The banner comes off as part of sign-off, not before it. Wording is editable from the Pages screen without a deploy; bump TERMS_VERSION in goodtip/legal.py when it changes.</w:t>
            </w:r>
            <w:r/>
          </w:p>
        </w:tc>
      </w:tr>
      <w:tr>
        <w:trPr/>
        <w:tc>
          <w:tcPr>
            <w:tcBorders/>
            <w:tcW w:w="4704" w:type="dxa"/>
          </w:tcPr>
          <w:p>
            <w:pPr>
              <w:pBdr/>
              <w:spacing w:after="40"/>
              <w:ind/>
              <w:rPr/>
            </w:pPr>
            <w:r>
              <w:rPr>
                <w:b/>
                <w:i w:val="0"/>
                <w:color w:val="0f2e22"/>
                <w:sz w:val="18"/>
              </w:rPr>
              <w:t xml:space="preserve">Blog 17 → 50 for the 25 Sep launch</w:t>
            </w:r>
            <w:r/>
          </w:p>
        </w:tc>
        <w:tc>
          <w:tcPr>
            <w:tcBorders/>
            <w:tcW w:w="4704" w:type="dxa"/>
          </w:tcPr>
          <w:p>
            <w:pPr>
              <w:pBdr/>
              <w:spacing w:after="40"/>
              <w:ind/>
              <w:rPr/>
            </w:pPr>
            <w:r>
              <w:rPr>
                <w:b w:val="0"/>
                <w:i w:val="0"/>
                <w:color w:val="1a1a14"/>
                <w:sz w:val="18"/>
              </w:rPr>
              <w:t xml:space="preserve">There are 15 published posts, not 17. That is 35 articles of real editorial in eight days. Fabricating them is not something worth doing to a site whose whole pitch is that the numbers on it are honest.</w:t>
            </w:r>
            <w:r/>
          </w:p>
        </w:tc>
        <w:tc>
          <w:tcPr>
            <w:tcBorders/>
            <w:tcW w:w="4704" w:type="dxa"/>
          </w:tcPr>
          <w:p>
            <w:pPr>
              <w:pBdr/>
              <w:spacing w:after="40"/>
              <w:ind/>
              <w:rPr/>
            </w:pPr>
            <w:r>
              <w:rPr>
                <w:b w:val="0"/>
                <w:i w:val="0"/>
                <w:color w:val="1a1a14"/>
                <w:sz w:val="18"/>
              </w:rPr>
              <w:t xml:space="preserve">A decision: outlines for Ian to fill, or a batch written to a brief he signs off first. Either way it needs his voice on what the 35 are about.</w:t>
            </w:r>
            <w:r/>
          </w:p>
        </w:tc>
      </w:tr>
      <w:tr>
        <w:trPr/>
        <w:tc>
          <w:tcPr>
            <w:tcBorders/>
            <w:tcW w:w="4704" w:type="dxa"/>
          </w:tcPr>
          <w:p>
            <w:pPr>
              <w:pBdr/>
              <w:spacing w:after="40"/>
              <w:ind/>
              <w:rPr/>
            </w:pPr>
            <w:r>
              <w:rPr>
                <w:b/>
                <w:i w:val="0"/>
                <w:color w:val="0f2e22"/>
                <w:sz w:val="18"/>
              </w:rPr>
              <w:t xml:space="preserve">On-page SEO, analytics and conversion tracking</w:t>
            </w:r>
            <w:r/>
          </w:p>
        </w:tc>
        <w:tc>
          <w:tcPr>
            <w:tcBorders/>
            <w:tcW w:w="4704" w:type="dxa"/>
          </w:tcPr>
          <w:p>
            <w:pPr>
              <w:pBdr/>
              <w:spacing w:after="40"/>
              <w:ind/>
              <w:rPr/>
            </w:pPr>
            <w:r>
              <w:rPr>
                <w:b w:val="0"/>
                <w:i w:val="0"/>
                <w:color w:val="1a1a14"/>
                <w:sz w:val="18"/>
              </w:rPr>
              <w:t xml:space="preserve">Not started. The sheet assigns it to Mad Scientist.</w:t>
            </w:r>
            <w:r/>
          </w:p>
        </w:tc>
        <w:tc>
          <w:tcPr>
            <w:tcBorders/>
            <w:tcW w:w="4704" w:type="dxa"/>
          </w:tcPr>
          <w:p>
            <w:pPr>
              <w:pBdr/>
              <w:spacing w:after="40"/>
              <w:ind/>
              <w:rPr/>
            </w:pPr>
            <w:r>
              <w:rPr>
                <w:b w:val="0"/>
                <w:i w:val="0"/>
                <w:color w:val="1a1a14"/>
                <w:sz w:val="18"/>
              </w:rPr>
              <w:t xml:space="preserve">Confirmation that it is still theirs. Worth flagging that the sheet calls conversion tracking a blocker for the PNG ad tests.</w:t>
            </w:r>
            <w:r/>
          </w:p>
        </w:tc>
      </w:tr>
      <w:tr>
        <w:trPr/>
        <w:tc>
          <w:tcPr>
            <w:tcBorders/>
            <w:tcW w:w="4704" w:type="dxa"/>
          </w:tcPr>
          <w:p>
            <w:pPr>
              <w:pBdr/>
              <w:spacing w:after="40"/>
              <w:ind/>
              <w:rPr/>
            </w:pPr>
            <w:r>
              <w:rPr>
                <w:b/>
                <w:i w:val="0"/>
                <w:color w:val="0f2e22"/>
                <w:sz w:val="18"/>
              </w:rPr>
              <w:t xml:space="preserve">Walkthrough video to Instagram and YouTube</w:t>
            </w:r>
            <w:r/>
          </w:p>
        </w:tc>
        <w:tc>
          <w:tcPr>
            <w:tcBorders/>
            <w:tcW w:w="4704" w:type="dxa"/>
          </w:tcPr>
          <w:p>
            <w:pPr>
              <w:pBdr/>
              <w:spacing w:after="40"/>
              <w:ind/>
              <w:rPr/>
            </w:pPr>
            <w:r>
              <w:rPr>
                <w:b w:val="0"/>
                <w:i w:val="0"/>
                <w:color w:val="1a1a14"/>
                <w:sz w:val="18"/>
              </w:rPr>
              <w:t xml:space="preserve">Not development work.</w:t>
            </w:r>
            <w:r/>
          </w:p>
        </w:tc>
        <w:tc>
          <w:tcPr>
            <w:tcBorders/>
            <w:tcW w:w="4704" w:type="dxa"/>
          </w:tcPr>
          <w:p>
            <w:pPr>
              <w:pBdr/>
              <w:spacing w:after="40"/>
              <w:ind/>
              <w:rPr/>
            </w:pPr>
            <w:r>
              <w:rPr>
                <w:b w:val="0"/>
                <w:i w:val="0"/>
                <w:color w:val="1a1a14"/>
                <w:sz w:val="18"/>
              </w:rPr>
              <w:t xml:space="preserve">Whoever holds the accounts.</w:t>
            </w:r>
            <w:r/>
          </w:p>
        </w:tc>
      </w:tr>
      <w:tr>
        <w:trPr/>
        <w:tc>
          <w:tcPr>
            <w:tcBorders/>
            <w:tcW w:w="4704" w:type="dxa"/>
          </w:tcPr>
          <w:p>
            <w:pPr>
              <w:pBdr/>
              <w:spacing w:after="40"/>
              <w:ind/>
              <w:rPr/>
            </w:pPr>
            <w:r>
              <w:rPr>
                <w:b/>
                <w:i w:val="0"/>
                <w:color w:val="0f2e22"/>
                <w:sz w:val="18"/>
              </w:rPr>
              <w:t xml:space="preserve">‘Tell the Boss’ postcards</w:t>
            </w:r>
            <w:r/>
          </w:p>
        </w:tc>
        <w:tc>
          <w:tcPr>
            <w:tcBorders/>
            <w:tcW w:w="4704" w:type="dxa"/>
          </w:tcPr>
          <w:p>
            <w:pPr>
              <w:pBdr/>
              <w:spacing w:after="40"/>
              <w:ind/>
              <w:rPr/>
            </w:pPr>
            <w:r>
              <w:rPr>
                <w:b w:val="0"/>
                <w:i w:val="0"/>
                <w:color w:val="1a1a14"/>
                <w:sz w:val="18"/>
              </w:rPr>
              <w:t xml:space="preserve">Not development work — a physical print piece.</w:t>
            </w:r>
            <w:r/>
          </w:p>
        </w:tc>
        <w:tc>
          <w:tcPr>
            <w:tcBorders/>
            <w:tcW w:w="4704" w:type="dxa"/>
          </w:tcPr>
          <w:p>
            <w:pPr>
              <w:pBdr/>
              <w:spacing w:after="40"/>
              <w:ind/>
              <w:rPr/>
            </w:pPr>
            <w:r>
              <w:rPr>
                <w:b w:val="0"/>
                <w:i w:val="0"/>
                <w:color w:val="1a1a14"/>
                <w:sz w:val="18"/>
              </w:rPr>
              <w:t xml:space="preserve">A designer. The on-screen note it is based on has just been redrawn (row 3), so the print version should be cut from the new one, not the parchment.</w:t>
            </w:r>
            <w:r/>
          </w:p>
        </w:tc>
      </w:tr>
    </w:tbl>
    <w:p>
      <w:pPr>
        <w:pBdr/>
        <w:spacing/>
        <w:ind/>
        <w:rPr/>
      </w:pPr>
      <w:r>
        <w:br w:type="page" w:clear="all"/>
      </w:r>
      <w:r/>
    </w:p>
    <w:p>
      <w:pPr>
        <w:pBdr/>
        <w:spacing w:after="120" w:before="0"/>
        <w:ind/>
        <w:rPr/>
      </w:pPr>
      <w:r>
        <w:rPr>
          <w:b/>
          <w:i w:val="0"/>
          <w:color w:val="0f2e22"/>
          <w:sz w:val="32"/>
        </w:rPr>
        <w:t xml:space="preserve">Part 4 — Verifying the lot yourself</w:t>
      </w:r>
      <w:r/>
    </w:p>
    <w:p>
      <w:pPr>
        <w:pBdr/>
        <w:spacing w:after="60" w:before="160"/>
        <w:ind/>
        <w:rPr/>
      </w:pPr>
      <w:r>
        <w:rPr>
          <w:b/>
          <w:i w:val="0"/>
          <w:color w:val="2a7337"/>
          <w:sz w:val="22"/>
        </w:rPr>
        <w:t xml:space="preserve">1. Nothing is deployed yet</w:t>
      </w:r>
      <w:r/>
    </w:p>
    <w:p>
      <w:pPr>
        <w:pBdr/>
        <w:spacing w:after="80" w:before="0"/>
        <w:ind/>
        <w:rPr/>
      </w:pPr>
      <w:r>
        <w:rPr>
          <w:b w:val="0"/>
          <w:i w:val="0"/>
          <w:color w:val="1a1a14"/>
          <w:sz w:val="19"/>
        </w:rPr>
        <w:t xml:space="preserve">Every change is in the working tree on this machine, on branch staging, uncommitted. Nothing has gone near staging.goodtip.com.au or the live site. The “on staging” checks in the table above become available the moment this is pushed.</w:t>
      </w:r>
      <w:r/>
    </w:p>
    <w:p>
      <w:pPr>
        <w:pBdr/>
        <w:spacing w:after="40" w:before="0"/>
        <w:ind/>
        <w:rPr/>
      </w:pPr>
      <w:r>
        <w:rPr>
          <w:b w:val="0"/>
          <w:i w:val="0"/>
          <w:color w:val="5a5f58"/>
          <w:sz w:val="19"/>
        </w:rPr>
        <w:t xml:space="preserve">To see the whole change set:</w:t>
      </w:r>
      <w:r/>
    </w:p>
    <w:p>
      <w:pPr>
        <w:pBdr/>
        <w:spacing w:after="40" w:before="0"/>
        <w:ind/>
        <w:rPr/>
      </w:pPr>
      <w:r>
        <w:rPr>
          <w:rFonts w:ascii="Consolas" w:hAnsi="Consolas"/>
          <w:color w:val="0f2e22"/>
          <w:sz w:val="18"/>
        </w:rPr>
        <w:t xml:space="preserve">    git status -s          git diff --stat          git diff &lt;file&gt;</w:t>
      </w:r>
      <w:r/>
    </w:p>
    <w:p>
      <w:pPr>
        <w:pBdr/>
        <w:spacing w:after="60" w:before="200"/>
        <w:ind/>
        <w:rPr/>
      </w:pPr>
      <w:r>
        <w:rPr>
          <w:b/>
          <w:i w:val="0"/>
          <w:color w:val="2a7337"/>
          <w:sz w:val="22"/>
        </w:rPr>
        <w:t xml:space="preserve">2. Run the tests</w:t>
      </w:r>
      <w:r/>
    </w:p>
    <w:p>
      <w:pPr>
        <w:pBdr/>
        <w:spacing w:after="80" w:before="0"/>
        <w:ind/>
        <w:rPr/>
      </w:pPr>
      <w:r>
        <w:rPr>
          <w:b w:val="0"/>
          <w:i w:val="0"/>
          <w:color w:val="1a1a14"/>
          <w:sz w:val="19"/>
        </w:rPr>
        <w:t xml:space="preserve">1,405 tests pass, 2 skipped. 45 of them were written for this round and are listed below — each names the behaviour it proves, so a failing one tells you which promise broke rather than that something broke.</w:t>
      </w:r>
      <w:r/>
    </w:p>
    <w:p>
      <w:pPr>
        <w:pBdr/>
        <w:spacing w:after="40" w:before="0"/>
        <w:ind/>
        <w:rPr/>
      </w:pPr>
      <w:r>
        <w:rPr>
          <w:rFonts w:ascii="Consolas" w:hAnsi="Consolas"/>
          <w:color w:val="0f2e22"/>
          <w:sz w:val="17"/>
        </w:rPr>
        <w:t xml:space="preserve">    tipping.tests.CarryIntoNewRoomTests</w:t>
      </w:r>
      <w:r>
        <w:rPr>
          <w:color w:val="5a5f58"/>
          <w:sz w:val="17"/>
        </w:rPr>
        <w:t xml:space="preserve">   — 10 tests, picks carry into a newly joined comp, and only when made in time</w:t>
      </w:r>
      <w:r/>
    </w:p>
    <w:p>
      <w:pPr>
        <w:pBdr/>
        <w:spacing w:after="40" w:before="0"/>
        <w:ind/>
        <w:rPr/>
      </w:pPr>
      <w:r>
        <w:rPr>
          <w:rFonts w:ascii="Consolas" w:hAnsi="Consolas"/>
          <w:color w:val="0f2e22"/>
          <w:sz w:val="17"/>
        </w:rPr>
        <w:t xml:space="preserve">    orgs.tests.GroupsPlanGateTests</w:t>
      </w:r>
      <w:r>
        <w:rPr>
          <w:color w:val="5a5f58"/>
          <w:sz w:val="17"/>
        </w:rPr>
        <w:t xml:space="preserve">   — 10 tests, groups locked below Workplace, visible and disabled, refused server-side</w:t>
      </w:r>
      <w:r/>
    </w:p>
    <w:p>
      <w:pPr>
        <w:pBdr/>
        <w:spacing w:after="40" w:before="0"/>
        <w:ind/>
        <w:rPr/>
      </w:pPr>
      <w:r>
        <w:rPr>
          <w:rFonts w:ascii="Consolas" w:hAnsi="Consolas"/>
          <w:color w:val="0f2e22"/>
          <w:sz w:val="17"/>
        </w:rPr>
        <w:t xml:space="preserve">    billing.tests.FoundingRateTests</w:t>
      </w:r>
      <w:r>
        <w:rPr>
          <w:color w:val="5a5f58"/>
          <w:sz w:val="17"/>
        </w:rPr>
        <w:t xml:space="preserve">   — 8 tests, the price lock holds, and where it does not</w:t>
      </w:r>
      <w:r/>
    </w:p>
    <w:p>
      <w:pPr>
        <w:pBdr/>
        <w:spacing w:after="40" w:before="0"/>
        <w:ind/>
        <w:rPr/>
      </w:pPr>
      <w:r>
        <w:rPr>
          <w:rFonts w:ascii="Consolas" w:hAnsi="Consolas"/>
          <w:color w:val="0f2e22"/>
          <w:sz w:val="17"/>
        </w:rPr>
        <w:t xml:space="preserve">    orgs.tests.TermsAgreementTests</w:t>
      </w:r>
      <w:r>
        <w:rPr>
          <w:color w:val="5a5f58"/>
          <w:sz w:val="17"/>
        </w:rPr>
        <w:t xml:space="preserve">   — 6 tests, the agreement is required, unticked, recorded</w:t>
      </w:r>
      <w:r/>
    </w:p>
    <w:p>
      <w:pPr>
        <w:pBdr/>
        <w:spacing w:after="40" w:before="0"/>
        <w:ind/>
        <w:rPr/>
      </w:pPr>
      <w:r>
        <w:rPr>
          <w:rFonts w:ascii="Consolas" w:hAnsi="Consolas"/>
          <w:color w:val="0f2e22"/>
          <w:sz w:val="17"/>
        </w:rPr>
        <w:t xml:space="preserve">    orgs.tests.SponsorshipApplicationTests</w:t>
      </w:r>
      <w:r>
        <w:rPr>
          <w:color w:val="5a5f58"/>
          <w:sz w:val="17"/>
        </w:rPr>
        <w:t xml:space="preserve">   — 6 tests, the sponsored-place path works publicly</w:t>
      </w:r>
      <w:r/>
    </w:p>
    <w:p>
      <w:pPr>
        <w:pBdr/>
        <w:spacing w:after="40" w:before="0"/>
        <w:ind/>
        <w:rPr/>
      </w:pPr>
      <w:r>
        <w:rPr>
          <w:rFonts w:ascii="Consolas" w:hAnsi="Consolas"/>
          <w:color w:val="0f2e22"/>
          <w:sz w:val="17"/>
        </w:rPr>
        <w:t xml:space="preserve">    billing.tests.TierGroupsTests</w:t>
      </w:r>
      <w:r>
        <w:rPr>
          <w:color w:val="5a5f58"/>
          <w:sz w:val="17"/>
        </w:rPr>
        <w:t xml:space="preserve">   — 5 tests, the plans match what the site publishes</w:t>
      </w:r>
      <w:r/>
    </w:p>
    <w:p>
      <w:pPr>
        <w:pBdr/>
        <w:spacing w:after="60" w:before="200"/>
        <w:ind/>
        <w:rPr/>
      </w:pPr>
      <w:r>
        <w:rPr>
          <w:b/>
          <w:i w:val="0"/>
          <w:color w:val="2a7337"/>
          <w:sz w:val="22"/>
        </w:rPr>
        <w:t xml:space="preserve">3. Check the colours</w:t>
      </w:r>
      <w:r/>
    </w:p>
    <w:p>
      <w:pPr>
        <w:pBdr/>
        <w:spacing w:after="60" w:before="0"/>
        <w:ind/>
        <w:rPr/>
      </w:pPr>
      <w:r>
        <w:rPr>
          <w:b w:val="0"/>
          <w:i w:val="0"/>
          <w:color w:val="1a1a14"/>
          <w:sz w:val="19"/>
        </w:rPr>
        <w:t xml:space="preserve">The suite includes a contrast audit across all four themes. It caught three failures in the new Tell the Boss styling while this work was in progress, which were fixed. It currently reports nothing under WCAG AA.</w:t>
      </w:r>
      <w:r/>
    </w:p>
    <w:p>
      <w:pPr>
        <w:pBdr/>
        <w:spacing w:after="40" w:before="0"/>
        <w:ind/>
        <w:rPr/>
      </w:pPr>
      <w:r>
        <w:rPr>
          <w:rFonts w:ascii="Consolas" w:hAnsi="Consolas"/>
          <w:color w:val="0f2e22"/>
          <w:sz w:val="18"/>
        </w:rPr>
        <w:t xml:space="preserve">    venv/bin/python scripts/check_contrast.py</w:t>
      </w:r>
      <w:r/>
    </w:p>
    <w:p>
      <w:pPr>
        <w:pBdr/>
        <w:spacing w:after="60" w:before="200"/>
        <w:ind/>
        <w:rPr/>
      </w:pPr>
      <w:r>
        <w:rPr>
          <w:b/>
          <w:i w:val="0"/>
          <w:color w:val="2a7337"/>
          <w:sz w:val="22"/>
        </w:rPr>
        <w:t xml:space="preserve">4. When it goes up</w:t>
      </w:r>
      <w:r/>
    </w:p>
    <w:p>
      <w:pPr>
        <w:pBdr/>
        <w:spacing w:after="80" w:before="0"/>
        <w:ind/>
        <w:rPr/>
      </w:pPr>
      <w:r>
        <w:rPr>
          <w:b w:val="0"/>
          <w:i w:val="0"/>
          <w:color w:val="1a1a14"/>
          <w:sz w:val="19"/>
        </w:rPr>
        <w:t xml:space="preserve">Three migrations ship with this: two on bil</w:t>
      </w:r>
      <w:r>
        <w:rPr>
          <w:b w:val="0"/>
          <w:i w:val="0"/>
          <w:color w:val="1a1a14"/>
          <w:sz w:val="19"/>
        </w:rPr>
        <w:t xml:space="preserve">ling (the founding rate, the sponsorship applications) and one on orgs (the terms fields). All three are additive — new nullable columns and new tables — so nothing existing is rewritten and no data is at risk. Static files need collecting, as CSS changed.</w:t>
      </w:r>
      <w:r/>
    </w:p>
    <w:p>
      <w:pPr>
        <w:pBdr/>
        <w:spacing w:after="120" w:before="0"/>
        <w:ind/>
        <w:rPr/>
      </w:pPr>
      <w:r>
        <w:rPr>
          <w:b w:val="0"/>
          <w:i w:val="0"/>
          <w:color w:val="5a5f58"/>
          <w:sz w:val="19"/>
        </w:rPr>
        <w:t xml:space="preserve">Per the project's own working notes, this goes to staging first and is released to main only after it has been looked at there.</w:t>
      </w:r>
      <w:r/>
    </w:p>
    <w:sectPr>
      <w:footnotePr/>
      <w:endnotePr/>
      <w:type w:val="nextPage"/>
      <w:pgSz w:h="12240" w:orient="landscape" w:w="15840"/>
      <w:pgMar w:top="864" w:right="864" w:bottom="864" w:left="86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after="120"/>
      <w:ind/>
    </w:pPr>
    <w:rPr>
      <w:rFonts w:ascii="Calibri" w:hAnsi="Calibri"/>
      <w:color w:val="1a1a14"/>
      <w:sz w:val="19"/>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2026-09-20T10:07:53Z</dcterms:modified>
  <cp:category/>
</cp:coreProperties>
</file>