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着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ED7D31" w:themeColor="accent2"/>
          <w:lang w:val="en-US" w:eastAsia="zh-CN"/>
          <w14:textFill>
            <w14:solidFill>
              <w14:schemeClr w14:val="accent2"/>
            </w14:solidFill>
          </w14:textFill>
        </w:rPr>
      </w:pPr>
      <w:r>
        <w:rPr>
          <w:rFonts w:hint="eastAsia"/>
          <w:lang w:val="en-US" w:eastAsia="zh-CN"/>
        </w:rPr>
        <w:t>本文对当下流行的几款流式处理框架Storm、Spark stream与Node-red流式管理框架进行了对比分析，详细阐述了各自的编程模型，</w:t>
      </w:r>
      <w:r>
        <w:rPr>
          <w:rFonts w:hint="eastAsia"/>
          <w:color w:val="ED7D31" w:themeColor="accent2"/>
          <w:lang w:val="en-US" w:eastAsia="zh-CN"/>
          <w14:textFill>
            <w14:solidFill>
              <w14:schemeClr w14:val="accent2"/>
            </w14:solidFill>
          </w14:textFill>
        </w:rPr>
        <w:t>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w:t>
      </w:r>
      <w:r>
        <w:rPr>
          <w:rFonts w:hint="eastAsia"/>
          <w:color w:val="ED7D31" w:themeColor="accent2"/>
          <w:lang w:val="en-US" w:eastAsia="zh-CN"/>
          <w14:textFill>
            <w14:solidFill>
              <w14:schemeClr w14:val="accent2"/>
            </w14:solidFill>
          </w14:textFill>
        </w:rPr>
        <w:t>还介绍了MQTT协议以及在消息推送服务中的应用。</w:t>
      </w:r>
      <w:r>
        <w:rPr>
          <w:rFonts w:hint="eastAsia"/>
          <w:lang w:val="en-US" w:eastAsia="zh-CN"/>
        </w:rPr>
        <w:t>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86935" cy="2820670"/>
            <wp:effectExtent l="0" t="0" r="1841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686935" cy="28206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object>
          <v:shape id="_x0000_i1025" o:spt="75" alt="" type="#_x0000_t75" style="height:272.75pt;width:415.2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26" o:spt="75" alt="" type="#_x0000_t75" style="height:214.75pt;width:333.2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27" o:spt="75" type="#_x0000_t75" style="height:251.65pt;width:315.7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5"/>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6"/>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7"/>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8" o:spt="75" type="#_x0000_t75" style="height:265.7pt;width:421.1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nE3tdoA&#10;AAALAQAADwAAAAAAAAABACAAAAAiAAAAZHJzL2Rvd25yZXYueG1sUEsBAhQAFAAAAAgAh07iQGWP&#10;Ox8dAgAA6QMAAA4AAAAAAAAAAQAgAAAAKQEAAGRycy9lMm9Eb2MueG1sUEsFBgAAAAAGAAYAWQEA&#10;ALgFAAAAAA==&#10;" adj="1078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29" o:spt="75" alt="" type="#_x0000_t75" style="height:247.3pt;width:351.9pt;" o:ole="t" filled="f" o:preferrelative="t" stroked="f" coordsize="21600,21600">
            <v:path/>
            <v:fill on="f" focussize="0,0"/>
            <v:stroke on="f"/>
            <v:imagedata r:id="rId22" o:title=""/>
            <o:lock v:ext="edit" aspectratio="f"/>
            <w10:wrap type="none"/>
            <w10:anchorlock/>
          </v:shape>
          <o:OLEObject Type="Embed" ProgID="Visio.Drawing.15" ShapeID="_x0000_i1029" DrawAspect="Content" ObjectID="_1468075729"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然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Redis_sub节点的ui界面主要是定义在67_redis_sub.html文件中，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进入Node-red后，经过各个计算节点的数据计算、封装等工作，然后打包成系统规定的数据格式后，需要从Node-red中输出，进入后续的数据可视化展示。数据的输出就用到了Node-red的输出节点。Node-red的输出节点允许把数据输出到Node-red的flow以外的其他服务和应用上去，对内有一个数据输入的左断点，对外暴露一个公共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Node-red中有一个常用的输出节点就是debug节点，这个节点是在编写flow的时候调试的时候用的，主要显示打印出数据经过上一节点处理之后的具体信息。Debug节点是一个具有开关的节点，允许程序员手动开启或者禁用该节点，主要就是在调试程序的时候用。debug节点的使用也非常简单，只需要在Node-re左侧的节点栏中找到该节点然后拖拽到相应节点的后面，并用线连接起来就可以实现数据的传输，最后开启debug的启动按钮，当部署了所编写的flow后，就可以在Node-red的最右侧的debug面板中看到打印出来的具体数据。下面给出debug节点的部分设计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数据的实时地输出到Node-red的flow意外的其他服务和应用上，这里我们新引入了redis_pub节点。顾名思义，redis_pub节点就是将redis的publis功能嵌入到Node-red中，通过设计一个新的节点来将经过Node-red处理和计算过的数据输出来，这里之所以选择redis的publis发布数据，一方面保证了数据的异步传输，另一方面也保证了数据的隔离（原因是各个redis的通道数据是相互隔离的，互补干预）。在坚持节点的设计原则的前提下，下图给出了redis_pub的设计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结合上一小节数据输入节点的设计可知，redis_pub节点和redis_sub节点的设计恰好相反，redis_pub节点只具有一个数据的输入接口，也就是只有数据的输入端点，这一端是连接上一个数据处理节点的，在redis_pub节点中也必须定位redis的位置，也就是redis服务器的ip，端口号，不管是在redis集群还是在单点的redis服务器中都必须要指定，同时还要指定数据输出到哪个redis的channel中。所以redis_pub节点的ui设计与redis_sub节点的ui设计十分相识，不同的是他们的功能代码不一样，提现在js文件中。下面给出部分redis_pub的js功能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计算节点在Node-red中起着举足轻重的作用，几乎所有的flow中都会用到数据计算节点。数据计算节点允许程序员处理进入Node-red中的数据，允许程序员编写自己的功能代码，将定义好的数据类型转化为在Node-red中流动的message。在Node-red中的massage实际上就是一个JavaScript对象，massage对象至少要包含payload属性，用来保存具体的数据。就像下面这样一个最基本的Node-red的massage数据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317500</wp:posOffset>
                </wp:positionH>
                <wp:positionV relativeFrom="paragraph">
                  <wp:posOffset>73025</wp:posOffset>
                </wp:positionV>
                <wp:extent cx="2813685" cy="1129030"/>
                <wp:effectExtent l="4445" t="4445" r="20320" b="9525"/>
                <wp:wrapNone/>
                <wp:docPr id="1" name="文本框 1"/>
                <wp:cNvGraphicFramePr/>
                <a:graphic xmlns:a="http://schemas.openxmlformats.org/drawingml/2006/main">
                  <a:graphicData uri="http://schemas.microsoft.com/office/word/2010/wordprocessingShape">
                    <wps:wsp>
                      <wps:cNvSpPr txBox="1"/>
                      <wps:spPr>
                        <a:xfrm>
                          <a:off x="0" y="0"/>
                          <a:ext cx="2813685" cy="1129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5.75pt;height:88.9pt;width:221.55pt;z-index:251723776;mso-width-relative:page;mso-height-relative:page;" fillcolor="#FFFFFF [3201]" filled="t" stroked="t" coordsize="21600,21600" o:gfxdata="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5kgcvYAAAADAEAAA8AAAAAAAAAAQAgAAAAIgAAAGRy&#10;cy9kb3ducmV2LnhtbFBLAQIUABQAAAAIAIdO4kBs0ikoPgIAAGkEAAAOAAAAAAAAAAEAIAAAACcB&#10;AABkcnMvZTJvRG9jLnhtbFBLBQYAAAAABgAGAFkBAADXBQAAAAA=&#10;">
                <v:fill on="t" focussize="0,0"/>
                <v:stroke weight="0.5pt" color="#000000 [3204]" joinstyle="round"/>
                <v:imagedata o:title=""/>
                <o:lock v:ext="edit" aspectratio="f"/>
                <v:textbox>
                  <w:txbxContent>
                    <w:p>
                      <w:pPr>
                        <w:keepNext w:val="0"/>
                        <w:keepLines w:val="0"/>
                        <w:widowControl/>
                        <w:numPr>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它通常包含一个数据输入端点和多个数据输出端点，</w:t>
      </w:r>
      <w:bookmarkStart w:id="1" w:name="_GoBack"/>
      <w:bookmarkEnd w:id="1"/>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该系统的所有数据是来源于某地方政府的电子政务网站群的访问流量，数据真实可靠、说服力强、具有重要的实际意义和研究价值。同时数据具有通用性，因为这是截取的服务器端的访问流量，也就是通用的HTTP报文，适合各类网站群的实时监控与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随着各级地方政府的电子政务系统的不断发展，但是信息收集与数据分析能力还比较薄弱，急需要一个</w:t>
      </w:r>
      <w:r>
        <w:rPr>
          <w:rFonts w:hint="eastAsia"/>
        </w:rPr>
        <w:t>统一的实时数据收集、储存、分析、应用的平台</w:t>
      </w:r>
      <w:r>
        <w:rPr>
          <w:rFonts w:hint="eastAsia"/>
          <w:lang w:eastAsia="zh-CN"/>
        </w:rPr>
        <w:t>。</w:t>
      </w:r>
      <w:r>
        <w:rPr>
          <w:rFonts w:hint="eastAsia"/>
          <w:lang w:val="en-US" w:eastAsia="zh-CN"/>
        </w:rPr>
        <w:t>因此，本文首先提出一个基于Node-red与redis的实时流数据处理模型，随后应用这个模型来解决网站群的流量数据的实时收集和分析问题。在本章中重点是应用该模型来实现一个可视化的实时网站访问监控系统，同时也将详细阐述系统中的用户行为监控和网站群页面监控的分析方法。</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1.用户行为监控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实时了解用户访问网站群的行为。捕捉用户请求并跟踪其通过所以响应，收集、处理并显示用户行为的细节数据。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具体实现以下功能：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（1）错误页面跟踪，对返回码为404,500等出错页面进行统计跟踪；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（2）用户终端类型，对用户访问网站群的终端进行统计；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（3）受访页面统计，用户访问网站所浏览的页面统计；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（4）来路页面，用户通过页面浏览网站群统计；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（5）地区分布，根据用户IP统计访问网站群的地区分布，并区分内外网用户（内网IP地址范围及相关部门的对照表需信息中心提供）；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（6）IP/PV,一天之内独立IP数，相同IP数被计数一次；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（7）页面浏览量，用户每次刷新被计算一次；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（8）重复访问率，同一IP，不在同一天内访问同一页面的访问量/总访问量；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2.网站群页面监控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（1）关键词搜索频率，用户搜索关键词的频率；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（2）热门关键词统计；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（3）二级域名访问统计（需信息中心提供二级域名对照表）；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（4）频道访问统计（需信息中心提供频道名称对照表）；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Cs/>
          <w:sz w:val="28"/>
          <w:szCs w:val="28"/>
          <w:lang w:val="en-US" w:eastAsia="zh-CN"/>
        </w:rPr>
      </w:pPr>
      <w:r>
        <w:rPr>
          <w:rFonts w:hint="eastAsia"/>
          <w:lang w:val="en-US" w:eastAsia="zh-CN"/>
        </w:rPr>
        <w:t>（5）热点页面统计；</w:t>
      </w:r>
    </w:p>
    <w:p>
      <w:pPr>
        <w:spacing w:after="120" w:line="400" w:lineRule="exact"/>
        <w:outlineLvl w:val="1"/>
        <w:rPr>
          <w:rFonts w:hint="eastAsia"/>
          <w:lang w:val="en-US" w:eastAsia="zh-CN"/>
        </w:rPr>
      </w:pPr>
      <w:r>
        <w:rPr>
          <w:rFonts w:hint="eastAsia" w:eastAsia="黑体" w:cs="黑体"/>
          <w:bCs/>
          <w:sz w:val="28"/>
          <w:szCs w:val="28"/>
          <w:lang w:val="en-US" w:eastAsia="zh-CN"/>
        </w:rPr>
        <w:t>4.1.2 网站访问监控系统的实时采集解决方案</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4.1.3 网站访问监控系统的board展示设计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4"/>
          <w:szCs w:val="24"/>
          <w:lang w:val="en-US" w:eastAsia="zh-CN"/>
        </w:rPr>
      </w:pPr>
      <w:r>
        <w:rPr>
          <w:rFonts w:hint="eastAsia" w:eastAsia="黑体" w:cs="黑体"/>
          <w:bCs/>
          <w:sz w:val="24"/>
          <w:szCs w:val="24"/>
          <w:lang w:val="en-US" w:eastAsia="zh-CN"/>
        </w:rPr>
        <w:t>4.2.4 网站访问监控页面模块设计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4.4 本章小结</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7CF2FC6"/>
    <w:rsid w:val="08CF62A8"/>
    <w:rsid w:val="09C8262C"/>
    <w:rsid w:val="0C1D395A"/>
    <w:rsid w:val="0ED20A8C"/>
    <w:rsid w:val="15A643B5"/>
    <w:rsid w:val="168B0FAB"/>
    <w:rsid w:val="176609C2"/>
    <w:rsid w:val="18485039"/>
    <w:rsid w:val="18E507BD"/>
    <w:rsid w:val="1B080CA6"/>
    <w:rsid w:val="1D191875"/>
    <w:rsid w:val="1F496741"/>
    <w:rsid w:val="23665C61"/>
    <w:rsid w:val="245D7972"/>
    <w:rsid w:val="274828FA"/>
    <w:rsid w:val="2AB73CA7"/>
    <w:rsid w:val="2BFE47B8"/>
    <w:rsid w:val="2E203B8B"/>
    <w:rsid w:val="340C20E1"/>
    <w:rsid w:val="34A93421"/>
    <w:rsid w:val="37B978D5"/>
    <w:rsid w:val="3CCB6D32"/>
    <w:rsid w:val="3D941EFC"/>
    <w:rsid w:val="3E1C22E3"/>
    <w:rsid w:val="3FA345F4"/>
    <w:rsid w:val="40AE442C"/>
    <w:rsid w:val="40B303FC"/>
    <w:rsid w:val="43275D88"/>
    <w:rsid w:val="441729B9"/>
    <w:rsid w:val="466339E3"/>
    <w:rsid w:val="47343438"/>
    <w:rsid w:val="47630627"/>
    <w:rsid w:val="4A6D7C1D"/>
    <w:rsid w:val="4A760794"/>
    <w:rsid w:val="4C214E5D"/>
    <w:rsid w:val="4DAC527F"/>
    <w:rsid w:val="4FB137B9"/>
    <w:rsid w:val="50625F16"/>
    <w:rsid w:val="51031DA6"/>
    <w:rsid w:val="520869F0"/>
    <w:rsid w:val="586959E4"/>
    <w:rsid w:val="589404A9"/>
    <w:rsid w:val="5B5D6399"/>
    <w:rsid w:val="5BD567C4"/>
    <w:rsid w:val="5E3F50D2"/>
    <w:rsid w:val="61DF6DA2"/>
    <w:rsid w:val="63135EC4"/>
    <w:rsid w:val="66595B72"/>
    <w:rsid w:val="67CC7ECA"/>
    <w:rsid w:val="6D1203DC"/>
    <w:rsid w:val="6DA34C53"/>
    <w:rsid w:val="6E75358E"/>
    <w:rsid w:val="74AB635D"/>
    <w:rsid w:val="75C963A9"/>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e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2017-02-08T06:00:06Z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