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jfif" ContentType="image/jpeg"/>
  <Default Extension="gif" ContentType="image/gif"/>
  <Default Extension="bmp" ContentType="image/bmp"/>
  <Default Extension="svg" ContentType="image/svg+xml"/>
  <Default Extension="wmf" ContentType="image/x-wmf"/>
  <Default Extension="emf" ContentType="image/x-emf"/>
  <Default Extension="tif" ContentType="image/tiff"/>
  <Default Extension="tiff" ContentType="image/tiff"/>
  <Default Extension="odttf" ContentType="application/vnd.openxmlformats-officedocument.obfuscatedFont"/>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wp14="http://schemas.microsoft.com/office/word/2010/wordprocessingDrawing" xmlns:a="http://schemas.openxmlformats.org/drawingml/2006/main" xmlns:a14="http://schemas.microsoft.com/office/drawing/2010/main" xmlns:pic="http://schemas.openxmlformats.org/drawingml/2006/picture" xmlns:wps="http://schemas.microsoft.com/office/word/2010/wordprocessingShape" xmlns:wpg="http://schemas.microsoft.com/office/word/2010/wordprocessingGroup" xmlns:mc="http://schemas.openxmlformats.org/markup-compatibility/2006" xmlns:v="urn:schemas-microsoft-com:vml" xmlns:o="urn:schemas-microsoft-com:office:office" xmlns:w10="urn:schemas-microsoft-com:office:word" xmlns:w14="http://schemas.microsoft.com/office/word/2010/wordml" xmlns:w15="http://schemas.microsoft.com/office/word/2012/wordml">
  <w:body>
    <w:p>
      <w:pPr>
        <w:overflowPunct/>
        <w:spacing w:before="0" w:after="60" w:line="240" w:lineRule="auto"/>
        <w:ind w:firstLine="0" w:firstLineChars="0"/>
        <w:jc w:val="left"/>
        <w:rPr>
          <w:rFonts w:ascii="Microsoft YaHei" w:eastAsia="微软雅黑" w:hAnsi="Microsoft YaHei"/>
          <w:b w:val="0"/>
          <w:color w:val="5B6572"/>
          <w:sz w:val="21"/>
        </w:rPr>
      </w:pPr>
      <w:r>
        <w:rPr>
          <w:rFonts w:ascii="Microsoft YaHei" w:eastAsia="微软雅黑" w:hAnsi="Microsoft YaHei" w:hint="eastAsia"/>
          <w:b w:val="0"/>
          <w:color w:val="5B6572"/>
          <w:sz w:val="21"/>
        </w:rPr>
        <w:t>项目文档  ·  PROJECT DOCUMENT</w:t>
      </w:r>
    </w:p>
    <w:p>
      <w:pPr>
        <w:spacing w:before="0" w:after="0" w:line="240"/>
        <w:ind w:firstLine="0"/>
        <w:rPr>
          <w:rFonts w:ascii="Times New Roman" w:eastAsia="宋体" w:hAnsi="Times New Roman"/>
          <w:sz w:val="2"/>
        </w:rPr>
      </w:pPr>
    </w:p>
    <w:p>
      <w:pPr>
        <w:spacing w:before="0" w:after="0" w:line="240"/>
        <w:ind w:firstLine="0"/>
        <w:rPr>
          <w:rFonts w:ascii="Times New Roman" w:eastAsia="宋体" w:hAnsi="Times New Roman"/>
          <w:sz w:val="2"/>
        </w:rPr>
      </w:pPr>
    </w:p>
    <w:p>
      <w:pPr>
        <w:spacing w:before="0" w:after="0" w:line="240"/>
        <w:ind w:firstLine="0"/>
        <w:rPr>
          <w:rFonts w:ascii="Times New Roman" w:eastAsia="宋体" w:hAnsi="Times New Roman"/>
          <w:sz w:val="2"/>
        </w:rPr>
      </w:pPr>
    </w:p>
    <w:p>
      <w:pPr>
        <w:keepNext w:val="0"/>
        <w:keepLines w:val="0"/>
        <w:pageBreakBefore w:val="0"/>
        <w:widowControl/>
        <w:spacing w:before="0" w:after="30" w:line="264"/>
        <w:ind w:left="0" w:firstLine="0" w:hanging="0"/>
        <w:jc w:val="justified"/>
        <w:rPr>
          <w:rFonts w:ascii="Microsoft YaHei" w:eastAsia="微软雅黑" w:hAnsi="Microsoft YaHei"/>
          <w:b/>
          <w:color w:val="1F4E79"/>
          <w:sz w:val="80"/>
        </w:rPr>
      </w:pPr>
      <w:r>
        <w:rPr>
          <w:rFonts w:ascii="Microsoft YaHei" w:eastAsia="微软雅黑" w:hAnsi="Microsoft YaHei" w:hint="eastAsia"/>
          <w:b/>
          <w:color w:val="1F4E79"/>
          <w:sz w:val="80"/>
        </w:rPr>
        <w:t>灵眸智教</w:t>
      </w:r>
    </w:p>
    <w:p>
      <w:pPr>
        <w:keepNext w:val="0"/>
        <w:keepLines w:val="0"/>
        <w:pageBreakBefore w:val="0"/>
        <w:widowControl/>
        <w:spacing w:before="0" w:after="120" w:line="288"/>
        <w:ind w:left="0" w:firstLine="0" w:hanging="0"/>
        <w:jc w:val="justified"/>
        <w:rPr>
          <w:rFonts w:ascii="Microsoft YaHei" w:eastAsia="微软雅黑" w:hAnsi="Microsoft YaHei"/>
          <w:b w:val="0"/>
          <w:color w:val="2E74B5"/>
          <w:sz w:val="40"/>
        </w:rPr>
      </w:pPr>
      <w:r>
        <w:rPr>
          <w:rFonts w:ascii="Microsoft YaHei" w:eastAsia="微软雅黑" w:hAnsi="Microsoft YaHei" w:hint="eastAsia"/>
          <w:b w:val="0"/>
          <w:color w:val="2E74B5"/>
          <w:sz w:val="40"/>
        </w:rPr>
        <w:t>学科垂类大模型与创新应用平台</w:t>
      </w:r>
    </w:p>
    <w:p>
      <w:pPr>
        <w:keepNext w:val="0"/>
        <w:keepLines w:val="0"/>
        <w:pageBreakBefore w:val="0"/>
        <w:widowControl/>
        <w:spacing w:before="0" w:after="150" w:line="360"/>
        <w:ind w:left="0" w:firstLine="0" w:hanging="0"/>
        <w:jc w:val="left"/>
        <w:rPr>
          <w:rFonts w:ascii="Times New Roman" w:eastAsia="宋体" w:hAnsi="Times New Roman"/>
          <w:b w:val="0"/>
          <w:color w:val="5B6572"/>
          <w:sz w:val="23"/>
        </w:rPr>
      </w:pPr>
      <w:r>
        <w:rPr>
          <w:rFonts w:ascii="Times New Roman" w:eastAsia="宋体" w:hAnsi="Times New Roman" w:hint="eastAsia"/>
          <w:b w:val="0"/>
          <w:color w:val="5B6572"/>
          <w:sz w:val="23"/>
        </w:rPr>
        <w:t>面向《数据结构与算法》的助学 · 助教 · 助研一体化智能平台</w:t>
      </w:r>
    </w:p>
    <w:p>
      <w:pPr>
        <w:keepNext w:val="0"/>
        <w:keepLines w:val="0"/>
        <w:pageBreakBefore w:val="0"/>
        <w:widowControl/>
        <w:spacing w:before="0" w:after="210" w:line="360"/>
        <w:ind w:left="0" w:firstLine="0" w:hanging="0"/>
        <w:jc w:val="justified"/>
        <w:rPr>
          <w:rFonts w:ascii="Times New Roman" w:eastAsia="宋体" w:hAnsi="Times New Roman"/>
          <w:b w:val="0"/>
          <w:color w:val="1F2937"/>
          <w:sz w:val="21"/>
        </w:rPr>
      </w:pPr>
    </w:p>
    <w:p>
      <w:pPr>
        <w:spacing w:before="0" w:after="0" w:line="240"/>
        <w:ind w:firstLine="0"/>
        <w:rPr>
          <w:rFonts w:ascii="Times New Roman" w:eastAsia="宋体" w:hAnsi="Times New Roman"/>
          <w:sz w:val="2"/>
        </w:rPr>
      </w:pPr>
    </w:p>
    <w:tbl>
      <w:tblPr>
        <w:tblW w:w="8504" w:type="dxa"/>
        <w:jc w:val="left"/>
        <w:tblInd w:w="0" w:type="dxa"/>
      </w:tblPr>
      <w:tblGrid>
        <w:gridCol w:w="1680"/>
        <w:gridCol w:w="6824"/>
      </w:tblGrid>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2F7FC"/>
            <w:tcMar>
              <w:top w:w="75" w:type="dxa"/>
              <w:left w:w="150" w:type="dxa"/>
              <w:bottom w:w="75" w:type="dxa"/>
              <w:right w:w="150" w:type="dxa"/>
            </w:tcMar>
          </w:tcPr>
          <w:p>
            <w:pPr>
              <w:spacing w:before="30" w:after="30" w:line="300"/>
              <w:ind w:firstLine="0"/>
              <w:rPr>
                <w:rFonts w:ascii="Microsoft YaHei" w:eastAsia="微软雅黑" w:hAnsi="Microsoft YaHei"/>
                <w:b/>
                <w:color w:val="1F4E79"/>
                <w:sz w:val="19"/>
              </w:rPr>
            </w:pPr>
            <w:r>
              <w:rPr>
                <w:rFonts w:ascii="Microsoft YaHei" w:eastAsia="微软雅黑" w:hAnsi="Microsoft YaHei" w:hint="eastAsia"/>
                <w:b/>
                <w:color w:val="1F4E79"/>
                <w:sz w:val="19"/>
              </w:rPr>
              <w:t>赛题编号</w:t>
            </w:r>
          </w:p>
        </w:tc>
        <w:tc>
          <w:tcPr>
            <w:tcBorders>
              <w:top w:val="single" w:sz="5" w:space="0" w:color="D3DCE6"/>
              <w:left w:val="single" w:sz="5" w:space="0" w:color="D3DCE6"/>
              <w:bottom w:val="single" w:sz="5" w:space="0" w:color="D3DCE6"/>
              <w:right w:val="single" w:sz="5" w:space="0" w:color="D3DCE6"/>
            </w:tcBorders>
            <w:shd w:val="clear" w:color="auto" w:fill="FFFFFF"/>
            <w:tcMar>
              <w:top w:w="75" w:type="dxa"/>
              <w:left w:w="150" w:type="dxa"/>
              <w:bottom w:w="75" w:type="dxa"/>
              <w:right w:w="150" w:type="dxa"/>
            </w:tcMar>
          </w:tcPr>
          <w:p>
            <w:pPr>
              <w:spacing w:before="30" w:after="30" w:line="300"/>
              <w:ind w:firstLine="0"/>
              <w:rPr>
                <w:rFonts w:ascii="Times New Roman" w:eastAsia="宋体" w:hAnsi="Times New Roman"/>
                <w:b w:val="0"/>
                <w:color w:val="1F2937"/>
                <w:sz w:val="20"/>
              </w:rPr>
            </w:pPr>
            <w:r>
              <w:rPr>
                <w:rFonts w:ascii="Times New Roman" w:eastAsia="宋体" w:hAnsi="Times New Roman" w:hint="eastAsia"/>
                <w:b w:val="0"/>
                <w:color w:val="1F2937"/>
                <w:sz w:val="20"/>
              </w:rPr>
              <w:t>XH-202620  面向一流学科建设的学科垂类大模型与创新应用开发</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2F7FC"/>
            <w:tcMar>
              <w:top w:w="75" w:type="dxa"/>
              <w:left w:w="150" w:type="dxa"/>
              <w:bottom w:w="75" w:type="dxa"/>
              <w:right w:w="150" w:type="dxa"/>
            </w:tcMar>
          </w:tcPr>
          <w:p>
            <w:pPr>
              <w:spacing w:before="30" w:after="30" w:line="300"/>
              <w:ind w:firstLine="0"/>
              <w:rPr>
                <w:rFonts w:ascii="Microsoft YaHei" w:eastAsia="微软雅黑" w:hAnsi="Microsoft YaHei"/>
                <w:b/>
                <w:color w:val="1F4E79"/>
                <w:sz w:val="19"/>
              </w:rPr>
            </w:pPr>
            <w:r>
              <w:rPr>
                <w:rFonts w:ascii="Microsoft YaHei" w:eastAsia="微软雅黑" w:hAnsi="Microsoft YaHei" w:hint="eastAsia"/>
                <w:b/>
                <w:color w:val="1F4E79"/>
                <w:sz w:val="19"/>
              </w:rPr>
              <w:t>学科方向</w:t>
            </w:r>
          </w:p>
        </w:tc>
        <w:tc>
          <w:tcPr>
            <w:tcBorders>
              <w:top w:val="single" w:sz="5" w:space="0" w:color="D3DCE6"/>
              <w:left w:val="single" w:sz="5" w:space="0" w:color="D3DCE6"/>
              <w:bottom w:val="single" w:sz="5" w:space="0" w:color="D3DCE6"/>
              <w:right w:val="single" w:sz="5" w:space="0" w:color="D3DCE6"/>
            </w:tcBorders>
            <w:shd w:val="clear" w:color="auto" w:fill="FFFFFF"/>
            <w:tcMar>
              <w:top w:w="75" w:type="dxa"/>
              <w:left w:w="150" w:type="dxa"/>
              <w:bottom w:w="75" w:type="dxa"/>
              <w:right w:w="150" w:type="dxa"/>
            </w:tcMar>
          </w:tcPr>
          <w:p>
            <w:pPr>
              <w:spacing w:before="30" w:after="30" w:line="300"/>
              <w:ind w:firstLine="0"/>
              <w:rPr>
                <w:rFonts w:ascii="Times New Roman" w:eastAsia="宋体" w:hAnsi="Times New Roman"/>
                <w:b w:val="0"/>
                <w:color w:val="1F2937"/>
                <w:sz w:val="20"/>
              </w:rPr>
            </w:pPr>
            <w:r>
              <w:rPr>
                <w:rFonts w:ascii="Times New Roman" w:eastAsia="宋体" w:hAnsi="Times New Roman" w:hint="eastAsia"/>
                <w:b w:val="0"/>
                <w:color w:val="1F2937"/>
                <w:sz w:val="20"/>
              </w:rPr>
              <w:t>计算机科学与技术（课程载体：《数据结构与算法》）</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2F7FC"/>
            <w:tcMar>
              <w:top w:w="75" w:type="dxa"/>
              <w:left w:w="150" w:type="dxa"/>
              <w:bottom w:w="75" w:type="dxa"/>
              <w:right w:w="150" w:type="dxa"/>
            </w:tcMar>
          </w:tcPr>
          <w:p>
            <w:pPr>
              <w:spacing w:before="30" w:after="30" w:line="300"/>
              <w:ind w:firstLine="0"/>
              <w:rPr>
                <w:rFonts w:ascii="Microsoft YaHei" w:eastAsia="微软雅黑" w:hAnsi="Microsoft YaHei"/>
                <w:b/>
                <w:color w:val="1F4E79"/>
                <w:sz w:val="19"/>
              </w:rPr>
            </w:pPr>
            <w:r>
              <w:rPr>
                <w:rFonts w:ascii="Microsoft YaHei" w:eastAsia="微软雅黑" w:hAnsi="Microsoft YaHei" w:hint="eastAsia"/>
                <w:b/>
                <w:color w:val="1F4E79"/>
                <w:sz w:val="19"/>
              </w:rPr>
              <w:t>文档类型</w:t>
            </w:r>
          </w:p>
        </w:tc>
        <w:tc>
          <w:tcPr>
            <w:tcBorders>
              <w:top w:val="single" w:sz="5" w:space="0" w:color="D3DCE6"/>
              <w:left w:val="single" w:sz="5" w:space="0" w:color="D3DCE6"/>
              <w:bottom w:val="single" w:sz="5" w:space="0" w:color="D3DCE6"/>
              <w:right w:val="single" w:sz="5" w:space="0" w:color="D3DCE6"/>
            </w:tcBorders>
            <w:shd w:val="clear" w:color="auto" w:fill="FFFFFF"/>
            <w:tcMar>
              <w:top w:w="75" w:type="dxa"/>
              <w:left w:w="150" w:type="dxa"/>
              <w:bottom w:w="75" w:type="dxa"/>
              <w:right w:w="150" w:type="dxa"/>
            </w:tcMar>
          </w:tcPr>
          <w:p>
            <w:pPr>
              <w:spacing w:before="30" w:after="30" w:line="300"/>
              <w:ind w:firstLine="0"/>
              <w:rPr>
                <w:rFonts w:ascii="Times New Roman" w:eastAsia="宋体" w:hAnsi="Times New Roman"/>
                <w:b w:val="0"/>
                <w:color w:val="1F2937"/>
                <w:sz w:val="20"/>
              </w:rPr>
            </w:pPr>
            <w:r>
              <w:rPr>
                <w:rFonts w:ascii="Times New Roman" w:eastAsia="宋体" w:hAnsi="Times New Roman" w:hint="eastAsia"/>
                <w:b w:val="0"/>
                <w:color w:val="1F2937"/>
                <w:sz w:val="20"/>
              </w:rPr>
              <w:t>项目功能与技术说明（含系统架构、技术栈、优势与验证）</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2F7FC"/>
            <w:tcMar>
              <w:top w:w="75" w:type="dxa"/>
              <w:left w:w="150" w:type="dxa"/>
              <w:bottom w:w="75" w:type="dxa"/>
              <w:right w:w="150" w:type="dxa"/>
            </w:tcMar>
          </w:tcPr>
          <w:p>
            <w:pPr>
              <w:spacing w:before="30" w:after="30" w:line="300"/>
              <w:ind w:firstLine="0"/>
              <w:rPr>
                <w:rFonts w:ascii="Microsoft YaHei" w:eastAsia="微软雅黑" w:hAnsi="Microsoft YaHei"/>
                <w:b/>
                <w:color w:val="1F4E79"/>
                <w:sz w:val="19"/>
              </w:rPr>
            </w:pPr>
            <w:r>
              <w:rPr>
                <w:rFonts w:ascii="Microsoft YaHei" w:eastAsia="微软雅黑" w:hAnsi="Microsoft YaHei" w:hint="eastAsia"/>
                <w:b/>
                <w:color w:val="1F4E79"/>
                <w:sz w:val="19"/>
              </w:rPr>
              <w:t>覆盖场景</w:t>
            </w:r>
          </w:p>
        </w:tc>
        <w:tc>
          <w:tcPr>
            <w:tcBorders>
              <w:top w:val="single" w:sz="5" w:space="0" w:color="D3DCE6"/>
              <w:left w:val="single" w:sz="5" w:space="0" w:color="D3DCE6"/>
              <w:bottom w:val="single" w:sz="5" w:space="0" w:color="D3DCE6"/>
              <w:right w:val="single" w:sz="5" w:space="0" w:color="D3DCE6"/>
            </w:tcBorders>
            <w:shd w:val="clear" w:color="auto" w:fill="FFFFFF"/>
            <w:tcMar>
              <w:top w:w="75" w:type="dxa"/>
              <w:left w:w="150" w:type="dxa"/>
              <w:bottom w:w="75" w:type="dxa"/>
              <w:right w:w="150" w:type="dxa"/>
            </w:tcMar>
          </w:tcPr>
          <w:p>
            <w:pPr>
              <w:spacing w:before="30" w:after="30" w:line="300"/>
              <w:ind w:firstLine="0"/>
              <w:rPr>
                <w:rFonts w:ascii="Times New Roman" w:eastAsia="宋体" w:hAnsi="Times New Roman"/>
                <w:b w:val="0"/>
                <w:color w:val="1F2937"/>
                <w:sz w:val="20"/>
              </w:rPr>
            </w:pPr>
            <w:r>
              <w:rPr>
                <w:rFonts w:ascii="Times New Roman" w:eastAsia="宋体" w:hAnsi="Times New Roman" w:hint="eastAsia"/>
                <w:b w:val="0"/>
                <w:color w:val="1F2937"/>
                <w:sz w:val="20"/>
              </w:rPr>
              <w:t>助学 · 助教 · 助研，共 12 个可编排智能体 + 课程空间教学闭环</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2F7FC"/>
            <w:tcMar>
              <w:top w:w="75" w:type="dxa"/>
              <w:left w:w="150" w:type="dxa"/>
              <w:bottom w:w="75" w:type="dxa"/>
              <w:right w:w="150" w:type="dxa"/>
            </w:tcMar>
          </w:tcPr>
          <w:p>
            <w:pPr>
              <w:spacing w:before="30" w:after="30" w:line="300"/>
              <w:ind w:firstLine="0"/>
              <w:rPr>
                <w:rFonts w:ascii="Microsoft YaHei" w:eastAsia="微软雅黑" w:hAnsi="Microsoft YaHei"/>
                <w:b/>
                <w:color w:val="1F4E79"/>
                <w:sz w:val="19"/>
              </w:rPr>
            </w:pPr>
            <w:r>
              <w:rPr>
                <w:rFonts w:ascii="Microsoft YaHei" w:eastAsia="微软雅黑" w:hAnsi="Microsoft YaHei" w:hint="eastAsia"/>
                <w:b/>
                <w:color w:val="1F4E79"/>
                <w:sz w:val="19"/>
              </w:rPr>
              <w:t>文档版本</w:t>
            </w:r>
          </w:p>
        </w:tc>
        <w:tc>
          <w:tcPr>
            <w:tcBorders>
              <w:top w:val="single" w:sz="5" w:space="0" w:color="D3DCE6"/>
              <w:left w:val="single" w:sz="5" w:space="0" w:color="D3DCE6"/>
              <w:bottom w:val="single" w:sz="5" w:space="0" w:color="D3DCE6"/>
              <w:right w:val="single" w:sz="5" w:space="0" w:color="D3DCE6"/>
            </w:tcBorders>
            <w:shd w:val="clear" w:color="auto" w:fill="FFFFFF"/>
            <w:tcMar>
              <w:top w:w="75" w:type="dxa"/>
              <w:left w:w="150" w:type="dxa"/>
              <w:bottom w:w="75" w:type="dxa"/>
              <w:right w:w="150" w:type="dxa"/>
            </w:tcMar>
          </w:tcPr>
          <w:p>
            <w:pPr>
              <w:spacing w:before="30" w:after="30" w:line="300"/>
              <w:ind w:firstLine="0"/>
              <w:rPr>
                <w:rFonts w:ascii="Times New Roman" w:eastAsia="宋体" w:hAnsi="Times New Roman"/>
                <w:b w:val="0"/>
                <w:color w:val="1F2937"/>
                <w:sz w:val="20"/>
              </w:rPr>
            </w:pPr>
            <w:r>
              <w:rPr>
                <w:rFonts w:ascii="Times New Roman" w:eastAsia="宋体" w:hAnsi="Times New Roman"/>
                <w:b w:val="0"/>
                <w:color w:val="1F2937"/>
                <w:sz w:val="20"/>
              </w:rPr>
              <w:t>V1.0</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2F7FC"/>
            <w:tcMar>
              <w:top w:w="75" w:type="dxa"/>
              <w:left w:w="150" w:type="dxa"/>
              <w:bottom w:w="75" w:type="dxa"/>
              <w:right w:w="150" w:type="dxa"/>
            </w:tcMar>
          </w:tcPr>
          <w:p>
            <w:pPr>
              <w:spacing w:before="30" w:after="30" w:line="300"/>
              <w:ind w:firstLine="0"/>
              <w:rPr>
                <w:rFonts w:ascii="Microsoft YaHei" w:eastAsia="微软雅黑" w:hAnsi="Microsoft YaHei"/>
                <w:b/>
                <w:color w:val="1F4E79"/>
                <w:sz w:val="19"/>
              </w:rPr>
            </w:pPr>
            <w:r>
              <w:rPr>
                <w:rFonts w:ascii="Microsoft YaHei" w:eastAsia="微软雅黑" w:hAnsi="Microsoft YaHei" w:hint="eastAsia"/>
                <w:b/>
                <w:color w:val="1F4E79"/>
                <w:sz w:val="19"/>
              </w:rPr>
              <w:t>编制日期</w:t>
            </w:r>
          </w:p>
        </w:tc>
        <w:tc>
          <w:tcPr>
            <w:tcBorders>
              <w:top w:val="single" w:sz="5" w:space="0" w:color="D3DCE6"/>
              <w:left w:val="single" w:sz="5" w:space="0" w:color="D3DCE6"/>
              <w:bottom w:val="single" w:sz="5" w:space="0" w:color="D3DCE6"/>
              <w:right w:val="single" w:sz="5" w:space="0" w:color="D3DCE6"/>
            </w:tcBorders>
            <w:shd w:val="clear" w:color="auto" w:fill="FFFFFF"/>
            <w:tcMar>
              <w:top w:w="75" w:type="dxa"/>
              <w:left w:w="150" w:type="dxa"/>
              <w:bottom w:w="75" w:type="dxa"/>
              <w:right w:w="150" w:type="dxa"/>
            </w:tcMar>
          </w:tcPr>
          <w:p>
            <w:pPr>
              <w:spacing w:before="30" w:after="30" w:line="300"/>
              <w:ind w:firstLine="0"/>
              <w:rPr>
                <w:rFonts w:ascii="Times New Roman" w:eastAsia="宋体" w:hAnsi="Times New Roman"/>
                <w:b w:val="0"/>
                <w:color w:val="1F2937"/>
                <w:sz w:val="20"/>
              </w:rPr>
            </w:pPr>
            <w:r>
              <w:rPr>
                <w:rFonts w:ascii="Times New Roman" w:eastAsia="宋体" w:hAnsi="Times New Roman" w:hint="eastAsia"/>
                <w:b w:val="0"/>
                <w:color w:val="1F2937"/>
                <w:sz w:val="20"/>
              </w:rPr>
              <w:t>2026 年 10 月</w:t>
            </w:r>
          </w:p>
        </w:tc>
      </w:tr>
    </w:tbl>
    <w:p>
      <w:pPr>
        <w:spacing w:before="0" w:after="0" w:line="240"/>
        <w:ind w:firstLine="0"/>
        <w:rPr>
          <w:rFonts w:ascii="Times New Roman" w:eastAsia="宋体" w:hAnsi="Times New Roman"/>
          <w:sz w:val="2"/>
        </w:rPr>
      </w:pPr>
    </w:p>
    <w:p>
      <w:pPr>
        <w:spacing w:before="0" w:after="0" w:line="240"/>
        <w:ind w:firstLine="0"/>
        <w:rPr>
          <w:rFonts w:ascii="Times New Roman" w:eastAsia="宋体" w:hAnsi="Times New Roman"/>
          <w:sz w:val="2"/>
        </w:rPr>
      </w:pPr>
    </w:p>
    <w:tbl>
      <w:tblPr>
        <w:tblW w:w="8504" w:type="dxa"/>
        <w:jc w:val="left"/>
        <w:tblInd w:w="0" w:type="dxa"/>
      </w:tblPr>
      <w:tblGrid>
        <w:gridCol w:w="2126"/>
        <w:gridCol w:w="2126"/>
        <w:gridCol w:w="2126"/>
        <w:gridCol w:w="2126"/>
      </w:tblGrid>
      <w:tr>
        <w:trPr>
          <w:trHeight w:val="450" w:hRule="atLeast"/>
          <w:tblHeader w:val="0"/>
        </w:trPr>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0" w:line="264"/>
              <w:ind w:firstLine="0"/>
              <w:jc w:val="center"/>
              <w:rPr>
                <w:rFonts w:ascii="Microsoft YaHei" w:eastAsia="微软雅黑" w:hAnsi="Microsoft YaHei"/>
                <w:b/>
                <w:color w:val="1F4E79"/>
                <w:sz w:val="40"/>
              </w:rPr>
            </w:pPr>
            <w:r>
              <w:rPr>
                <w:rFonts w:ascii="Microsoft YaHei" w:eastAsia="微软雅黑" w:hAnsi="Microsoft YaHei"/>
                <w:b/>
                <w:color w:val="1F4E79"/>
                <w:sz w:val="40"/>
              </w:rPr>
              <w:t>3</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0" w:line="264"/>
              <w:ind w:firstLine="0"/>
              <w:jc w:val="center"/>
              <w:rPr>
                <w:rFonts w:ascii="Microsoft YaHei" w:eastAsia="微软雅黑" w:hAnsi="Microsoft YaHei"/>
                <w:b/>
                <w:color w:val="1F4E79"/>
                <w:sz w:val="40"/>
              </w:rPr>
            </w:pPr>
            <w:r>
              <w:rPr>
                <w:rFonts w:ascii="Microsoft YaHei" w:eastAsia="微软雅黑" w:hAnsi="Microsoft YaHei"/>
                <w:b/>
                <w:color w:val="1F4E79"/>
                <w:sz w:val="40"/>
              </w:rPr>
              <w:t>12</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0" w:line="264"/>
              <w:ind w:firstLine="0"/>
              <w:jc w:val="center"/>
              <w:rPr>
                <w:rFonts w:ascii="Microsoft YaHei" w:eastAsia="微软雅黑" w:hAnsi="Microsoft YaHei"/>
                <w:b/>
                <w:color w:val="1F4E79"/>
                <w:sz w:val="40"/>
              </w:rPr>
            </w:pPr>
            <w:r>
              <w:rPr>
                <w:rFonts w:ascii="Microsoft YaHei" w:eastAsia="微软雅黑" w:hAnsi="Microsoft YaHei"/>
                <w:b/>
                <w:color w:val="1F4E79"/>
                <w:sz w:val="40"/>
              </w:rPr>
              <w:t>24</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0" w:line="264"/>
              <w:ind w:firstLine="0"/>
              <w:jc w:val="center"/>
              <w:rPr>
                <w:rFonts w:ascii="Microsoft YaHei" w:eastAsia="微软雅黑" w:hAnsi="Microsoft YaHei"/>
                <w:b/>
                <w:color w:val="1F4E79"/>
                <w:sz w:val="40"/>
              </w:rPr>
            </w:pPr>
            <w:r>
              <w:rPr>
                <w:rFonts w:ascii="Microsoft YaHei" w:eastAsia="微软雅黑" w:hAnsi="Microsoft YaHei"/>
                <w:b/>
                <w:color w:val="1F4E79"/>
                <w:sz w:val="40"/>
              </w:rPr>
              <w:t>36</w:t>
            </w:r>
          </w:p>
        </w:tc>
      </w:tr>
      <w:tr>
        <w:trPr>
          <w:trHeight w:val="450" w:hRule="atLeast"/>
          <w:tblHeader w:val="0"/>
        </w:trPr>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90" w:line="264"/>
              <w:ind w:firstLine="0"/>
              <w:jc w:val="center"/>
              <w:rPr>
                <w:rFonts w:ascii="Microsoft YaHei" w:eastAsia="微软雅黑" w:hAnsi="Microsoft YaHei"/>
                <w:b w:val="0"/>
                <w:color w:val="5B6572"/>
                <w:sz w:val="17"/>
              </w:rPr>
            </w:pPr>
            <w:r>
              <w:rPr>
                <w:rFonts w:ascii="Microsoft YaHei" w:eastAsia="微软雅黑" w:hAnsi="Microsoft YaHei" w:hint="eastAsia"/>
                <w:b w:val="0"/>
                <w:color w:val="5B6572"/>
                <w:sz w:val="17"/>
              </w:rPr>
              <w:t>场景覆盖</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90" w:line="264"/>
              <w:ind w:firstLine="0"/>
              <w:jc w:val="center"/>
              <w:rPr>
                <w:rFonts w:ascii="Microsoft YaHei" w:eastAsia="微软雅黑" w:hAnsi="Microsoft YaHei"/>
                <w:b w:val="0"/>
                <w:color w:val="5B6572"/>
                <w:sz w:val="17"/>
              </w:rPr>
            </w:pPr>
            <w:r>
              <w:rPr>
                <w:rFonts w:ascii="Microsoft YaHei" w:eastAsia="微软雅黑" w:hAnsi="Microsoft YaHei" w:hint="eastAsia"/>
                <w:b w:val="0"/>
                <w:color w:val="5B6572"/>
                <w:sz w:val="17"/>
              </w:rPr>
              <w:t>可编排智能体</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90" w:line="264"/>
              <w:ind w:firstLine="0"/>
              <w:jc w:val="center"/>
              <w:rPr>
                <w:rFonts w:ascii="Microsoft YaHei" w:eastAsia="微软雅黑" w:hAnsi="Microsoft YaHei"/>
                <w:b w:val="0"/>
                <w:color w:val="5B6572"/>
                <w:sz w:val="17"/>
              </w:rPr>
            </w:pPr>
            <w:r>
              <w:rPr>
                <w:rFonts w:ascii="Microsoft YaHei" w:eastAsia="微软雅黑" w:hAnsi="Microsoft YaHei" w:hint="eastAsia"/>
                <w:b w:val="0"/>
                <w:color w:val="5B6572"/>
                <w:sz w:val="17"/>
              </w:rPr>
              <w:t>业务数据表</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90" w:line="264"/>
              <w:ind w:firstLine="0"/>
              <w:jc w:val="center"/>
              <w:rPr>
                <w:rFonts w:ascii="Microsoft YaHei" w:eastAsia="微软雅黑" w:hAnsi="Microsoft YaHei"/>
                <w:b w:val="0"/>
                <w:color w:val="5B6572"/>
                <w:sz w:val="17"/>
              </w:rPr>
            </w:pPr>
            <w:r>
              <w:rPr>
                <w:rFonts w:ascii="Microsoft YaHei" w:eastAsia="微软雅黑" w:hAnsi="Microsoft YaHei" w:hint="eastAsia"/>
                <w:b w:val="0"/>
                <w:color w:val="5B6572"/>
                <w:sz w:val="17"/>
              </w:rPr>
              <w:t>端到端自检</w:t>
            </w:r>
          </w:p>
        </w:tc>
      </w:tr>
    </w:tbl>
    <w:p>
      <w:pPr>
        <w:spacing w:before="0" w:after="0" w:line="240"/>
        <w:ind w:firstLine="0"/>
        <w:rPr>
          <w:rFonts w:ascii="Times New Roman" w:eastAsia="宋体" w:hAnsi="Times New Roman"/>
          <w:sz w:val="2"/>
        </w:rPr>
      </w:pPr>
    </w:p>
    <w:p>
      <w:pPr>
        <w:spacing w:before="0" w:after="0" w:line="240"/>
        <w:ind w:firstLine="0"/>
        <w:rPr>
          <w:rFonts w:ascii="Times New Roman" w:eastAsia="宋体" w:hAnsi="Times New Roman"/>
          <w:sz w:val="2"/>
        </w:rPr>
      </w:pPr>
    </w:p>
    <w:p>
      <w:pPr>
        <w:keepNext w:val="0"/>
        <w:keepLines w:val="0"/>
        <w:pageBreakBefore w:val="0"/>
        <w:widowControl/>
        <w:spacing w:before="0" w:after="0" w:line="360"/>
        <w:ind w:left="0" w:firstLine="0" w:hanging="0"/>
        <w:jc w:val="center"/>
        <w:rPr>
          <w:rFonts w:ascii="Times New Roman" w:eastAsia="宋体" w:hAnsi="Times New Roman"/>
          <w:b w:val="0"/>
          <w:color w:val="5B6572"/>
          <w:sz w:val="19"/>
        </w:rPr>
      </w:pPr>
      <w:r>
        <w:rPr>
          <w:rFonts w:ascii="Times New Roman" w:eastAsia="宋体" w:hAnsi="Times New Roman" w:hint="eastAsia"/>
          <w:b w:val="0"/>
          <w:color w:val="5B6572"/>
          <w:sz w:val="19"/>
        </w:rPr>
        <w:t>全本地部署  ·  知识库检索增强  ·  引用逐条可追溯</w:t>
      </w:r>
    </w:p>
    <w:p>
      <w:pPr>
        <w:keepNext/>
        <w:pageBreakBefore/>
        <w:pBdr>
          <w:bottom w:val="single" w:sz="6" w:space="5" w:color="1F4E79"/>
        </w:pBdr>
        <w:spacing w:before="0" w:after="180"/>
        <w:outlineLvl w:val="0"/>
        <w:rPr>
          <w:rFonts w:ascii="Microsoft YaHei" w:eastAsia="微软雅黑" w:hAnsi="Microsoft YaHei"/>
          <w:b/>
          <w:color w:val="1F4E79"/>
          <w:sz w:val="36"/>
        </w:rPr>
      </w:pPr>
      <w:r>
        <w:rPr>
          <w:rFonts w:ascii="Microsoft YaHei" w:eastAsia="微软雅黑" w:hAnsi="Microsoft YaHei" w:hint="eastAsia"/>
          <w:b/>
          <w:color w:val="1F4E79"/>
          <w:sz w:val="36"/>
        </w:rPr>
        <w:t>文档结构</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本文件按“项目概况—系统架构—功能实现—技术方案—优势与验证—部署使用”的顺序组织，既可作为项目技术说明，也可作为评审核验的索引。第 3 章是全文重点，逐个说明平台已经实现的功能、输入输出与使用方式。</w:t>
      </w:r>
    </w:p>
    <w:tbl>
      <w:tblPr>
        <w:tblW w:w="8504" w:type="dxa"/>
        <w:jc w:val="left"/>
        <w:tblInd w:w="0" w:type="dxa"/>
        <w:tblCellMar>
          <w:top w:w="60" w:type="dxa"/>
          <w:left w:w="90" w:type="dxa"/>
          <w:bottom w:w="60" w:type="dxa"/>
          <w:right w:w="90" w:type="dxa"/>
        </w:tblCellMar>
      </w:tblPr>
      <w:tblGrid>
        <w:gridCol w:w="2250"/>
        <w:gridCol w:w="625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章节</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主要内容</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第 1 章  项目概述</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项目定位、真实痛点、赛题 8 项要求的完成度、平台规模指标</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第 2 章  系统架构</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六层架构、端到端链路、后端模块、前端页面、数据模型、知识库与部署架构</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第 3 章  已实现功能</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问答与多轮对话、12 个智能体、课程空间、知识库、画像、评测、资源、合规与工具链</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第 4 章  技术栈与关键技术</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技术选型、混合检索、工作流引擎、多模型降级、多模态、C++ 内核、LoRA、前端</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第 5 章  项目优势</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可信、可复现、可推广、性能、教学闭环、合规，以及与通用套壳方案的对比</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第 6 章  验证与效果</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36 项自检、12 题评测、多模态实测、检索性能与已知边界</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第 7 章  部署与使用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环境要求、一键启动、演示账号、换学科方法与常见问题</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附  录</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主要接口清单、智能体索引、术语表</w:t>
            </w:r>
          </w:p>
        </w:tc>
      </w:tr>
    </w:tbl>
    <w:p>
      <w:pPr>
        <w:spacing w:before="0" w:after="0" w:line="240"/>
        <w:ind w:firstLine="0"/>
        <w:rPr>
          <w:rFonts w:ascii="Times New Roman" w:eastAsia="宋体" w:hAnsi="Times New Roman"/>
          <w:sz w:val="2"/>
        </w:rPr>
      </w:pPr>
    </w:p>
    <w:p>
      <w:pPr>
        <w:keepNext w:val="0"/>
        <w:keepLines w:val="0"/>
        <w:pageBreakBefore w:val="0"/>
        <w:widowControl/>
        <w:pBdr>
          <w:left w:val="single" w:sz="13" w:space="5" w:color="2E74B5"/>
        </w:pBdr>
        <w:spacing w:before="120" w:after="180" w:line="348"/>
        <w:ind w:left="0" w:firstLine="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关注功能实现的读者可直接阅读第 3 章；关注技术方案的读者重点看第 2、4 章；评审核验请结合第 6 章的指标与附录 A 的接口清单。全文中的数字均来自仓库代码、数据库实测或 data/eval/reports 下的评测报告。</w:t>
      </w:r>
    </w:p>
    <w:p>
      <w:pPr>
        <w:keepNext/>
        <w:pageBreakBefore/>
        <w:pBdr>
          <w:bottom w:val="single" w:sz="6" w:space="5" w:color="1F4E79"/>
        </w:pBdr>
        <w:spacing w:before="0" w:after="180"/>
        <w:outlineLvl w:val="0"/>
        <w:rPr>
          <w:rFonts w:ascii="Microsoft YaHei" w:eastAsia="微软雅黑" w:hAnsi="Microsoft YaHei"/>
          <w:b/>
          <w:color w:val="1F4E79"/>
          <w:sz w:val="36"/>
        </w:rPr>
      </w:pPr>
      <w:r>
        <w:rPr>
          <w:rFonts w:ascii="Microsoft YaHei" w:eastAsia="微软雅黑" w:hAnsi="Microsoft YaHei" w:hint="eastAsia"/>
          <w:b/>
          <w:color w:val="1F4E79"/>
          <w:sz w:val="36"/>
        </w:rPr>
        <w:t>第 1 章  项目概述</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灵眸智教是一套面向高校计算机科学与技术学科的垂类大模型应用平台。平台以《数据结构与算法》课程为载体，把学科知识库、检索增强生成、多步骤智能体工作流与教学业务系统整合为一个可运行、可复现、可核查的整体，覆盖助学、助教、助研三类真实场景。</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1.1 项目定位</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与常见的“通用聊天框 + 提示词”方案不同，灵眸智教把回答质量建立在三个可验证的支点上：一是以核心教材、课程大纲、行业规范、教学案例与学术论文构成学科知识库，作为事实底座；二是用声明式注册的多步骤工作流组织检索、生成、工具调用与条件分支，使每个场景的执行过程可复现；三是对每条回答做引用核验，输出带 [n] 编号、可定位到“文档 · 章节 · 页码”的引用卡片，并对未使用的引用做剔除。</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平台的交付形态是一套可在单机离线运行的 Web 系统：Flask 提供 API 与前端托管，SQLite 或 MySQL 承载业务数据，本机 Ollama 运行 Qwen3-VL-8B 多模态模型，知识库索引与检索内核随项目分发。评审机器无需 GPU、无需联网、无需安装数据库即可启动全部功能；接入模型后则获得连贯的自然语言生成与看图能力。</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在功能范围上，平台由三块组成：12 个面向具体任务的智能体；一套仿学习通形态的课程空间，把 AI 嵌入任务点、测验、讨论、签到、通知与学情看板；以及知识库管理、学习画像、质量评测、使用看板、权限与合规等平台级支撑能力。</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1.2 建设背景与真实痛点</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赛题要求作品“切实满足该学科中一个或多个真实教学或科研场景的实际需求”。项目组在需求分析阶段把痛点按角色拆开，确保每个智能体都对应一个具体的、可被验证的教学动作，而不是为了凑场景而做的功能堆叠。</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1-1  角色痛点与平台回应</w:t>
      </w:r>
    </w:p>
    <w:tbl>
      <w:tblPr>
        <w:tblW w:w="8504" w:type="dxa"/>
        <w:jc w:val="left"/>
        <w:tblInd w:w="0" w:type="dxa"/>
        <w:tblCellMar>
          <w:top w:w="60" w:type="dxa"/>
          <w:left w:w="90" w:type="dxa"/>
          <w:bottom w:w="60" w:type="dxa"/>
          <w:right w:w="90" w:type="dxa"/>
        </w:tblCellMar>
      </w:tblPr>
      <w:tblGrid>
        <w:gridCol w:w="960"/>
        <w:gridCol w:w="3420"/>
        <w:gridCol w:w="412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角色</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典型痛点</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平台回应</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教师</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备课耗时长、主观题批改口径不一、学情统计靠手工、课堂过程数据分散</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智能备课、作业批改、学情诊断、课件素材；课程空间自动统计任务点、测验、出勤</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学生</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答疑不及时、找不到针对性资源、错题只知答案不知原因、学习路径缺乏反馈</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24 小时答疑与多轮追问、学习路径规划、错题归因、自测练习、提示词式复杂问题求解</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科研</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文献综述耗时、实验数据统计与可视化门槛高、参考文献格式易错</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前沿追踪、学术写作辅助（GB/T 7714）、科研数据分析（CSV/Excel 统计与图表）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教学管理</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教学过程难量化、预警依赖期末成绩、AI 使用缺乏留痕</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班级学情看板、预警名单、AI 生成标识与引用、使用与评测看板</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这些痛点有三个共同特征：高频、依赖学科事实、结果需要被复核。因此平台没有把目标定为“替人写完”，而是“把重复劳动压缩、把依据摆出来、把决定权留给师生”。这也是引用溯源与学术诚信守卫被设计为全局约束、而不是某个智能体选项的原因。</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1.3 总体目标与完成度</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赛题列出 8 项核心功能要求，其中第 1—4 项为必须、第 5—8 项为加分。平台 8 项全部落地，并配套可复现的验证脚本与评测报告。</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1-2  赛题要求与落地情况</w:t>
      </w:r>
    </w:p>
    <w:tbl>
      <w:tblPr>
        <w:tblW w:w="8504" w:type="dxa"/>
        <w:jc w:val="left"/>
        <w:tblInd w:w="0" w:type="dxa"/>
        <w:tblCellMar>
          <w:top w:w="60" w:type="dxa"/>
          <w:left w:w="90" w:type="dxa"/>
          <w:bottom w:w="60" w:type="dxa"/>
          <w:right w:w="90" w:type="dxa"/>
        </w:tblCellMar>
      </w:tblPr>
      <w:tblGrid>
        <w:gridCol w:w="1650"/>
        <w:gridCol w:w="5880"/>
        <w:gridCol w:w="97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赛题要求</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平台落地</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状态</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深度贴合场景需求</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 5 + 助教 4 + 助研 3，共 12 个智能体；工作流按真实教学流程编排</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已实现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交互自然流畅</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会话持久化、指代消解、多轮追问、流式输出、后续问题推荐、附件参与对话</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已实现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知识权威可信</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11 份结构化文档 / 81 个知识块，带来源类型、权威度、作者、年份、出版社</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已实现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内容可追溯</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知识块 locator、逐句 [n]、引用存在性校验、引用卡片展开原文、全链路轨迹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已实现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可复制可推广</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学科/课程/知识库/智能体配置化，改环境变量即可换学科；一键部署脚本</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已实现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内容规范 + 可自定义</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GB/T 7714 著录、复杂度标注、代码规范；画像、生成风格、课时/学段参数可调</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已实现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复杂问题求解</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复杂问题求解智能体：界定 → 拆解 → 分层求解 → 踩坑预警 → 可执行第一步</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已实现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个性化与自适应</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学习画像驱动讲解深度与练习推荐；薄弱点从错题与提问中归纳</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已实现</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除功能项外，平台还按赛题的技术建议完成了知识库构建、LoRA/SFT 微调脚本、RAG、工作流编排、多模态交互与场景化开发六项技术动作，具体见第 4 章。</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1.4 平台能力一览</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截至 2026 年 10 月，平台的主要规模指标与能力边界如下。</w:t>
      </w:r>
    </w:p>
    <w:tbl>
      <w:tblPr>
        <w:tblW w:w="8504" w:type="dxa"/>
        <w:jc w:val="left"/>
        <w:tblInd w:w="0" w:type="dxa"/>
      </w:tblPr>
      <w:tblGrid>
        <w:gridCol w:w="2126"/>
        <w:gridCol w:w="2126"/>
        <w:gridCol w:w="2126"/>
        <w:gridCol w:w="2126"/>
      </w:tblGrid>
      <w:tr>
        <w:trPr>
          <w:trHeight w:val="450" w:hRule="atLeast"/>
          <w:tblHeader/>
        </w:trPr>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0" w:line="264"/>
              <w:ind w:firstLine="0"/>
              <w:jc w:val="center"/>
              <w:rPr>
                <w:rFonts w:ascii="Microsoft YaHei" w:eastAsia="微软雅黑" w:hAnsi="Microsoft YaHei"/>
                <w:b/>
                <w:color w:val="1F4E79"/>
                <w:sz w:val="40"/>
              </w:rPr>
            </w:pPr>
            <w:r>
              <w:rPr>
                <w:rFonts w:ascii="Microsoft YaHei" w:eastAsia="微软雅黑" w:hAnsi="Microsoft YaHei"/>
                <w:b/>
                <w:color w:val="1F4E79"/>
                <w:sz w:val="40"/>
              </w:rPr>
              <w:t>3</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0" w:line="264"/>
              <w:ind w:firstLine="0"/>
              <w:jc w:val="center"/>
              <w:rPr>
                <w:rFonts w:ascii="Microsoft YaHei" w:eastAsia="微软雅黑" w:hAnsi="Microsoft YaHei"/>
                <w:b/>
                <w:color w:val="1F4E79"/>
                <w:sz w:val="40"/>
              </w:rPr>
            </w:pPr>
            <w:r>
              <w:rPr>
                <w:rFonts w:ascii="Microsoft YaHei" w:eastAsia="微软雅黑" w:hAnsi="Microsoft YaHei"/>
                <w:b/>
                <w:color w:val="1F4E79"/>
                <w:sz w:val="40"/>
              </w:rPr>
              <w:t>12</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0" w:line="264"/>
              <w:ind w:firstLine="0"/>
              <w:jc w:val="center"/>
              <w:rPr>
                <w:rFonts w:ascii="Microsoft YaHei" w:eastAsia="微软雅黑" w:hAnsi="Microsoft YaHei"/>
                <w:b/>
                <w:color w:val="1F4E79"/>
                <w:sz w:val="40"/>
              </w:rPr>
            </w:pPr>
            <w:r>
              <w:rPr>
                <w:rFonts w:ascii="Microsoft YaHei" w:eastAsia="微软雅黑" w:hAnsi="Microsoft YaHei"/>
                <w:b/>
                <w:color w:val="1F4E79"/>
                <w:sz w:val="40"/>
              </w:rPr>
              <w:t>24</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0" w:line="264"/>
              <w:ind w:firstLine="0"/>
              <w:jc w:val="center"/>
              <w:rPr>
                <w:rFonts w:ascii="Microsoft YaHei" w:eastAsia="微软雅黑" w:hAnsi="Microsoft YaHei"/>
                <w:b/>
                <w:color w:val="1F4E79"/>
                <w:sz w:val="40"/>
              </w:rPr>
            </w:pPr>
            <w:r>
              <w:rPr>
                <w:rFonts w:ascii="Microsoft YaHei" w:eastAsia="微软雅黑" w:hAnsi="Microsoft YaHei"/>
                <w:b/>
                <w:color w:val="1F4E79"/>
                <w:sz w:val="40"/>
              </w:rPr>
              <w:t>81</w:t>
            </w:r>
          </w:p>
        </w:tc>
      </w:tr>
      <w:tr>
        <w:trPr>
          <w:trHeight w:val="450" w:hRule="atLeast"/>
          <w:tblHeader w:val="0"/>
        </w:trPr>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90" w:line="264"/>
              <w:ind w:firstLine="0"/>
              <w:jc w:val="center"/>
              <w:rPr>
                <w:rFonts w:ascii="Microsoft YaHei" w:eastAsia="微软雅黑" w:hAnsi="Microsoft YaHei"/>
                <w:b w:val="0"/>
                <w:color w:val="5B6572"/>
                <w:sz w:val="17"/>
              </w:rPr>
            </w:pPr>
            <w:r>
              <w:rPr>
                <w:rFonts w:ascii="Microsoft YaHei" w:eastAsia="微软雅黑" w:hAnsi="Microsoft YaHei" w:hint="eastAsia"/>
                <w:b w:val="0"/>
                <w:color w:val="5B6572"/>
                <w:sz w:val="17"/>
              </w:rPr>
              <w:t>场景覆盖</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90" w:line="264"/>
              <w:ind w:firstLine="0"/>
              <w:jc w:val="center"/>
              <w:rPr>
                <w:rFonts w:ascii="Microsoft YaHei" w:eastAsia="微软雅黑" w:hAnsi="Microsoft YaHei"/>
                <w:b w:val="0"/>
                <w:color w:val="5B6572"/>
                <w:sz w:val="17"/>
              </w:rPr>
            </w:pPr>
            <w:r>
              <w:rPr>
                <w:rFonts w:ascii="Microsoft YaHei" w:eastAsia="微软雅黑" w:hAnsi="Microsoft YaHei" w:hint="eastAsia"/>
                <w:b w:val="0"/>
                <w:color w:val="5B6572"/>
                <w:sz w:val="17"/>
              </w:rPr>
              <w:t>可编排智能体</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90" w:line="264"/>
              <w:ind w:firstLine="0"/>
              <w:jc w:val="center"/>
              <w:rPr>
                <w:rFonts w:ascii="Microsoft YaHei" w:eastAsia="微软雅黑" w:hAnsi="Microsoft YaHei"/>
                <w:b w:val="0"/>
                <w:color w:val="5B6572"/>
                <w:sz w:val="17"/>
              </w:rPr>
            </w:pPr>
            <w:r>
              <w:rPr>
                <w:rFonts w:ascii="Microsoft YaHei" w:eastAsia="微软雅黑" w:hAnsi="Microsoft YaHei" w:hint="eastAsia"/>
                <w:b w:val="0"/>
                <w:color w:val="5B6572"/>
                <w:sz w:val="17"/>
              </w:rPr>
              <w:t>业务数据表</w:t>
            </w:r>
          </w:p>
        </w:tc>
        <w:tc>
          <w:tcPr>
            <w:tcBorders>
              <w:top w:val="nil" w:space="0"/>
              <w:left w:val="nil" w:space="0"/>
              <w:bottom w:val="nil" w:space="0"/>
              <w:right w:val="nil" w:space="0"/>
            </w:tcBorders>
            <w:shd w:val="clear" w:color="auto" w:fill="F2F7FC"/>
            <w:tcMar>
              <w:top w:w="75" w:type="dxa"/>
              <w:left w:w="150" w:type="dxa"/>
              <w:bottom w:w="75" w:type="dxa"/>
              <w:right w:w="150" w:type="dxa"/>
            </w:tcMar>
          </w:tcPr>
          <w:p>
            <w:pPr>
              <w:spacing w:before="90" w:after="90" w:line="264"/>
              <w:ind w:firstLine="0"/>
              <w:jc w:val="center"/>
              <w:rPr>
                <w:rFonts w:ascii="Microsoft YaHei" w:eastAsia="微软雅黑" w:hAnsi="Microsoft YaHei"/>
                <w:b w:val="0"/>
                <w:color w:val="5B6572"/>
                <w:sz w:val="17"/>
              </w:rPr>
            </w:pPr>
            <w:r>
              <w:rPr>
                <w:rFonts w:ascii="Microsoft YaHei" w:eastAsia="微软雅黑" w:hAnsi="Microsoft YaHei" w:hint="eastAsia"/>
                <w:b w:val="0"/>
                <w:color w:val="5B6572"/>
                <w:sz w:val="17"/>
              </w:rPr>
              <w:t>知识块</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三类场景：助学 5 个、助教 4 个、助研 3 个智能体，均有独立输入表单、工作流与产出结构。</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教学闭环：课程、章节任务点、随堂测验、讨论区、签到、通知、学情看板 7 个模块，教师与学生双视角。</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知识底座：11 份结构化文档、81 个知识块，覆盖教材 7 章、课程大纲、代码与学术诚信规范、教学案例、学术论文。</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可信机制：逐句引用、引用存在性校验、未使用引用剔除、全链路执行轨迹、AI 生成标识。</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可复现：MySQL、GPU、模型、C++ 内核任一层缺失都能自动降级，功能不缺失。</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可推广：学科名称、课程名称、知识库目录由环境变量配置，换学科不改代码。</w:t>
      </w:r>
    </w:p>
    <w:p>
      <w:pPr>
        <w:keepNext w:val="0"/>
        <w:keepLines w:val="0"/>
        <w:pageBreakBefore w:val="0"/>
        <w:widowControl/>
        <w:pBdr>
          <w:left w:val="single" w:sz="13" w:space="5" w:color="2E74B5"/>
        </w:pBdr>
        <w:spacing w:before="120" w:after="180" w:line="348"/>
        <w:ind w:left="0" w:firstLine="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一句话概括：让垂类大模型的每一条结论，都能回到教材的某一页；让每一个教学场景，都有一条可复现的执行路径。</w:t>
      </w:r>
    </w:p>
    <w:p>
      <w:pPr>
        <w:keepNext/>
        <w:pageBreakBefore/>
        <w:pBdr>
          <w:bottom w:val="single" w:sz="6" w:space="5" w:color="1F4E79"/>
        </w:pBdr>
        <w:spacing w:before="0" w:after="180"/>
        <w:outlineLvl w:val="0"/>
        <w:rPr>
          <w:rFonts w:ascii="Microsoft YaHei" w:eastAsia="微软雅黑" w:hAnsi="Microsoft YaHei"/>
          <w:b/>
          <w:color w:val="1F4E79"/>
          <w:sz w:val="36"/>
        </w:rPr>
      </w:pPr>
      <w:r>
        <w:rPr>
          <w:rFonts w:ascii="Microsoft YaHei" w:eastAsia="微软雅黑" w:hAnsi="Microsoft YaHei" w:hint="eastAsia"/>
          <w:b/>
          <w:color w:val="1F4E79"/>
          <w:sz w:val="36"/>
        </w:rPr>
        <w:t>第 2 章  系统架构</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本章说明平台的总体结构：分几层、每层由哪些模块组成、一次请求如何穿过这些层、数据如何组织、知识库如何构建与检索、系统如何部署。</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2.1 设计原则</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分层解耦：表现、接入、编排、能力、数据、基础设施六层单向依赖。新增智能体不改接入层，新增页面不改编排层。</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可降级：数据库、模型、检索内核、可选依赖均有兜底路径；任何一层不可用时给出明确提示，而不是 500。</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配置驱动：学科、课程、模型提供方、检索引擎、上下文预算、上传上限均来自配置或环境变量。</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全程留痕：工作流每一步、引用来源、模型提供方、耗时、降级状态都落库，可在界面与看板复核。</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2.2 分层架构</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平台采用六层结构，自上而下依次为表现层、接入层、编排层、能力层、数据层与基础设施层。</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2-1  系统分层与职责</w:t>
      </w:r>
    </w:p>
    <w:tbl>
      <w:tblPr>
        <w:tblW w:w="8504" w:type="dxa"/>
        <w:jc w:val="left"/>
        <w:tblInd w:w="0" w:type="dxa"/>
        <w:tblCellMar>
          <w:top w:w="60" w:type="dxa"/>
          <w:left w:w="90" w:type="dxa"/>
          <w:bottom w:w="60" w:type="dxa"/>
          <w:right w:w="90" w:type="dxa"/>
        </w:tblCellMar>
      </w:tblPr>
      <w:tblGrid>
        <w:gridCol w:w="990"/>
        <w:gridCol w:w="1920"/>
        <w:gridCol w:w="3870"/>
        <w:gridCol w:w="172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层次</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组成</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关键实现</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职责</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表现层</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单页 Web 应用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原生 JS + CSS，Flask 同源托管，无需构建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交互与渲染</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接入层</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Flask Blueprint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auth_bp / ext_bp / lms_bp，统一 /api/v1 前缀</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协议与权限边界</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编排层</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智能体工作流引擎</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注册表 + AgentContext，条件分支、引用核验、轨迹</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任务编排</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能力层</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检索、生成、视觉、解析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kb_service / llm_client / vision_service / doc_parser</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领域能力</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数据层</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ORM 与本地索引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24 张业务表、kb_chunks.json、kb_vectors.npy、附件目录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持久化</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基础设施</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配置与运行时</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config.py、models/ollama、native/kbcore.dll</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运行支撑</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分层的关键不是画图，而是约束依赖方向：编排层只通过能力层暴露的函数工作，能力层不感知 HTTP，数据层不感知业务语义。这样同一套检索与生成能力可以同时服务于智能体、课程空间与评测脚本。</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2.3 一次问答的端到端链路</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以“为什么快速排序最坏是 O(n²)”为例，一次请求依次经过六个阶段。</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2-2  请求处理链路</w:t>
      </w:r>
    </w:p>
    <w:tbl>
      <w:tblPr>
        <w:tblW w:w="8504" w:type="dxa"/>
        <w:jc w:val="left"/>
        <w:tblInd w:w="0" w:type="dxa"/>
        <w:tblCellMar>
          <w:top w:w="60" w:type="dxa"/>
          <w:left w:w="90" w:type="dxa"/>
          <w:bottom w:w="60" w:type="dxa"/>
          <w:right w:w="90" w:type="dxa"/>
        </w:tblCellMar>
      </w:tblPr>
      <w:tblGrid>
        <w:gridCol w:w="930"/>
        <w:gridCol w:w="3390"/>
        <w:gridCol w:w="2940"/>
        <w:gridCol w:w="124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阶段</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动作</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关键实现</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输出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① 接收</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前端 POST /api/v1/chat 或 /agents/tutor/run</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Flask 路由、CORS、统一 JSON 响应</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请求对象</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② 鉴权与守卫</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识别 Session 或 Bearer Token；学术诚信规则扫描全部输入字段</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auth_utils、check_academic_integrity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用户上下文或拒绝</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③ 编排</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读取会话历史与学习画像，做指代消解，选择智能体与分支</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agents._resolve_query、AgentContext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执行计划</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④ 检索</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查询清洗、分词、BM25 + 向量、覆盖率/短语/实体/权威度加权</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kb_service.search、C++ 内核</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Top-K 知识块</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⑤ 生成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组装系统提示与检索资料，调用本机模型；无模型时走离线编排</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llm_client.complete、OfflineComposer</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回答与引用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⑥ 核验与落库</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校验 [n] 是否存在、剔除未使用引用、写会话/轨迹/埋点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verify_citations、telemetry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前端可渲染结果</w:t>
            </w:r>
          </w:p>
        </w:tc>
      </w:tr>
    </w:tbl>
    <w:p>
      <w:pPr>
        <w:spacing w:before="0" w:after="0" w:line="240"/>
        <w:ind w:firstLine="0"/>
        <w:rPr>
          <w:rFonts w:ascii="Times New Roman" w:eastAsia="宋体" w:hAnsi="Times New Roman"/>
          <w:sz w:val="2"/>
        </w:rPr>
      </w:pPr>
    </w:p>
    <w:p>
      <w:pPr>
        <w:keepNext w:val="0"/>
        <w:keepLines w:val="0"/>
        <w:pageBreakBefore w:val="0"/>
        <w:widowControl/>
        <w:spacing w:before="30" w:after="150" w:line="324"/>
        <w:ind w:left="0" w:firstLine="0" w:hanging="0"/>
        <w:jc w:val="justified"/>
        <w:rPr>
          <w:rFonts w:ascii="Times New Roman" w:eastAsia="宋体" w:hAnsi="Times New Roman"/>
          <w:b w:val="0"/>
          <w:color w:val="5B6572"/>
          <w:sz w:val="18"/>
        </w:rPr>
      </w:pPr>
      <w:r>
        <w:rPr>
          <w:rFonts w:ascii="Times New Roman" w:eastAsia="宋体" w:hAnsi="Times New Roman" w:hint="eastAsia"/>
          <w:b w:val="0"/>
          <w:color w:val="5B6572"/>
          <w:sz w:val="18"/>
        </w:rPr>
        <w:t>降级路径：模型不可用时，第 ⑤ 步切换到 OfflineComposer，按任务类型把知识库原文组织成结构化摘录，回答开头明确标注“离线检索模式”；引用、轨迹、核验逻辑完全一致。</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这条链路有两个工程上的取舍：其一，检索与生成解耦，检索结果是纯数据，可被智能体、课程空间和评测复用；其二，引用核验放在生成之后、落库之前，保证前端拿到的引用一定真实存在于本轮检索结果中。</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2.4 后端模块职责</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后端共 18 个模块，按“应用—接口—编排—能力—数据”划分。下表给出模块清单与职责，便于从代码定位功能。</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2-3  后端模块清单</w:t>
      </w:r>
    </w:p>
    <w:tbl>
      <w:tblPr>
        <w:tblW w:w="8504" w:type="dxa"/>
        <w:jc w:val="left"/>
        <w:tblInd w:w="0" w:type="dxa"/>
        <w:tblCellMar>
          <w:top w:w="60" w:type="dxa"/>
          <w:left w:w="90" w:type="dxa"/>
          <w:bottom w:w="60" w:type="dxa"/>
          <w:right w:w="90" w:type="dxa"/>
        </w:tblCellMar>
      </w:tblPr>
      <w:tblGrid>
        <w:gridCol w:w="1170"/>
        <w:gridCol w:w="2220"/>
        <w:gridCol w:w="511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模块</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文件</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主要职责</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应用入口</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app.py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应用创建、蓝图注册、静态托管、schema 迁移、健康检查</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配置</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config.py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环境变量读取、数据库/模型/检索/上传的降级决策</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平台模型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models.py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平台侧 12 张表：用户、作业、会话、消息、画像、反馈、埋点、评测</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课程模型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lms_models.py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课程空间 12 张表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平台接口</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routes.py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认证、会话、代码评审、诊断、视频/课件/作业接口</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扩展接口</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api_ext.py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智能体、画像、反馈、看板、知识库、评测、合规</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课程接口</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lms_routes.py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课程空间接口与 AI 导读/出题/回帖/建议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工作流引擎</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agents.py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智能体注册表、AgentContext、12 条工作流</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知识库</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kb_service.py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文档入库、分块、索引、混合检索、引用格式化</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内核封装</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kb_native.py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ctypes 调用 C++ 检索内核，失败自动回退</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文本工具</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text_utils.py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中文分词、BM25、哈希向量、清洗、覆盖率</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文档解析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doc_parser.py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PDF/DOCX/XLSX/CSV/TSV/图片统一解析</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模型客户端</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llm_client.py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多提供方解析、Ollama/本机/星火/OpenAI、离线编排</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视觉服务</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vision_service.py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图片理解（Ollama 或 OpenAI 兼容视觉服务）</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埋点与聚合</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telemetry.py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使用事件、智能体运行、反馈聚合</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鉴权工具</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auth_utils.py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三种身份来源与角色装饰器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RAG 兼容层</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rag_service.py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轻量检索增强封装</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检索内核</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native/kbcore.cpp</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C++17 检索打分内核（C ABI，零第三方依赖）</w:t>
            </w:r>
          </w:p>
        </w:tc>
      </w:tr>
    </w:tbl>
    <w:p>
      <w:pPr>
        <w:spacing w:before="0" w:after="0" w:line="240"/>
        <w:ind w:firstLine="0"/>
        <w:rPr>
          <w:rFonts w:ascii="Times New Roman" w:eastAsia="宋体" w:hAnsi="Times New Roman"/>
          <w:sz w:val="2"/>
        </w:rPr>
      </w:pPr>
    </w:p>
    <w:p>
      <w:pPr>
        <w:keepNext w:val="0"/>
        <w:keepLines w:val="0"/>
        <w:pageBreakBefore w:val="0"/>
        <w:widowControl/>
        <w:spacing w:before="30" w:after="150" w:line="324"/>
        <w:ind w:left="0" w:firstLine="0" w:hanging="0"/>
        <w:jc w:val="justified"/>
        <w:rPr>
          <w:rFonts w:ascii="Times New Roman" w:eastAsia="宋体" w:hAnsi="Times New Roman"/>
          <w:b w:val="0"/>
          <w:color w:val="5B6572"/>
          <w:sz w:val="18"/>
        </w:rPr>
      </w:pPr>
      <w:r>
        <w:rPr>
          <w:rFonts w:ascii="Times New Roman" w:eastAsia="宋体" w:hAnsi="Times New Roman" w:hint="eastAsia"/>
          <w:b w:val="0"/>
          <w:color w:val="5B6572"/>
          <w:sz w:val="18"/>
        </w:rPr>
        <w:t>说明：模块之间没有循环导入。鉴权工具独立成模块，避免 blueprint 之间互相引用；知识库与模型客户端都采用惰性导入，缺失可选依赖时只影响对应能力。</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2.5 前端页面与交互</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前端是零构建的单页应用，由 index.html 与 main.js、agents.js、lms.js 组成，Flask 同源托管。页面按角色显隐，教师可见教学助手与学生信息。</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2-4  前端页面与主要能力</w:t>
      </w:r>
    </w:p>
    <w:tbl>
      <w:tblPr>
        <w:tblW w:w="8504" w:type="dxa"/>
        <w:jc w:val="left"/>
        <w:tblInd w:w="0" w:type="dxa"/>
        <w:tblCellMar>
          <w:top w:w="60" w:type="dxa"/>
          <w:left w:w="90" w:type="dxa"/>
          <w:bottom w:w="60" w:type="dxa"/>
          <w:right w:w="90" w:type="dxa"/>
        </w:tblCellMar>
      </w:tblPr>
      <w:tblGrid>
        <w:gridCol w:w="1380"/>
        <w:gridCol w:w="5850"/>
        <w:gridCol w:w="127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页面</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主要能力</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可见角色</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智能助教</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多轮对话、附件、流式输出、引用卡片、轨迹、追问推荐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全部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学习工作台</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5 个助学智能体（答疑、路径、错题、自测、复杂问题）</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全部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教学助手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4 个助教智能体（备课、批改、诊断、素材）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教师</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科研助手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3 个助研智能体（前沿、写作、数据分析）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全部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学习画像</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水平、目标、风格、深度、薄弱点，驱动讲解与推荐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学生 / 教师</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课程空间</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任务点、测验、讨论、签到、通知、学情</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全部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章节视频</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上传、文件夹、播放</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全部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课件资料</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上传、下载、文件夹管理</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全部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在线作业</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发布、提交、批改</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教师 / 学生</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学生信息</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名单、学号、资料编辑</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教师</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知识库管理</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文档列表、上传、删除、检索自测、重建索引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教师</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使用与评测看板</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规模、质量、趋势、评测历史、反馈</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全部</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2.6 数据模型设计</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平台共 24 张业务表，按职责分为六组。所有 AI 参与的动作都记录 provider、model、耗时与降级状态，保证“这段是 AI 生成的”可被界面标注、可被审计。</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2-5  数据模型分组</w:t>
      </w:r>
    </w:p>
    <w:tbl>
      <w:tblPr>
        <w:tblW w:w="8504" w:type="dxa"/>
        <w:jc w:val="left"/>
        <w:tblInd w:w="0" w:type="dxa"/>
        <w:tblCellMar>
          <w:top w:w="60" w:type="dxa"/>
          <w:left w:w="90" w:type="dxa"/>
          <w:bottom w:w="60" w:type="dxa"/>
          <w:right w:w="90" w:type="dxa"/>
        </w:tblCellMar>
      </w:tblPr>
      <w:tblGrid>
        <w:gridCol w:w="1170"/>
        <w:gridCol w:w="4800"/>
        <w:gridCol w:w="253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分组</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数据表</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用途</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身份与教学</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users、homeworks、homework_submissions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账号、角色、作业与提交</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会话与消息</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conversations、messages、chat_histories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多轮会话、消息、引用与轨迹</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知识与资料</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knowledge_docs、user_profiles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文档元数据、学习画像</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运营与质量</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feedbacks、usage_events、agent_runs、evaluation_runs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反馈、埋点、运行记录、评测历史</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课程空间</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lms_courses、lms_course_members、lms_chapters、lms_chapter_progress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课程、成员、章节、学习进度</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教学活动</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lms_quizzes、lms_quiz_attempts、lms_posts、lms_replies、lms_signins、lms_signin_records、lms_notices、lms_notice_reads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测验、讨论、签到、通知</w:t>
            </w:r>
          </w:p>
        </w:tc>
      </w:tr>
    </w:tbl>
    <w:p>
      <w:pPr>
        <w:spacing w:before="0" w:after="0" w:line="240"/>
        <w:ind w:firstLine="0"/>
        <w:rPr>
          <w:rFonts w:ascii="Times New Roman" w:eastAsia="宋体" w:hAnsi="Times New Roman"/>
          <w:sz w:val="2"/>
        </w:rPr>
      </w:pPr>
    </w:p>
    <w:p>
      <w:pPr>
        <w:keepNext w:val="0"/>
        <w:keepLines w:val="0"/>
        <w:pageBreakBefore w:val="0"/>
        <w:widowControl/>
        <w:spacing w:before="30" w:after="150" w:line="324"/>
        <w:ind w:left="0" w:firstLine="0" w:hanging="0"/>
        <w:jc w:val="justified"/>
        <w:rPr>
          <w:rFonts w:ascii="Times New Roman" w:eastAsia="宋体" w:hAnsi="Times New Roman"/>
          <w:b w:val="0"/>
          <w:color w:val="5B6572"/>
          <w:sz w:val="18"/>
        </w:rPr>
      </w:pPr>
      <w:r>
        <w:rPr>
          <w:rFonts w:ascii="Times New Roman" w:eastAsia="宋体" w:hAnsi="Times New Roman" w:hint="eastAsia"/>
          <w:b w:val="0"/>
          <w:color w:val="5B6572"/>
          <w:sz w:val="18"/>
        </w:rPr>
        <w:t>设计取舍：统计口径全部由数据库实时聚合，不缓存“好看的数”；消息的引用与轨迹以 JSON 存储，保留原始结构，便于前端逐条展开与人工复核。</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2.7 知识库与检索架构</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知识库是平台的事实底座。它不是一个向量库黑盒，而是一条从文档到引用的可检查流水线。</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2-6  知识库流水线</w:t>
      </w:r>
    </w:p>
    <w:tbl>
      <w:tblPr>
        <w:tblW w:w="8504" w:type="dxa"/>
        <w:jc w:val="left"/>
        <w:tblInd w:w="0" w:type="dxa"/>
        <w:tblCellMar>
          <w:top w:w="60" w:type="dxa"/>
          <w:left w:w="90" w:type="dxa"/>
          <w:bottom w:w="60" w:type="dxa"/>
          <w:right w:w="90" w:type="dxa"/>
        </w:tblCellMar>
      </w:tblPr>
      <w:tblGrid>
        <w:gridCol w:w="930"/>
        <w:gridCol w:w="4950"/>
        <w:gridCol w:w="262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阶段</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做什么</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关键实现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① 采集</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教材、大纲、标准、案例、论文五类目录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data/knowledge_base_docs</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② 解析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Markdown/TXT/PDF/DOCX/XLSX/CSV/图片统一转文本，保留页码</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doc_parser.parse_file</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③ 元数据</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source_type、authority(1–5)、作者、年份、出版社、标签</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parse_front_matter</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④ 分块</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以 Markdown 章节为锚点，每块不超过 700 字，抽取页码</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split_sections、chunk_body</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⑤ 索引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一次分词预计算 BM25、512 维哈希向量、标题/概念/实体位掩码</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_ChunkIndex</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⑥ 检索</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查询清洗 → 词法 + 语义 → 覆盖率/短语/标题/实体/对比/权威度</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KnowledgeBase.search</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⑦ 引用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生成 locator、原文片段、相关度、权威度、来源类型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format_citation</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检索分数由多个信号合成，而不是单一余弦相似度：</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词法相关性：BM25（中文二元组 + 英文词），对术语与代码标识符更稳。</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语义相关性：512 维哈希向量余弦；安装 sentence-transformers 后可切换语义向量，权重由 0.25 提升到 0.55。</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标题与章节命中、查询词覆盖率、连续 12 字符短语命中，分别作为强相关信号加分。</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成对概念惩罚：问“时间复杂度”时，只讲“空间复杂度”的段落降权；问“最坏”时降权“最好”。</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学科实体奖惩：问快速排序却命中希尔排序段落时扣分，避免“同类不同物”的错答。</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权威度因子：authority 1–5 折算为 1 − w·(a−1)，默认 w=0.1，教材优先于一般资料。</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每条检索结果都带 locator（文档 · 章节 · 页码）、原文片段、相关度、权威度与来源类型。回答生成后，平台会检查正文中的 [n] 是否都能在本轮引用里找到，剔除编造或未使用的编号，再返回前端；前端把引用渲染成可展开的卡片，点开即可看到原文。</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2.8 部署架构与运行形态</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平台按“单机一体化、可选外接”的方式部署：默认所有组件运行在同一台机器上，不依赖公网；需要时可将数据库切换到 MySQL、模型切换到星火或任意 OpenAI 兼容网关。</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2-7  运行组件与端口</w:t>
      </w:r>
    </w:p>
    <w:tbl>
      <w:tblPr>
        <w:tblW w:w="8504" w:type="dxa"/>
        <w:jc w:val="left"/>
        <w:tblInd w:w="0" w:type="dxa"/>
        <w:tblCellMar>
          <w:top w:w="60" w:type="dxa"/>
          <w:left w:w="90" w:type="dxa"/>
          <w:bottom w:w="60" w:type="dxa"/>
          <w:right w:w="90" w:type="dxa"/>
        </w:tblCellMar>
      </w:tblPr>
      <w:tblGrid>
        <w:gridCol w:w="1170"/>
        <w:gridCol w:w="3750"/>
        <w:gridCol w:w="1620"/>
        <w:gridCol w:w="19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组件</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运行方式</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端口/位置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职责</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Web 应用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python app.py（Flask，threaded）</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5000</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前端静态文件、API、附件</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数据库</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SQLite data/smart_edu.db 或 MySQL</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本地文件 / 3306</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24 张业务表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模型服务</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项目内 Ollama runtime + qwen3-vl:8b</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11434</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生成与图片理解</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检索内核</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kbcore.dll（ctypes 调用）</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进程内</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BM25、覆盖率、实体打分</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索引与文件</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data/vector_db、attachments、video、materials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本地磁盘</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向量、附件、视频、课件</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一键启动脚本 run.ps1 会依次检查 Python 环境、数据库可达性、Ollama 运行时与模型库、知识库索引、C++ 内核，然后拉起后端；任一项缺失只打印警告并进入对应降级路径。</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2.9 目录结构</w:t>
      </w:r>
    </w:p>
    <w:p>
      <w:pPr>
        <w:spacing w:before="0" w:after="0" w:line="276"/>
        <w:ind w:firstLine="0"/>
        <w:rPr>
          <w:rFonts w:ascii="Consolas" w:eastAsia="微软雅黑" w:hAnsi="Consolas"/>
          <w:color w:val="243447"/>
          <w:sz w:val="17.2"/>
        </w:rPr>
      </w:pPr>
      <w:r>
        <w:t>SmartEduPlatform 根目录：</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backend/             Flask 应用、智能体、检索、模型客户端</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 agents.py         12 个智能体与工作流引擎</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 kb_service.py     知识库构建与混合检索</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 llm_client.py     多提供方模型接入与离线编排</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 lms_routes.py     课程空间接口与 AI 能力</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 native/kbcore.cpp C++17 检索内核</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frontend/            单页应用（HTML + CSS + JS）</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data/                知识库文档、索引、数据库、附件、评测报告</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training/            LoRA 数据集构建与微调脚本</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scripts/             演示数据、自检、压测、编译脚本</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models/ollama/       Ollama 运行时与模型权重（随项目分发）</w:t>
      </w:r>
    </w:p>
    <w:p>
      <w:pPr>
        <w:spacing w:before="0" w:after="0" w:line="276"/>
        <w:ind w:firstLine="0"/>
        <w:rPr>
          <w:rFonts w:ascii="Consolas" w:eastAsia="微软雅黑" w:hAnsi="Consolas"/>
          <w:color w:val="243447"/>
          <w:sz w:val="17.2"/>
        </w:rPr>
      </w:pPr>
      <w:r>
        <w:rPr>
          <w:rFonts w:ascii="Consolas" w:eastAsia="微软雅黑" w:hAnsi="Consolas" w:hint="eastAsia"/>
          <w:color w:val="243447"/>
          <w:sz w:val="17.2"/>
        </w:rPr>
        <w:t>└─ docs/                交付文档、架构梳理、演示截图</w:t>
      </w:r>
    </w:p>
    <w:p>
      <w:pPr>
        <w:spacing w:before="0" w:after="0" w:line="240"/>
        <w:ind w:firstLine="0"/>
        <w:rPr>
          <w:rFonts w:ascii="Times New Roman" w:eastAsia="宋体" w:hAnsi="Times New Roman"/>
          <w:sz w:val="2"/>
        </w:rPr>
      </w:pPr>
    </w:p>
    <w:p>
      <w:pPr>
        <w:keepNext/>
        <w:pageBreakBefore/>
        <w:pBdr>
          <w:bottom w:val="single" w:sz="6" w:space="5" w:color="1F4E79"/>
        </w:pBdr>
        <w:spacing w:before="0" w:after="180"/>
        <w:outlineLvl w:val="0"/>
        <w:rPr>
          <w:rFonts w:ascii="Microsoft YaHei" w:eastAsia="微软雅黑" w:hAnsi="Microsoft YaHei"/>
          <w:b/>
          <w:color w:val="1F4E79"/>
          <w:sz w:val="36"/>
        </w:rPr>
      </w:pPr>
      <w:r>
        <w:rPr>
          <w:rFonts w:ascii="Microsoft YaHei" w:eastAsia="微软雅黑" w:hAnsi="Microsoft YaHei" w:hint="eastAsia"/>
          <w:b/>
          <w:color w:val="1F4E79"/>
          <w:sz w:val="36"/>
        </w:rPr>
        <w:t>第 3 章  已实现功能</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第 3 章是全文重点。平台目前已经实现的功能可分为四类：一是面向师生的通用智能问答；二是 12 个按场景编排的智能体；三是仿学习通形态的课程空间；四是支撑上述能力运转的知识库、画像、评测、资源与合规体系。本章逐项说明它们做了什么、怎么用、产出是什么。</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3.0 功能全景</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从用户视角看，平台的功能入口与能力边界如下表。所有页面均已接入真实后端接口，可在浏览器中直接操作。</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3-1  功能全景</w:t>
      </w:r>
    </w:p>
    <w:tbl>
      <w:tblPr>
        <w:tblW w:w="8504" w:type="dxa"/>
        <w:jc w:val="left"/>
        <w:tblInd w:w="0" w:type="dxa"/>
        <w:tblCellMar>
          <w:top w:w="60" w:type="dxa"/>
          <w:left w:w="90" w:type="dxa"/>
          <w:bottom w:w="60" w:type="dxa"/>
          <w:right w:w="90" w:type="dxa"/>
        </w:tblCellMar>
      </w:tblPr>
      <w:tblGrid>
        <w:gridCol w:w="1290"/>
        <w:gridCol w:w="5700"/>
        <w:gridCol w:w="151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功能域</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已实现能力</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主要入口</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智能问答</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多轮对话、流式输出、附件与图片、代码评审、学情诊断、引用卡片、追问推荐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智能助教</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助学智能体</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智能答疑、学习路径、错题归因、自测练习、复杂问题求解</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学习工作台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助教智能体</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智能备课、作业批改、学情诊断、课件素材生成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教学助手（教师）</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助研智能体</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前沿追踪、学术写作辅助、科研数据分析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科研助手</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课程空间</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课程与成员、章节任务点、AI 导读、随堂测验、讨论区、签到、通知、学情看板</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课程空间</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知识库</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文档上传与删除、元数据、混合检索自测、索引重建、来源统计</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知识库管理</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学习画像</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水平、目标、风格、深度、薄弱点；驱动讲解与练习推荐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学习画像</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质量评测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12 题标准测试集、自动评测、报告归档、历史对比</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使用与评测看板</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教学资源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章节视频、课件资料、在线作业、学生信息</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教学资源区</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3.1 智能问答与多轮对话</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智能问答是所有场景的公共入口，也是平台上使用频率最高的功能。它不是“把问题直接转给大模型”，而是在前后各加了两层工程约束：前面做会话理解与知识检索，后面做引用核验与内容标识。</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3.1.1 会话机制与指代消解</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每次对话都会创建或续接一个 conversation，消息逐条写入 messages 表，记录问题、回答、引用、轨迹、模型与耗时。用户关闭页面后再次进入，历史会话仍可恢复、可删除、可继续追问。</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指代消解：当用户问“那它的空间复杂度呢”，系统会结合上文主题把问题补全为完整查询再检索，而不是拿“它”去搜知识库。</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上下文窗口：把最近若干轮对话与当前问题一起送入编排层，超出预算时优先保留最近轮次与画像信息。</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会话隔离：不同用户、不同会话之间数据隔离；游客也可对话，但 5 次后提示登录。</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追问推荐：回答结束后从检索到的知识块中抽取 3 条可继续追问的句子，降低“问完就断”的尴尬。</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3.1.2 流式输出与交互细节</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前端通过 SSE 接收回答，事件分为 status、delta、meta、done 四类：先显示“检索学科知识库”，再逐段渲染正文，最后一次性带回引用、轨迹与耗时。即使后端是离线编排，交互也保持一致。</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生成中可点击停止，服务端通过 /chat/stop 取消本轮，已生成内容保留。</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回答支持 Markdown 渲染、代码高亮、复制与下载；引用卡片可展开原文片段。</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支持暗色模式、侧边栏收起、语音输入（浏览器 Web Speech API）与移动端自适应。</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回答末尾固定展示 AI 生成标识、模型提供方与耗时；低置信度时给出显式提醒。</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3.1.3 附件与图片参与对话</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附件不是简单拼进提示词，而是作为“可引用的材料”交给工作流：文本类附件解析为带页码的正文，图片直接送入视觉模型，最终都以“附件 · 文件名”的形式登记为引用来源。</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3-2  附件类型与处理方式</w:t>
      </w:r>
    </w:p>
    <w:tbl>
      <w:tblPr>
        <w:tblW w:w="8504" w:type="dxa"/>
        <w:jc w:val="left"/>
        <w:tblInd w:w="0" w:type="dxa"/>
        <w:tblCellMar>
          <w:top w:w="60" w:type="dxa"/>
          <w:left w:w="90" w:type="dxa"/>
          <w:bottom w:w="60" w:type="dxa"/>
          <w:right w:w="90" w:type="dxa"/>
        </w:tblCellMar>
      </w:tblPr>
      <w:tblGrid>
        <w:gridCol w:w="1680"/>
        <w:gridCol w:w="4470"/>
        <w:gridCol w:w="235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类型</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处理方式</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输出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PDF / DOCX</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按页解析，保留【第 N 页】锚点</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带页码的正文，可定位引用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XLSX / CSV / TSV</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逐行读取为表格文本；数据分析智能体同时做统计</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表格文本、统计摘要、图表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TXT / MD</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直接读取，兼容 UTF-8 / GB18030</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正文，可参与检索与引用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PNG / JPG / BMP / WEBP</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图片直接送入本机 Qwen3-VL-8B，不再先 OCR</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结构化中文描述 + 图片依据</w:t>
            </w:r>
          </w:p>
        </w:tc>
      </w:tr>
    </w:tbl>
    <w:p>
      <w:pPr>
        <w:spacing w:before="0" w:after="0" w:line="240"/>
        <w:ind w:firstLine="0"/>
        <w:rPr>
          <w:rFonts w:ascii="Times New Roman" w:eastAsia="宋体" w:hAnsi="Times New Roman"/>
          <w:sz w:val="2"/>
        </w:rPr>
      </w:pPr>
    </w:p>
    <w:p>
      <w:pPr>
        <w:keepNext w:val="0"/>
        <w:keepLines w:val="0"/>
        <w:pageBreakBefore w:val="0"/>
        <w:widowControl/>
        <w:spacing w:before="30" w:after="150" w:line="324"/>
        <w:ind w:left="0" w:firstLine="0" w:hanging="0"/>
        <w:jc w:val="justified"/>
        <w:rPr>
          <w:rFonts w:ascii="Times New Roman" w:eastAsia="宋体" w:hAnsi="Times New Roman"/>
          <w:b w:val="0"/>
          <w:color w:val="5B6572"/>
          <w:sz w:val="18"/>
        </w:rPr>
      </w:pPr>
      <w:r>
        <w:rPr>
          <w:rFonts w:ascii="Times New Roman" w:eastAsia="宋体" w:hAnsi="Times New Roman" w:hint="eastAsia"/>
          <w:b w:val="0"/>
          <w:color w:val="5B6572"/>
          <w:sz w:val="18"/>
        </w:rPr>
        <w:t>未配置视觉模型时，图片接口明确返回“未配置视觉模型”，不会假装识别成功；自检脚本把这种情况标记为“跳过”而不是“通过”。</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3.1.4 两个专项入口</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除通用问答外，前端还提供两个专用入口，复用同一套工作流与引用机制：</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代码评审：粘贴代码后，按“正确性 → 时间复杂度 → 空间复杂度 → 边界处理 → 风格与可读性 → 优化建议”六项逐条输出，并给出改进后的代码。</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学情诊断：教师选择“全班/单个学生”，系统直接查询真实作业与提交数据，输出统计、薄弱点与预警名单。</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3.1.5 质量约束</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问答链路上有四道质量约束，且都不依赖模型“自觉”：</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检索约束：只允许依据本轮检索资料作答，资料不足时明确说明“知识库未覆盖”。</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引用约束：关键结论必须带 [n]，生成后校验编号是否存在，剔除未使用或编造的引用。</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诚信约束：命中“编造文献、伪造数据、代写论文”等意图时直接拒绝，并说明原因。</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标识约束：所有 AI 输出带统一标识与提供方信息，界面可核对。</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3.2 助学场景：5 个智能体</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助学场景面向学生日常学习，覆盖“问—练—诊—规—解”五个动作。每个智能体都有独立的输入表单、工作流步骤与产出结构，而不是共用一个大提示词。</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3-3  助学智能体总览</w:t>
      </w:r>
    </w:p>
    <w:tbl>
      <w:tblPr>
        <w:tblW w:w="8504" w:type="dxa"/>
        <w:jc w:val="left"/>
        <w:tblInd w:w="0" w:type="dxa"/>
        <w:tblCellMar>
          <w:top w:w="60" w:type="dxa"/>
          <w:left w:w="90" w:type="dxa"/>
          <w:bottom w:w="60" w:type="dxa"/>
          <w:right w:w="90" w:type="dxa"/>
        </w:tblCellMar>
      </w:tblPr>
      <w:tblGrid>
        <w:gridCol w:w="1260"/>
        <w:gridCol w:w="2640"/>
        <w:gridCol w:w="2250"/>
        <w:gridCol w:w="235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智能体</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解决的问题</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关键输入</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主要产出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智能答疑</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问题得不到及时、可信的解答</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问题、附件、引导风格</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分步讲解、引用、追问建议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学习路径规划</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不知道该学什么、先学什么</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目标、周期、水平、薄弱点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分阶段任务、资源清单、调整规则</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错题归因</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只知道答案错，不知道为什么错</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题目、学生答案、参考答案</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错误类型、正确解法、变式题</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自测练习</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缺少针对性练习与即时反馈</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知识点、题量、难度、题型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题目、答案、解析、考点分布</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复杂问题求解</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综合题无从下手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问题描述、约束、目标</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拆解步骤、踩坑预警、第一步行动</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3.2.1 智能答疑</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面向学生的 7×24 学科答疑，支持多轮追问，并按学习画像调整讲解深度与风格。</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问题 + 可选附件 → 指代消解补全查询 → 检索 Top-5 知识块 → 按水平/风格生成 → 引用核验 → 生成追问建议。可切换“苏格拉底式引导”开关。</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Markdown 分步讲解、逐句 [n] 引用、可展开的引用卡片、3 条后续问题、低置信度提示。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run_tutor；低置信度判定看检索覆盖率与分数；资料不足时明确说明而不是编造。</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3.2.2 学习路径规划</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把“我要学好数据结构”这类模糊目标拆成可执行的周计划，并给出未达标时的回退规则。</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学习目标、可用周期、当前水平、薄弱点 → 检索课程大纲与教材目录 → 按阶段拆解任务 → 为每阶段配资源与检验标准 → 生成自适应调整规则。</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分阶段学习路径、每阶段任务与资源、检验方式、落后时的回退与加练建议。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run_learning_path；与学习画像联动，薄弱知识点优先安排；引用大纲与教材章节。</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3.2.3 错题归因</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不止给正确答案，而是定位“错在哪一类”，并给同类变式题巩固。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题目、学生答案、参考答案（可选）→ 检索对应知识点 → 对比答案差异 → 判定错误类型（概念混淆 / 边界遗漏 / 复杂度误判 / 审题偏差）→ 生成变式题。</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错误类型判定、逐步正确解法、错因分析、2—3 道同类变式题与复习建议。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run_mistake_review；错误类型采用固定分类，便于教师汇总；变式题优先取材知识库。</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3.2.4 自测练习</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按知识点与难度即时生成小测，解决“看完不知道该练什么”。</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知识点、题量、难度、题型（选择/填空/编程）→ 检索考点 → 生成题目与答案 → 附解析与引用 → 汇总考点分布。</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题目清单、参考答案、逐题解析、考点分布与讲评建议。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run_quiz；题型与难度参数化；编程题要求给出复杂度；解析必须引用教材。</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3.2.5 复杂问题求解</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面向课程设计、综合实验等“大问题”，提供结构化的求解路径，而不是一段泛泛的建议。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问题描述、约束条件、目标 → 问题界定 → 任务拆解 → 分层求解 → 踩坑预警 → 给出今天就能执行的第一步，并附自测题与思维拓展。</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拆解后的子任务、每步方法与依据、风险清单、可执行的第一步、自测题。</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run_complex_solver；对应赛题第 7 项“复杂问题求解”；全程引用知识库。</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3.3 助教场景：4 个智能体</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助教场景面向教师的高频重复劳动。四个智能体共用同一套检索与留痕机制，但各自有明确的业务边界：备课产出教学设计，批改产出评分依据，诊断产出统计与预警，素材产出可直接进课件的材料。</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3-4  助教智能体总览</w:t>
      </w:r>
    </w:p>
    <w:tbl>
      <w:tblPr>
        <w:tblW w:w="8504" w:type="dxa"/>
        <w:jc w:val="left"/>
        <w:tblInd w:w="0" w:type="dxa"/>
        <w:tblCellMar>
          <w:top w:w="60" w:type="dxa"/>
          <w:left w:w="90" w:type="dxa"/>
          <w:bottom w:w="60" w:type="dxa"/>
          <w:right w:w="90" w:type="dxa"/>
        </w:tblCellMar>
      </w:tblPr>
      <w:tblGrid>
        <w:gridCol w:w="1440"/>
        <w:gridCol w:w="2520"/>
        <w:gridCol w:w="2280"/>
        <w:gridCol w:w="22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智能体</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解决的问题</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关键输入</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主要产出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智能备课</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备课耗时、环节设计缺依据</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主题、课时、对象、补充要求</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七段式教学设计、时间分配、分层作业</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作业与试题批改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主观题批改口径不一、反馈少</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题目、学生作答、参考答案、满分</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建议分、评分依据、改进建议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学情精准诊断</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学情统计靠手工、预警滞后</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范围（全班/个人）、学号、关注点</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统计摘要、分布图、薄弱点、预警名单</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课件素材生成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课件素材重复制作</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章节、素材类型、课时</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讲义要点、示例代码、课堂练习</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3.3.1 智能备课</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基于课程标准与教材，生成可直接修改使用的教学设计，而不是一份泛化的教案模板。</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授课主题、课时长度（45 分钟 / 2 学时 / 3 学时）、授课对象、补充要求 → 检索课标与教材章节 → 生成教学目标（知识/能力/素养）→ 重难点 → 时间分配表 → 课堂活动与提问 → 分层作业 → 学术规范校验。</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七部分教学设计：教学目标、重难点、环节与时间分配表、讲解要点、课堂活动、分层作业、板书设计。</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run_lesson_plan；时间按 45/90/135 分钟自动分配；环节表含教师活动与学生活动两列；引用教材章节。</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3.3.2 作业与试题批改</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客观题自动判分、主观题按评分点给出依据与改进建议，最终分数由教师确认。</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题目、学生作答、参考答案（可选）、满分 → 先过学术诚信守卫 → 检索评分依据 → 拆解评分点 → 逐点评分 → 生成改进建议。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机器建议分、评分点与逐项判定、得分依据、改进建议、教师确认提示。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run_grading；守卫命中时直接拒绝并留痕；建议分不自动覆盖教师评分；支持按知识点归因。</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3.3.3 学情精准诊断</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直接查真实作业与提交数据，识别班级或个体的薄弱知识点并生成预警。</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诊断范围（全班/单个学生）、学号、关注点 → 查询作业、提交、成绩 → 计算平均分、提交率、分数段分布 → 按知识点聚合薄弱项 → 生成预警名单与图表数据。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统计摘要、成绩分布图、提交率、薄弱知识点、预警名单、教学干预建议。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run_class_diagnosis、_table_stats；条件分支处理“全班/个人”；所有数字来自数据库，不编造。</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3.3.4 课件素材生成</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按章节生成讲义要点、示例代码、课堂练习与课后作业，补齐“备课之后还要做课件”的一步。</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章节、素材类型、课时 → 检索章节内容 → 生成讲义大纲与要点 → 配示例代码 → 出课堂练习与课后作业。</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讲义要点、结构大纲、带语言标注的代码示例、练习题与作业。</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run_material_gen；与智能备课互补；代码块标注语言，复杂度标注规范。</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3.4 助研场景：3 个智能体</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助研场景面向本科生进组、研究生开题与课程论文。设计上坚持“辅助而非代写”：可以做框架、找文献、查格式、算数据，但不替用户生成论文主体论证。</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3-5  助研智能体总览</w:t>
      </w:r>
    </w:p>
    <w:tbl>
      <w:tblPr>
        <w:tblW w:w="8504" w:type="dxa"/>
        <w:jc w:val="left"/>
        <w:tblInd w:w="0" w:type="dxa"/>
        <w:tblCellMar>
          <w:top w:w="60" w:type="dxa"/>
          <w:left w:w="90" w:type="dxa"/>
          <w:bottom w:w="60" w:type="dxa"/>
          <w:right w:w="90" w:type="dxa"/>
        </w:tblCellMar>
      </w:tblPr>
      <w:tblGrid>
        <w:gridCol w:w="1500"/>
        <w:gridCol w:w="2370"/>
        <w:gridCol w:w="2250"/>
        <w:gridCol w:w="238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智能体</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解决的问题</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关键输入</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主要产出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前沿追踪</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文献散、热点看不清</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研究方向、关键词、时间范围</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主题归纳、趋势判断、待验证假设、精读清单</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学术写作辅助</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框架搭不起来、格式总出错</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写作阶段、主题、已有材料</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框架、综述提纲、润色建议、GB/T 7714 模板</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科研数据分析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统计与可视化门槛高</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CSV/Excel、分析类型、背景</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描述统计、图表、数据预览、方法建议</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3.4.1 前沿追踪</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从知识库中的论文类资料出发，归纳研究主题、判断趋势、提出可验证假设。</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研究方向或关键词、时间范围 → 检索论文类知识块 → 抽取高频主题词 → 聚类为热点主题 → 生成趋势判断与待验证假设 → 列出值得精读的文献。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主题归纳、热点与发展趋势、待验证假设、精读清单（按 GB/T 7714 著录）。</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run_frontier；只基于库内论文，库未覆盖时明确说明；趋势判断标注依据。</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3.4.2 学术写作辅助</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按写作阶段提供结构化支持：搭框架、写综述提纲、润色表达、检查著录格式。</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写作阶段（框架/综述/润色/格式）、主题、已有材料 → 走对应阶段的提示词与检索策略 → 格式阶段按 GB/T 7714—2015 给出专著/期刊/会议/学位论文/标准/电子资源模板 → 做规范性检查。</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论文框架、综述提纲、段落润色建议、参考文献著录模板、格式问题清单。</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run_writing；阶段条件分支；明确不代写主体论证；引用真实文献，不编造。</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3.4.3 科研数据分析</w:t>
      </w:r>
    </w:p>
    <w:tbl>
      <w:tblPr>
        <w:tblW w:w="8504" w:type="dxa"/>
        <w:jc w:val="left"/>
        <w:tblInd w:w="0" w:type="dxa"/>
        <w:tblCellMar>
          <w:top w:w="60" w:type="dxa"/>
          <w:left w:w="90" w:type="dxa"/>
          <w:bottom w:w="60" w:type="dxa"/>
          <w:right w:w="90" w:type="dxa"/>
        </w:tblCellMar>
      </w:tblPr>
      <w:tblGrid>
        <w:gridCol w:w="1140"/>
        <w:gridCol w:w="73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功能定位</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上传实验数据即可得到描述统计、图表与方法建议，降低“会做实验但不会分析”的门槛。</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输入与流程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CSV/Excel 文件、分析类型、研究背景 → 解析表格 → 逐列描述统计（均值、标准差、中位数、四分位、极值）→ 生成柱状图与数据预览表 → 结合知识库给出分析方法建议。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产出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统计摘要、柱状图、数据预览表、异常值提示、分析结论与方法建议。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实现要点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run_data_analysis、doc_parser.parse_tabular；纯 Python 统计，不依赖 pandas；大文件截断保护。</w:t>
            </w:r>
          </w:p>
        </w:tc>
      </w:tr>
    </w:tbl>
    <w:p>
      <w:pPr>
        <w:spacing w:before="0" w:after="0" w:line="240"/>
        <w:ind w:firstLine="0"/>
        <w:rPr>
          <w:rFonts w:ascii="Times New Roman" w:eastAsia="宋体" w:hAnsi="Times New Roman"/>
          <w:sz w:val="2"/>
        </w:rPr>
      </w:pPr>
    </w:p>
    <w:p>
      <w:pPr>
        <w:keepNext w:val="0"/>
        <w:keepLines w:val="0"/>
        <w:pageBreakBefore w:val="0"/>
        <w:widowControl/>
        <w:pBdr>
          <w:left w:val="single" w:sz="13" w:space="5" w:color="2E74B5"/>
        </w:pBdr>
        <w:spacing w:before="120" w:after="180" w:line="348"/>
        <w:ind w:left="0" w:firstLine="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以上 12 个智能体全部在 scripts/smoke_test.py 中有对应的端到端检查项，覆盖输入、执行、引用与产出结构；课程空间的 AI 能力另有 scripts/smoke_lms.py 的 27 项检查。</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3.5 课程空间：学习通式教学闭环</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如果说 12 个智能体解决的是“点状任务”，课程空间解决的是“任务发生在哪里”。它把 AI 能力放进一门课的真实流程：教师建课、发任务点、出测验、发签到与通知；学生看章节、做测验、发帖、签到；系统自动汇总学情并给出建议。</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课程空间当前包含 7 个模块，教师与学生看到的是同一套数据的不同视角。</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3-6  课程空间模块</w:t>
      </w:r>
    </w:p>
    <w:tbl>
      <w:tblPr>
        <w:tblW w:w="8504" w:type="dxa"/>
        <w:jc w:val="left"/>
        <w:tblInd w:w="0" w:type="dxa"/>
        <w:tblCellMar>
          <w:top w:w="60" w:type="dxa"/>
          <w:left w:w="90" w:type="dxa"/>
          <w:bottom w:w="60" w:type="dxa"/>
          <w:right w:w="90" w:type="dxa"/>
        </w:tblCellMar>
      </w:tblPr>
      <w:tblGrid>
        <w:gridCol w:w="1170"/>
        <w:gridCol w:w="2520"/>
        <w:gridCol w:w="2520"/>
        <w:gridCol w:w="229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模块</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教师视角</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学生视角</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AI 参与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课程与成员</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建课、生成邀请码、查看成员</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输邀请码加入、切换课程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无</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章节任务点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排章节、看完成率</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阅读、标记完成、累计时长</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课前导读（带引用）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随堂测验</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按章出题、看作答分布</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作答、自动判分、看错题解析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出题（单选，含答案下标校验）</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讨论区</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发公告、答疑、置顶</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发帖、追问、看 AI 回帖</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助教后台回帖（带引用）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签到</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发起签到、4 位码、10 分钟有效</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输入签到码、查看记录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无</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通知</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发布、查看已读</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查看、未读提醒</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无</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学情看板</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班级均分、完成率、出勤、预警名单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个人完成率、测验均分、学习时长</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学情建议（只解读真实统计）</w:t>
            </w:r>
          </w:p>
        </w:tc>
      </w:tr>
    </w:tbl>
    <w:p>
      <w:pPr>
        <w:spacing w:before="0" w:after="0" w:line="240"/>
        <w:ind w:firstLine="0"/>
        <w:rPr>
          <w:rFonts w:ascii="Times New Roman" w:eastAsia="宋体" w:hAnsi="Times New Roman"/>
          <w:sz w:val="2"/>
        </w:rPr>
      </w:pP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3.5.1 课程与成员</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教师创建课程时生成唯一邀请码（演示课程为 DS2026），学生凭码加入；课程成员表记录角色与加入时间，后续所有统计都以成员表为准。首页按“我的待办”聚合跨课程任务、未读通知与学习进度，接近学习通的使用习惯。</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3.5.2 章节任务点与学习进度</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每章可标记为任务点，学生阅读后点击完成，系统记录状态与学习时长。课程统计实时计算任务点完成率、累计分钟数、测验均分、签到率与未读通知数，不依赖手工填报。</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章节支持摘要、关键点、预计时长与顺序调整；未完成、进行中、已完成三态可视。</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完成率直接进入教师端班级统计与预警判定，阈值为 60%。</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3.5.3 AI 课前导读</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教师在章节上点击“AI 导读”，系统检索该章教材内容，生成四段式导读：这一章解决什么问题、三个必会要点、常见误区、自测一问；结果缓存到章节，学生打开即可看到，并标注生成模型与耗时。</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导读正文逐条标注 [n]，引用可展开；缓存命中时显示“缓存的导读”，避免重复生成。</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生成失败时给出明确错误，不展示半成品；单次约 25—50 秒（8B 本机模型）。</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3.5.4 随堂测验</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教师可在章节上“出题自测”，AI 依据该章内容生成 5 道单选题，选项与答案下标经过校验后入库；学生提交后自动判分，并逐题给出解析与引用。</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判分口径固定：按答案下标比对，不经过模型，保证分数可复算。</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错题解析引用教材；作答记录进入个人测验均分与班级统计。</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3.5.5 讨论区与 AI 助教</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学生发帖后，系统在后台线程调用模型，以“AI 助教”身份回帖：先给结论，再指出常见误区，附 3 条教材引用。回帖记录 is_ai 标记、模型名与引用，界面上明确显示“AI 助教”。</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后台线程不阻塞发帖，学生先看到自己的帖子，回帖稍后出现。</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教师可置顶、回复；AI 回帖不会被误认为教师发言。</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3.5.6 签到与通知</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教师发起签到时生成 4 位签到码，有效期 10 分钟；学生输入码完成签到，过期或已结束的签到会被拒绝。通知支持发布、未读计数与已读标记。</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签到记录用于出勤率统计，低于 80% 进入预警。</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通知未读数进入“我的待办”，跨课程聚合。</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3.5.7 学情看板与 AI 学情建议</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学情页按角色展示不同口径：学生看到个人任务点、测验、签到与时长；教师看到班级平均完成率、平均正确率、平均出勤率与预警名单。预警规则明确：任务点完成率低于 60%、测验正确率低于 60%、出勤率低于 80%，任一命中即进入名单。</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“生成建议”把真实统计作为唯一事实来源交给模型，要求先一句话总结状态，再给 3 条当天可执行的动作。教师版给班级干预动作，学生版给个人下一步，不允许虚构数字。</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3-7  课程空间 AI 能力实测</w:t>
      </w:r>
    </w:p>
    <w:tbl>
      <w:tblPr>
        <w:tblW w:w="8504" w:type="dxa"/>
        <w:jc w:val="left"/>
        <w:tblInd w:w="0" w:type="dxa"/>
        <w:tblCellMar>
          <w:top w:w="60" w:type="dxa"/>
          <w:left w:w="90" w:type="dxa"/>
          <w:bottom w:w="60" w:type="dxa"/>
          <w:right w:w="90" w:type="dxa"/>
        </w:tblCellMar>
      </w:tblPr>
      <w:tblGrid>
        <w:gridCol w:w="1290"/>
        <w:gridCol w:w="2340"/>
        <w:gridCol w:w="3600"/>
        <w:gridCol w:w="127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能力</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触发方式</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实测输出</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耗时</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课前导读</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章节列表点“AI 导读”</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703 字，四段结构，3 条教材引用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约 24.6 秒</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随堂出题</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章节点“出题自测”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5 道单选，答案下标全部可校验</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约 29 秒</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助教回帖</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学生发帖后自动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127 字，结论 + 误区 + 3 条引用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30—45 秒（后台）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学情建议</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教师“学情”页生成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169 字，一句话结论 + 3 条动作</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约 5 秒</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3.6 学科知识库全生命周期</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知识库页面把“入库—检索—维护”完整暴露给教师，而不是只做一个上传框。教师可以上传新资料、查看每份文档的元数据与块数、做检索自测、删除文档或一键重建索引。</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3-8  知识库操作</w:t>
      </w:r>
    </w:p>
    <w:tbl>
      <w:tblPr>
        <w:tblW w:w="8504" w:type="dxa"/>
        <w:jc w:val="left"/>
        <w:tblInd w:w="0" w:type="dxa"/>
        <w:tblCellMar>
          <w:top w:w="60" w:type="dxa"/>
          <w:left w:w="90" w:type="dxa"/>
          <w:bottom w:w="60" w:type="dxa"/>
          <w:right w:w="90" w:type="dxa"/>
        </w:tblCellMar>
      </w:tblPr>
      <w:tblGrid>
        <w:gridCol w:w="1200"/>
        <w:gridCol w:w="2040"/>
        <w:gridCol w:w="3540"/>
        <w:gridCol w:w="172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操作</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入口</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系统行为</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结果</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上传文档</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知识库管理 → 上传</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解析、分块、写元数据、增量重建索引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文档立即参与检索</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查看文档</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知识库管理 → 列表</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显示来源类型、权威度、作者、年份、块数</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可核对来源是否权威</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检索自测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知识库管理 → 检索自测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输入问题，返回 Top-K 块、相关度、覆盖率、locator</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验证检索是否命中</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删除文档</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文档行 → 删除</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移除文档与块，重建索引</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引用不再指向已删文档</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重建索引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知识库管理 → 重建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全量扫描目录，重算分块、向量与索引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用于换学科或批量更新</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演示库共 11 份文档、81 个知识块，按五类来源组织：教材 7 章、课程大纲、代码规范与学术诚信、典型错题案例、研究前沿论文。每份文档带 source_type、authority（1—5）、作者、年份、出版社与标签；教材权威度最高，一般资料最低。</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支持格式：Markdown、TXT、PDF、DOCX、XLSX、CSV、TSV 与图片；解析失败会给出可读提示，不会 500。</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分块以 Markdown 章节为锚点，超长章节按段落切分，每块不超过 700 字，并保留页码锚点。</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索引缓存为 kb_chunks.json、kb_vectors.npy、kb_index.json，可随项目分发，首次启动无需重建。</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3.7 学习画像与个性化</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学习画像不是一张“标签墙”，而是直接进入提示词与推荐逻辑的参数。平台从五个维度描述学习者，并在答疑、路径规划、错题归因中读取。</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3-9  学习画像维度</w:t>
      </w:r>
    </w:p>
    <w:tbl>
      <w:tblPr>
        <w:tblW w:w="8504" w:type="dxa"/>
        <w:jc w:val="left"/>
        <w:tblInd w:w="0" w:type="dxa"/>
        <w:tblCellMar>
          <w:top w:w="60" w:type="dxa"/>
          <w:left w:w="90" w:type="dxa"/>
          <w:bottom w:w="60" w:type="dxa"/>
          <w:right w:w="90" w:type="dxa"/>
        </w:tblCellMar>
      </w:tblPr>
      <w:tblGrid>
        <w:gridCol w:w="1140"/>
        <w:gridCol w:w="2550"/>
        <w:gridCol w:w="481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维度</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取值</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如何影响输出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水平</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入门 / 中等 / 进阶</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决定讲解深度、术语密度与是否补充前置知识</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目标</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考试 / 竞赛 / 科研 / 补考</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决定例题风格、路径重点与资源类型</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学习风格</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启发式 / 直接 / 平衡</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决定先追问还是先给结论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讲解深度</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简版 / 标准 / 详细</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控制篇幅与推导步骤</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薄弱点</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知识点标签集合</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排序练习与复习建议，优先补弱项</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薄弱点有两个来源：一是学生手动维护，二是系统从错题记录与提问主题中自动归纳。画像保存后立即生效，下一次问答就会按新画像生成。</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3.8 质量评测与使用看板</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平台把“效果”做成可重复运行的评测，而不是一次性的演示。标准测试集包含 12 道题，覆盖复杂度、图算法、查找、树、栈与队列、排序与学术规范，难度分基础、中等、进阶。</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评测入口在“使用与评测看板”，也可以直接调用 /api/v1/eval/run。系统逐题运行智能答疑，计算关键词召回、引用命中与耗时，生成 Markdown 报告写入 data/eval/reports，并把结果记入 evaluation_runs 表。</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3-10  评测指标与口径</w:t>
      </w:r>
    </w:p>
    <w:tbl>
      <w:tblPr>
        <w:tblW w:w="8504" w:type="dxa"/>
        <w:jc w:val="left"/>
        <w:tblInd w:w="0" w:type="dxa"/>
        <w:tblCellMar>
          <w:top w:w="60" w:type="dxa"/>
          <w:left w:w="90" w:type="dxa"/>
          <w:bottom w:w="60" w:type="dxa"/>
          <w:right w:w="90" w:type="dxa"/>
        </w:tblCellMar>
      </w:tblPr>
      <w:tblGrid>
        <w:gridCol w:w="1440"/>
        <w:gridCol w:w="4650"/>
        <w:gridCol w:w="241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指标</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口径</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用途</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综合准确率</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关键词召回达到题目阈值且回答含有效引用即通过</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判断回答是否“答到点上”</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引用覆盖率</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回答中出现 [n] 且本轮引用非空</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判断是否可追溯</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关键词平均召回</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命中关键词数 ÷ 期望关键词数</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衡量术语覆盖</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平均耗时</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端到端检索 + 生成 + 核验</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衡量可用性</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降级标记</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本轮是否使用离线编排</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避免把离线结果误读为模型效果</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看板还展示使用规模与趋势：学生/教师账号数、会话数、消息数、智能体调用次数、按智能体统计的调用量、平均耗时、降级率，以及最近 7 天的使用趋势。所有数字来自数据库实时聚合。</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3.9 教学资源与作业管理</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除 AI 能力外，平台也实现了课程运行所需的基础教学资源管理，保证“AI 不是悬空的功能”。</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章节视频：上传（单文件最大 500 MB）、按文件夹归类、在线播放、重命名与删除。</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课件资料：上传（单文件最大 200 MB）、下载、文件夹管理、重命名与删除。</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在线作业：教师发布作业与截止时间，学生提交，教师逐份打分与写评语；提交按“作业 + 学生”唯一约束防重复。</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学生信息：教师查看学生名单、学号与账号信息，支持编辑姓名、邮箱与重置密码。</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3.10 合规、安全与权限</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平台面向高校教学场景，合规要求体现在产品行为里，而不是只写在声明中。</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AI 标识：所有生成内容带统一标识“本内容由 AI 生成，已经过学科知识库检索增强，仅供教学与科研参考”。</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学术诚信：命中编造文献、伪造数据、代写论文等意图时拒绝生成，并说明原因；教学性讨论（如“如何避免编造数据”）不被误伤。</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身份与权限：支持 Session、Bearer Token 与游客三种身份；教师可访问教学助手、学生信息、知识库管理与班级学情，学生只能访问个人数据。</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数据边界：默认本地模型与本地知识库，数据不出校内网；接入云侧模型时只传输脱敏后的问答文本。</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可审计：引用、轨迹、模型提供方、耗时、降级状态全部落库，可导出复核。</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3-11  角色与权限</w:t>
      </w:r>
    </w:p>
    <w:tbl>
      <w:tblPr>
        <w:tblW w:w="8504" w:type="dxa"/>
        <w:jc w:val="left"/>
        <w:tblInd w:w="0" w:type="dxa"/>
        <w:tblCellMar>
          <w:top w:w="60" w:type="dxa"/>
          <w:left w:w="90" w:type="dxa"/>
          <w:bottom w:w="60" w:type="dxa"/>
          <w:right w:w="90" w:type="dxa"/>
        </w:tblCellMar>
      </w:tblPr>
      <w:tblGrid>
        <w:gridCol w:w="1140"/>
        <w:gridCol w:w="3540"/>
        <w:gridCol w:w="382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角色</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可见范围</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可执行操作</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游客</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问答、学习/科研工作台、看板</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5 次问答内免登录；不可访问课程管理与知识库写入</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学生</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助学、助研、课程空间、个人画像</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对话、提交作业、测验、签到、发帖、维护个人画像</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教师 / 助教</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全部页面</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建课、发任务点、出题、发签到/通知、批改、知识库管理、查看班级学情</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3.11 工程工具链</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平台的可复现性依赖一组随仓库交付的脚本：它们既能生成演示数据，也能在评审现场自证功能。</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3-12  主要脚本与工具</w:t>
      </w:r>
    </w:p>
    <w:tbl>
      <w:tblPr>
        <w:tblW w:w="8504" w:type="dxa"/>
        <w:jc w:val="left"/>
        <w:tblInd w:w="0" w:type="dxa"/>
        <w:tblCellMar>
          <w:top w:w="60" w:type="dxa"/>
          <w:left w:w="90" w:type="dxa"/>
          <w:bottom w:w="60" w:type="dxa"/>
          <w:right w:w="90" w:type="dxa"/>
        </w:tblCellMar>
      </w:tblPr>
      <w:tblGrid>
        <w:gridCol w:w="1680"/>
        <w:gridCol w:w="4500"/>
        <w:gridCol w:w="232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工具</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作用</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使用方式</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seed_demo.py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教师 + 55 名学生 + 4 次作业 + 196 份提交 + 使用记录</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python scripts/seed_demo.py</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seed_lms.py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1 门课 / 8 章 7 个任务点 / 40 条作答 / 6 次签到 / 3 条通知</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python scripts/seed_lms.py --reset</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smoke_test.py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36 项端到端自检（鉴权、知识库、三场景、多模态、评测、合规）</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python scripts/smoke_test.py</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smoke_lms.py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27 项课程空间自检（含 4 处真实 AI 生成）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python scripts/smoke_lms.py --fast</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bench_kb.py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检索压测：81 到 4.86 万块，输出 p50/p95/QPS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python scripts/bench_kb.py --engine cpp</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verify_kb_equiv.py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C++ 内核与 Python 引擎 top-10 逐位等价校验</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python scripts/verify_kb_equiv.py</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build_kbcore.ps1</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编译 C++ 检索内核并自检能否被 ctypes 加载</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powershell -File scripts/build_kbcore.ps1</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vision_probe.py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绕过 Flask 直接验证本机视觉模型链路</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python scripts/vision_probe.py 图片.png</w:t>
            </w:r>
          </w:p>
        </w:tc>
      </w:tr>
    </w:tbl>
    <w:p>
      <w:pPr>
        <w:spacing w:before="0" w:after="0" w:line="240"/>
        <w:ind w:firstLine="0"/>
        <w:rPr>
          <w:rFonts w:ascii="Times New Roman" w:eastAsia="宋体" w:hAnsi="Times New Roman"/>
          <w:sz w:val="2"/>
        </w:rPr>
      </w:pPr>
    </w:p>
    <w:p>
      <w:pPr>
        <w:keepNext/>
        <w:pageBreakBefore/>
        <w:pBdr>
          <w:bottom w:val="single" w:sz="6" w:space="5" w:color="1F4E79"/>
        </w:pBdr>
        <w:spacing w:before="0" w:after="180"/>
        <w:outlineLvl w:val="0"/>
        <w:rPr>
          <w:rFonts w:ascii="Microsoft YaHei" w:eastAsia="微软雅黑" w:hAnsi="Microsoft YaHei"/>
          <w:b/>
          <w:color w:val="1F4E79"/>
          <w:sz w:val="36"/>
        </w:rPr>
      </w:pPr>
      <w:r>
        <w:rPr>
          <w:rFonts w:ascii="Microsoft YaHei" w:eastAsia="微软雅黑" w:hAnsi="Microsoft YaHei" w:hint="eastAsia"/>
          <w:b/>
          <w:color w:val="1F4E79"/>
          <w:sz w:val="36"/>
        </w:rPr>
        <w:t>第 4 章  技术栈与关键技术</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本章说明平台用了什么技术、为什么这样选，以及关键技术在代码中的落点。技术选型遵循一条原则：优先保证“任何评审机器都能跑起来”，再在可选的性能与效果上做增强。</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4.1 技术选型总表</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4-1  技术栈</w:t>
      </w:r>
    </w:p>
    <w:tbl>
      <w:tblPr>
        <w:tblW w:w="8504" w:type="dxa"/>
        <w:jc w:val="left"/>
        <w:tblInd w:w="0" w:type="dxa"/>
        <w:tblCellMar>
          <w:top w:w="60" w:type="dxa"/>
          <w:left w:w="90" w:type="dxa"/>
          <w:bottom w:w="60" w:type="dxa"/>
          <w:right w:w="90" w:type="dxa"/>
        </w:tblCellMar>
      </w:tblPr>
      <w:tblGrid>
        <w:gridCol w:w="1200"/>
        <w:gridCol w:w="3210"/>
        <w:gridCol w:w="2160"/>
        <w:gridCol w:w="193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层次</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技术 / 组件</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版本 / 形态</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用途</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后端框架</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Python + Flask</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3.10+，Flask ≥ 3.0</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API、静态托管、蓝图</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数据访问</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Flask-SQLAlchemy + SQLite / MySQL</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 3.1；SQLite 默认</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24 张业务表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BM25 + 哈希向量 + C++17 内核</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512 维；C ABI</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混合检索与打分</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生成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Ollama + Qwen3-VL-8B</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8B，约 5.4 GB 权重</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文本生成、看图</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前端</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原生 JS + CSS + marked + highlight.js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零构建 SPA</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交互与渲染</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文档解析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pypdf / python-docx / openpyxl / Pillow</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惰性导入</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PDF、Word、Excel、图片</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微调</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PyTorch + Transformers + PEFT + bitsandbytes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QLoRA 4bit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学科适配（可选）</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部署</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PowerShell / Bash + 项目内运行时</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单机一体化</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一键启动与自检</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4.2 混合检索与引用核验</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检索没有采用“一个向量库 + 余弦相似度”的简化方案，而是把学科检索拆成可解释的多个信号。原因很直接：在《数据结构与算法》里，“时间复杂度”和“空间复杂度”、“最好”和“最坏”、“快速排序”和“希尔排序”在向量空间里非常接近，单一相似度很容易答错对象。</w:t>
      </w:r>
    </w:p>
    <w:p>
      <w:pPr>
        <w:spacing w:before="30" w:after="30" w:line="312"/>
        <w:ind w:firstLine="0"/>
        <w:rPr>
          <w:rFonts w:ascii="Consolas" w:eastAsia="微软雅黑" w:hAnsi="Consolas"/>
          <w:color w:val="243447"/>
          <w:sz w:val="18"/>
        </w:rPr>
      </w:pPr>
      <w:r>
        <w:rPr>
          <w:rFonts w:ascii="Consolas" w:eastAsia="微软雅黑" w:hAnsi="Consolas" w:hint="eastAsia"/>
          <w:color w:val="243447"/>
          <w:sz w:val="18"/>
        </w:rPr>
        <w:t>final = (0.75 × 归一化 BM25 + 0.25 × 归一化向量余弦 + Δ) × 权威度因子</w:t>
      </w:r>
    </w:p>
    <w:p>
      <w:pPr>
        <w:spacing w:before="30" w:after="30" w:line="312"/>
        <w:ind w:firstLine="0"/>
        <w:rPr>
          <w:rFonts w:ascii="Consolas" w:eastAsia="微软雅黑" w:hAnsi="Consolas"/>
          <w:color w:val="243447"/>
          <w:sz w:val="18"/>
        </w:rPr>
      </w:pPr>
      <w:r>
        <w:rPr>
          <w:rFonts w:ascii="Consolas" w:eastAsia="微软雅黑" w:hAnsi="Consolas" w:hint="eastAsia"/>
          <w:color w:val="243447"/>
          <w:sz w:val="18"/>
        </w:rPr>
        <w:t>Δ = 0.18 × 标题/章节命中率 + 0.55 × 查询词覆盖率</w:t>
      </w:r>
    </w:p>
    <w:p>
      <w:pPr>
        <w:spacing w:before="30" w:after="30" w:line="312"/>
        <w:ind w:firstLine="0"/>
        <w:rPr>
          <w:rFonts w:ascii="Consolas" w:eastAsia="微软雅黑" w:hAnsi="Consolas"/>
          <w:color w:val="243447"/>
          <w:sz w:val="18"/>
        </w:rPr>
      </w:pPr>
      <w:r>
        <w:rPr>
          <w:rFonts w:ascii="Consolas" w:eastAsia="微软雅黑" w:hAnsi="Consolas" w:hint="eastAsia"/>
          <w:color w:val="243447"/>
          <w:sz w:val="18"/>
        </w:rPr>
        <w:t xml:space="preserve">    + 0.08 × 来源类型偏好 − 0.20 × 成对概念惩罚</w:t>
      </w:r>
    </w:p>
    <w:p>
      <w:pPr>
        <w:spacing w:before="30" w:after="30" w:line="312"/>
        <w:ind w:firstLine="0"/>
        <w:rPr>
          <w:rFonts w:ascii="Consolas" w:eastAsia="微软雅黑" w:hAnsi="Consolas"/>
          <w:color w:val="243447"/>
          <w:sz w:val="18"/>
        </w:rPr>
      </w:pPr>
      <w:r>
        <w:rPr>
          <w:rFonts w:ascii="Consolas" w:eastAsia="微软雅黑" w:hAnsi="Consolas" w:hint="eastAsia"/>
          <w:color w:val="243447"/>
          <w:sz w:val="18"/>
        </w:rPr>
        <w:t xml:space="preserve">    + 0.20 × 学科实体奖惩 + 0.15 × 连续短语命中</w:t>
      </w:r>
    </w:p>
    <w:p>
      <w:pPr>
        <w:spacing w:before="0" w:after="0" w:line="240"/>
        <w:ind w:firstLine="0"/>
        <w:rPr>
          <w:rFonts w:ascii="Times New Roman" w:eastAsia="宋体" w:hAnsi="Times New Roman"/>
          <w:sz w:val="2"/>
        </w:rPr>
      </w:pP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分词：中文按字二元组 + 单字（短词）+ 英文/数字词，兼容 O(n²)、Dijkstra、GB/T 7714 等写法；索引侧做 NFKC 归一。</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BM25：k1=1.5、b=0.75，IDF 与长度归一在加载或重建时一次算好。</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向量：默认 512 维哈希向量，纯 numpy、无需下载模型；安装 sentence-transformers 后自动切换，语义权重从 0.25 提升到 0.55。</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成对概念：内置 12 组易混概念（时间/空间、最好/最坏、稳定/不稳定、入队/出队、前序/后序等），问 A 却只讲 B 的段落扣分。</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t>•  学科实体：37 个算法/结构实体（快速排序、堆排序、Dijkstra、Floyd、红黑树等），问到的实体不在段落里、段落只讲同类实体时扣分。</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权威度：authority 1—5 折算为 1 − 0.1×(a−1)，教材优先级高于一般资料。</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生成之后进入引用核验：正则提取正文中的 [n]，与工作流本轮 citations 比对；不存在的编号被剔除，未被引用的来源不返回；若正文没有任何引用，则自动补一个“参考来源”块。前端把每条引用渲染为卡片，包含文档、作者、出版社、年份、章节、页码与原文片段。</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这套机制的价值在于：即使换一个模型，引用仍然指向同一批知识块；模型说得对不对可以讨论，但“依据在哪里”始终可查。</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4.3 声明式工作流引擎</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12 个智能体共用一套引擎，新增场景只需写一个函数并注册，不需要改路由、鉴权或前端框架。注册信息包含 id、名称、场景、图标、简介、任务类型、输入表单、步骤列表与标签；前端据此自动渲染表单和执行骨架。</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4-2  AgentContext 提供的能力</w:t>
      </w:r>
    </w:p>
    <w:tbl>
      <w:tblPr>
        <w:tblW w:w="8504" w:type="dxa"/>
        <w:jc w:val="left"/>
        <w:tblInd w:w="0" w:type="dxa"/>
        <w:tblCellMar>
          <w:top w:w="60" w:type="dxa"/>
          <w:left w:w="90" w:type="dxa"/>
          <w:bottom w:w="60" w:type="dxa"/>
          <w:right w:w="90" w:type="dxa"/>
        </w:tblCellMar>
      </w:tblPr>
      <w:tblGrid>
        <w:gridCol w:w="3300"/>
        <w:gridCol w:w="520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方法</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作用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retrieve(step, label, query, top_k)</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检索知识库并记录一步轨迹，返回 Top-K 块</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ask(step, label, prompt, task, chunks)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调用生成模型或离线编排，记录提供方、耗时、降级状态</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note(step, label, text, kind, status)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写入一条不产生正文的轨迹（守卫、校验、工具调用）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skip(step, label, reason)</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条件不满足时跳过某一步，并在轨迹中说明原因</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add_fact(text)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把工作流计算出的确定性事实（如平均分）注入上下文</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material(name, text)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把附件正文登记为可引用材料，source_type=attachment</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result(answer, extra)</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汇总回答、引用、轨迹、事实、图表与建议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verify_citations(answer)</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校验 [n] 是否存在，剔除无效编号并计算引用覆盖率</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引擎支持三类控制流：顺序步骤、条件分支（如学情诊断按“全班/个人”、写作按阶段）、失败降级（某步失败记录原因后继续）。所有步骤都写入 trace，前端可以逐条展开，评审也能看到“这一步到底做了什么”。</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4.4 多模型接入与优雅降级</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模型客户端按 auto 模式依次尝试：本地权重 → 本机 Ollama → 讯飞星火 → 任意 OpenAI 兼容网关 → 离线编排。每一级都有明确的可用性探测，不靠异常兜底。</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4-3  模型提供方与行为</w:t>
      </w:r>
    </w:p>
    <w:tbl>
      <w:tblPr>
        <w:tblW w:w="8504" w:type="dxa"/>
        <w:jc w:val="left"/>
        <w:tblInd w:w="0" w:type="dxa"/>
        <w:tblCellMar>
          <w:top w:w="60" w:type="dxa"/>
          <w:left w:w="90" w:type="dxa"/>
          <w:bottom w:w="60" w:type="dxa"/>
          <w:right w:w="90" w:type="dxa"/>
        </w:tblCellMar>
      </w:tblPr>
      <w:tblGrid>
        <w:gridCol w:w="1230"/>
        <w:gridCol w:w="3750"/>
        <w:gridCol w:w="352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提供方</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触发条件</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行为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local</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存在完整权重且 torch/transformers 可导入</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本地加载，CUDA 可用时 4bit 量化</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ollama</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本机 11434 端口可用且模型存在</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默认路径，生成与看图共用 qwen3-vl:8b</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spark</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配置了 SPARK_API_KEY</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走讯飞星火 HTTP 接口</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openai</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配置了 LLM_BASE_URL + LLM_API_KEY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任意 OpenAI 兼容网关</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offline</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以上都不可用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抽取式结构化编排，明确标注离线模式</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离线编排不是“随便摘几句”。它按任务类型定义了不同的章节计划：答疑是“一句话结论 / 知识原文摘录 / 再想一想”，备课是“教学目标 / 重难点 / 教学环节 / 课堂活动 / 作业”，批改是“评分要点 / 逐项判定 / 改进建议”。句子排序综合查询重合、主题连贯、检索名次、成对概念、实体亲和、附件优先级与长度先验，最终仍逐句标注引用。</w:t>
      </w:r>
    </w:p>
    <w:p>
      <w:pPr>
        <w:keepNext w:val="0"/>
        <w:keepLines w:val="0"/>
        <w:pageBreakBefore w:val="0"/>
        <w:widowControl/>
        <w:spacing w:before="30" w:after="150" w:line="324"/>
        <w:ind w:left="0" w:firstLine="0" w:hanging="0"/>
        <w:jc w:val="justified"/>
        <w:rPr>
          <w:rFonts w:ascii="Times New Roman" w:eastAsia="宋体" w:hAnsi="Times New Roman"/>
          <w:b w:val="0"/>
          <w:color w:val="5B6572"/>
          <w:sz w:val="18"/>
        </w:rPr>
      </w:pPr>
      <w:r>
        <w:rPr>
          <w:rFonts w:ascii="Times New Roman" w:eastAsia="宋体" w:hAnsi="Times New Roman" w:hint="eastAsia"/>
          <w:b w:val="0"/>
          <w:color w:val="5B6572"/>
          <w:sz w:val="18"/>
        </w:rPr>
        <w:t>因此，没有 GPU 的评审机器看到的是“结构化摘录”，而不是报错或空白；有模型时同一套工作流输出连贯自然语言。两种模式的引用与轨迹完全一致。</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4.5 多模态处理</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多模态分两条路径：文档走解析器转文本，图片直接进视觉模型。所有解析器惰性导入，缺依赖时给出可读提示而不是 500。</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4-4  文档与图片处理</w:t>
      </w:r>
    </w:p>
    <w:tbl>
      <w:tblPr>
        <w:tblW w:w="8504" w:type="dxa"/>
        <w:jc w:val="left"/>
        <w:tblInd w:w="0" w:type="dxa"/>
        <w:tblCellMar>
          <w:top w:w="60" w:type="dxa"/>
          <w:left w:w="90" w:type="dxa"/>
          <w:bottom w:w="60" w:type="dxa"/>
          <w:right w:w="90" w:type="dxa"/>
        </w:tblCellMar>
      </w:tblPr>
      <w:tblGrid>
        <w:gridCol w:w="1920"/>
        <w:gridCol w:w="4200"/>
        <w:gridCol w:w="238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输入</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实现</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输出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PDF</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pypdf 逐页抽取，保留【第 N 页】</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分页正文 + 页码</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DOCX</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python-docx 读段落与表格</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结构化正文</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XLSX / CSV / TSV</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openpyxl / csv 逐行读取</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表格文本 + 行列统计</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PNG / JPG / BMP / WEBP</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压缩到最长边 1600 px，base64 送入视觉模型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结构化中文描述 + 图片依据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图片理解失败</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明确返回“未配置视觉模型”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不伪造识别结果</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图片不再“先 OCR 再问答”，而是以 image_url 直接送入多模态模型；提示词要求逐字转写文字、公式、代码与表格，看不清写“不清晰”而不是猜测。回答末尾固定标注图片来源，工作流轨迹中有“图片直读”一步。</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上下文保护：本机模型 num_ctx 为 8192，附件正文按 LLM_CONTEXT_CHARS（默认 6000 字）截断，检索资料同步收窄到 3000 字，避免把模型撑爆。</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4.6 检索性能工程</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一次问答 23—40 秒里，模型推理占 99.9%，检索不是端到端瓶颈。但学科级知识库（数万块）上，原来的 Python 逐块分词会把检索拖到十几秒。平台做了两层优化：把分词与集合特征预计算成索引；把逐块打分循环搬到 C++17 内核。</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4-5  检索性能对照（p50，同一台机器）</w:t>
      </w:r>
    </w:p>
    <w:tbl>
      <w:tblPr>
        <w:tblW w:w="8504" w:type="dxa"/>
        <w:jc w:val="left"/>
        <w:tblInd w:w="0" w:type="dxa"/>
        <w:tblCellMar>
          <w:top w:w="60" w:type="dxa"/>
          <w:left w:w="90" w:type="dxa"/>
          <w:bottom w:w="60" w:type="dxa"/>
          <w:right w:w="90" w:type="dxa"/>
        </w:tblCellMar>
      </w:tblPr>
      <w:tblGrid>
        <w:gridCol w:w="1500"/>
        <w:gridCol w:w="1500"/>
        <w:gridCol w:w="1770"/>
        <w:gridCol w:w="1500"/>
        <w:gridCol w:w="223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知识块数</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原实现</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Python 预计算</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C++ 内核</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相对原实现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81（演示库）</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24.1 ms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0.3 ms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0.1 ms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241×</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810</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227.8 ms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2.2 ms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0.2 ms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1139×</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4,860</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1,372.7 ms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16.6 ms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0.7 ms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1961×</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16,200</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4,722.8 ms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51.7 ms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1.9 ms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2486×</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48,600（学科级）</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14,032.6 ms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152.7 ms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6.1 ms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2300×</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C++ 内核只接收已经分好的 token id，分词仍留在 Python，因此两种引擎看到的分词结果逐字一致；scripts/verify_kb_equiv.py 对 30 条查询的 top-10 在 chunk_id、score、coverage 三个维度做逐位比对。内核缺失或编译失败时自动回退 Python，健康检查如实显示当前引擎。</w:t>
      </w:r>
    </w:p>
    <w:p>
      <w:pPr>
        <w:keepNext w:val="0"/>
        <w:keepLines w:val="0"/>
        <w:pageBreakBefore w:val="0"/>
        <w:widowControl/>
        <w:spacing w:before="30" w:after="150" w:line="324"/>
        <w:ind w:left="0" w:firstLine="0" w:hanging="0"/>
        <w:jc w:val="justified"/>
        <w:rPr>
          <w:rFonts w:ascii="Times New Roman" w:eastAsia="宋体" w:hAnsi="Times New Roman"/>
          <w:b w:val="0"/>
          <w:color w:val="5B6572"/>
          <w:sz w:val="18"/>
        </w:rPr>
      </w:pPr>
      <w:r>
        <w:rPr>
          <w:rFonts w:ascii="Times New Roman" w:eastAsia="宋体" w:hAnsi="Times New Roman" w:hint="eastAsia"/>
          <w:b w:val="0"/>
          <w:color w:val="5B6572"/>
          <w:sz w:val="18"/>
        </w:rPr>
        <w:t>需要强调：上 C++ 的目标不是降低单题延迟，而是让知识库扩到万块以上时检索不塌。单题耗时仍由模型推理决定。</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4.7 LoRA 微调链路</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仓库提供完整的 QLoRA / SFT 脚本，但默认不内置基座权重，平台直接使用 Ollama 的 Qwen3-VL-8B。需要做学科适配时，按以下链路执行：</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4-6  微调配置</w:t>
      </w:r>
    </w:p>
    <w:tbl>
      <w:tblPr>
        <w:tblW w:w="8504" w:type="dxa"/>
        <w:jc w:val="left"/>
        <w:tblInd w:w="0" w:type="dxa"/>
        <w:tblCellMar>
          <w:top w:w="60" w:type="dxa"/>
          <w:left w:w="90" w:type="dxa"/>
          <w:bottom w:w="60" w:type="dxa"/>
          <w:right w:w="90" w:type="dxa"/>
        </w:tblCellMar>
      </w:tblPr>
      <w:tblGrid>
        <w:gridCol w:w="1440"/>
        <w:gridCol w:w="70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环节</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实现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数据构建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build_dataset.py 从知识库与种子问答生成 Alpaca 格式指令集，输出带引用标注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样本格式</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instruction / input / output；训练时套 Qwen chat template</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Loss 掩码</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只对 assistant 段计算 loss，user 段置 -100，避免模型学会复述问题</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量化</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4bit NF4 + 双量化（CUDA 且安装 bitsandbytes 时自动启用）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LoRA</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r=16，alpha=32，覆盖 7 个投影层（q/k/v/o/gate/up/down）</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训练</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默认 3 个 epoch，支持验证集与梯度累积</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导出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保存 adapter；--merge 合并为完整权重，供本地推理或转换 GGUF</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4.8 前端实现</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前端刻意保持“零构建”：没有 Node 依赖、没有打包步骤，index.html 直接加载三个 JS 模块，Flask 同源托管。这样做的好处是评审机器只要装好 Python 就能跑，不会卡在 npm install。</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渲染：marked 解析 Markdown（GFM、breaks），highlight.js 做代码高亮；引用、轨迹、图表由原生 DOM 渲染。</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流式：fetch + ReadableStream 解析 SSE，status/delta/meta/done 四类事件分别处理。</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产物渲染：柱状图、数据表、关键词标签、时间线、KPI 卡片等 artifact 由 renderArtifact 统一渲染。</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体验：暗色模式、侧边栏收起、语音输入、移动端自适应、会话历史、结果复制/下载。</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4.9 数据与可观测性</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平台把“AI 系统的不确定性”尽量转成可观测数据：每次智能体运行记录输入、回答、轨迹、引用、耗时与降级；每次问答写入会话与消息；每次评测写入 evaluation_runs 与 Markdown 报告；用户反馈单独成表。看板按时间窗口聚合，可直接作为效果验证报告的数据来源。</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健康检查 /api/v1/health/stack 会返回模型提供方、视觉链路、知识库引擎、数据库等组件的实时状态，便于现场排查“到底哪一层降级了”。</w:t>
      </w:r>
    </w:p>
    <w:p>
      <w:pPr>
        <w:keepNext/>
        <w:pageBreakBefore/>
        <w:pBdr>
          <w:bottom w:val="single" w:sz="6" w:space="5" w:color="1F4E79"/>
        </w:pBdr>
        <w:spacing w:before="0" w:after="180"/>
        <w:outlineLvl w:val="0"/>
        <w:rPr>
          <w:rFonts w:ascii="Microsoft YaHei" w:eastAsia="微软雅黑" w:hAnsi="Microsoft YaHei"/>
          <w:b/>
          <w:color w:val="1F4E79"/>
          <w:sz w:val="36"/>
        </w:rPr>
      </w:pPr>
      <w:r>
        <w:rPr>
          <w:rFonts w:ascii="Microsoft YaHei" w:eastAsia="微软雅黑" w:hAnsi="Microsoft YaHei" w:hint="eastAsia"/>
          <w:b/>
          <w:color w:val="1F4E79"/>
          <w:sz w:val="36"/>
        </w:rPr>
        <w:t>第 5 章  项目优势</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平台的优势不在于“用了多大的模型”，而在于把垂类应用最容易失守的几件事做成了工程约束：答案有出处、系统能跑通、换学科不改代码、知识库变大不塌、教学过程有闭环、AI 使用有边界。</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5.1 可信：每一条结论都能回到原文</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垂类大模型最大的风险不是“不会答”，而是“答得很像”。平台用四层机制压缩这种风险：</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来源层：知识块自带文档、章节、页码、作者、年份、出版社与权威度，引用不是一句“根据资料”。</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生成层：系统提示强制关键结论带 [n]，并说明资料不足时必须写“知识库未覆盖”。</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校验层：生成后检查 [n] 是否存在，剔除编造或未使用的编号；无引用时补“参考来源”。</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呈现层：引用卡片可展开原文，工作流轨迹可逐步查看“检索了什么、跳过了什么、为什么”。</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这四层不依赖模型是否“听话”。即使换成一个能力更弱的模型，引用仍然指向同一批知识块，评审仍可逐条核对。</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5.2 可复现：任一层缺失都能跑</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很多参赛项目在评审机器上跑不起来，原因是默认了 MySQL、GPU 或某个 pip 包。平台把每个依赖都做成“可选增强”，并给出明确的降级行为。</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5-1  降级路径</w:t>
      </w:r>
    </w:p>
    <w:tbl>
      <w:tblPr>
        <w:tblW w:w="8504" w:type="dxa"/>
        <w:jc w:val="left"/>
        <w:tblInd w:w="0" w:type="dxa"/>
        <w:tblCellMar>
          <w:top w:w="60" w:type="dxa"/>
          <w:left w:w="90" w:type="dxa"/>
          <w:bottom w:w="60" w:type="dxa"/>
          <w:right w:w="90" w:type="dxa"/>
        </w:tblCellMar>
      </w:tblPr>
      <w:tblGrid>
        <w:gridCol w:w="1680"/>
        <w:gridCol w:w="4350"/>
        <w:gridCol w:w="247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缺失项</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系统行为</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对功能的影响</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MySQL</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自动降级到 data/smart_edu.db（SQLite），打印显著警告</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无影响，24 张表自动建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GPU / 模型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切换到离线检索编排，回答标注“离线检索模式”</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连贯度下降，功能与引用完整</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C++ 检索内核</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回退纯 Python 引擎，健康检查显示 engine=python</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检索变慢，结果等价</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sentence-transformers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使用 512 维哈希向量</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语义匹配略弱，BM25 仍为主力</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PDF/Word 解析依赖</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对应格式给出可读提示，其他格式正常</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仅影响该格式附件</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可复现还体现在“可自证”：scripts/smoke_test.py 的 36 项检查与 smoke_lms.py 的 27 项检查都随仓库交付，评审现场执行即可复现报告中的结论；12 题评测可一键重跑并生成新的 Markdown 报告。</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5.3 可推广：换学科不改代码</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平台把“学科”抽成配置，而不是写死在提示词里。换一门课，只需要改三个环境变量并替换知识库目录。</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5-2  学科配置</w:t>
      </w:r>
    </w:p>
    <w:tbl>
      <w:tblPr>
        <w:tblW w:w="8504" w:type="dxa"/>
        <w:jc w:val="left"/>
        <w:tblInd w:w="0" w:type="dxa"/>
        <w:tblCellMar>
          <w:top w:w="60" w:type="dxa"/>
          <w:left w:w="90" w:type="dxa"/>
          <w:bottom w:w="60" w:type="dxa"/>
          <w:right w:w="90" w:type="dxa"/>
        </w:tblCellMar>
      </w:tblPr>
      <w:tblGrid>
        <w:gridCol w:w="2040"/>
        <w:gridCol w:w="3600"/>
        <w:gridCol w:w="28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环境变量</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默认值</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换学科示例</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DISCIPLINE_NAME</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计算机科学与技术</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电子信息工程</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DISCIPLINE_COURSE</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数据结构与算法</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信号与系统</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DISCIPLINE_ALIAS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计算机、软件工程、数据结构、算法、程序设计</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电子、通信、信号、系统</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KB_DOC_DIR</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data/knowledge_base_docs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data/kb_signals</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PLATFORM_NAME</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灵眸智教</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可保留或替换</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替换知识库后，在“知识库管理”点一次“重建索引”，分块、向量、检索与引用会自动适配新学科；12 个智能体的提示词会读取新的学科名称与课程名称，无需逐个修改。</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智能体本身与学科解耦：工作流步骤是通用的教学动作，学科差异由知识库与系统提示承载。</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演示数据与真实数据分离：seed_demo.py / seed_lms.py 只用于演示，真实部署时替换为学校账号导入。</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5.4 性能：为学科级知识库留出余量</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演示库只有 81 个块，检索 24 ms 与 0.1 ms 的差别用户感知不到；但学科级知识库会到数万块，原实现会到 14 秒。平台把逐块打分做成 C++ 内核，48,600 块时 p50 为 6.1 ms，相对原实现约 2300 倍。</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更重要的是“慢在哪”被量化了：一次问答 23—40 秒中，模型推理占 99.9%。因此平台没有把工程精力放在“换更小的模型”上，而是保证检索、引用、编排这些可控部分不成为瓶颈，同时把模型提供方做成可替换项。</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5.5 教学闭环：AI 不悬空</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多数教育 AI 产品停在“问答页”，老师不知道怎么用，学生用完即走。平台把 AI 放进课程流程：课前有导读，课中有任务点与签到，课后有测验、讨论与学情建议；每一次 AI 生成都挂在某个章节、某次测验或某个帖子下，能被当场核对。</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教师视角：建课 → 排任务点 → 生成导读 → 出题 → 发签到/通知 → 看学情与预警。</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学生视角：看导读 → 完成任务点 → 做测验 → 讨论区提问 → 看个人学情。</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数据视角：任务点完成率、测验正确率、出勤率、讨论参与度全部实时统计，预警规则透明可复算。</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5.6 合规：把边界写进产品</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平台在三个位置设置了硬边界：学术诚信守卫在生成前拦截；AI 标识在每次输出中固定展示；权限装饰器在接口层拦截越权访问。合规声明、数据政策与可追溯说明通过 /api/v1/compliance/statement 对外提供，不是只写在文档里。</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5.7 与通用“套壳问答”的差异</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5-3  方案对比</w:t>
      </w:r>
    </w:p>
    <w:tbl>
      <w:tblPr>
        <w:tblW w:w="8504" w:type="dxa"/>
        <w:jc w:val="left"/>
        <w:tblInd w:w="0" w:type="dxa"/>
        <w:tblCellMar>
          <w:top w:w="60" w:type="dxa"/>
          <w:left w:w="90" w:type="dxa"/>
          <w:bottom w:w="60" w:type="dxa"/>
          <w:right w:w="90" w:type="dxa"/>
        </w:tblCellMar>
      </w:tblPr>
      <w:tblGrid>
        <w:gridCol w:w="1350"/>
        <w:gridCol w:w="3150"/>
        <w:gridCol w:w="400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维度</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通用套壳问答</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灵眸智教</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知识来源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模型记忆或临时上传</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11 份结构化文档 / 81 个块，带来源与权威度</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可追溯性</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通常无引用，或引用不可定位</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逐句 [n]，定位到文档 · 章节 · 页码，可展开原文</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执行过程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单次问答，黑盒</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多步骤工作流，轨迹可逐步展开</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场景落地</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一个聊天框</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12 个智能体 + 课程空间 7 个模块</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离线可用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断网即不可用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无模型时结构化摘录，功能完整</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教学数据</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不沉淀</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任务点、测验、签到、讨论、学情全落库</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合规</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依赖模型自觉</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守卫 + 标识 + 权限 + 审计</w:t>
            </w:r>
          </w:p>
        </w:tc>
      </w:tr>
    </w:tbl>
    <w:p>
      <w:pPr>
        <w:spacing w:before="0" w:after="0" w:line="240"/>
        <w:ind w:firstLine="0"/>
        <w:rPr>
          <w:rFonts w:ascii="Times New Roman" w:eastAsia="宋体" w:hAnsi="Times New Roman"/>
          <w:sz w:val="2"/>
        </w:rPr>
      </w:pPr>
    </w:p>
    <w:p>
      <w:pPr>
        <w:keepNext/>
        <w:pageBreakBefore/>
        <w:pBdr>
          <w:bottom w:val="single" w:sz="6" w:space="5" w:color="1F4E79"/>
        </w:pBdr>
        <w:spacing w:before="0" w:after="180"/>
        <w:outlineLvl w:val="0"/>
        <w:rPr>
          <w:rFonts w:ascii="Microsoft YaHei" w:eastAsia="微软雅黑" w:hAnsi="Microsoft YaHei"/>
          <w:b/>
          <w:color w:val="1F4E79"/>
          <w:sz w:val="36"/>
        </w:rPr>
      </w:pPr>
      <w:r>
        <w:rPr>
          <w:rFonts w:ascii="Microsoft YaHei" w:eastAsia="微软雅黑" w:hAnsi="Microsoft YaHei" w:hint="eastAsia"/>
          <w:b/>
          <w:color w:val="1F4E79"/>
          <w:sz w:val="36"/>
        </w:rPr>
        <w:t>第 6 章  验证与效果</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本章的数字来自仓库内的自检脚本、评测报告与数据库统计。演示数据由脚本生成，真实部署时替换为学校数据；两类数据在文中明确区分。</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6.1 功能完整性</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scripts/smoke_test.py 覆盖 10 个板块、36 项检查，全部通过。检查项不是“接口返回 200”，而是校验回答是否包含引用、是否命中场景关键词、是否返回预期结构。</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6-1  36 项端到端自检</w:t>
      </w:r>
    </w:p>
    <w:tbl>
      <w:tblPr>
        <w:tblW w:w="8504" w:type="dxa"/>
        <w:jc w:val="left"/>
        <w:tblInd w:w="0" w:type="dxa"/>
        <w:tblCellMar>
          <w:top w:w="60" w:type="dxa"/>
          <w:left w:w="90" w:type="dxa"/>
          <w:bottom w:w="60" w:type="dxa"/>
          <w:right w:w="90" w:type="dxa"/>
        </w:tblCellMar>
      </w:tblPr>
      <w:tblGrid>
        <w:gridCol w:w="1950"/>
        <w:gridCol w:w="750"/>
        <w:gridCol w:w="580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板块</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项数</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覆盖内容</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健康检查与能力矩阵</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t>4</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服务健康、能力矩阵、三类场景齐备、智能体目录可读</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鉴权与权限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t>2</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教师登录、鉴权态读取</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知识库检索与引用</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t>2</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文档/块统计、检索结果 locator</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多轮对话</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t>5</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首轮回答、引用、AI 标识、轨迹、会话续接</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助教场景</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t>5</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备课、批改建议分、诚信拦截、诊断结论、图表数据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助学场景</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3</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路径、错题、复杂问题</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助研场景</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4</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前沿、写作、写作拦截、合规提问不误伤</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多模态附件</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t>5</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附件上传、附件问答、会话列表、图片上传、图片识别</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评测与看板</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5</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评测完成、报告落盘、使用看板、规模口径、反馈</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合规声明</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t>承诺条款可读</w:t>
            </w:r>
          </w:p>
        </w:tc>
      </w:tr>
    </w:tbl>
    <w:p>
      <w:pPr>
        <w:spacing w:before="0" w:after="0" w:line="240"/>
        <w:ind w:firstLine="0"/>
        <w:rPr>
          <w:rFonts w:ascii="Times New Roman" w:eastAsia="宋体" w:hAnsi="Times New Roman"/>
          <w:sz w:val="2"/>
        </w:rPr>
      </w:pPr>
    </w:p>
    <w:p>
      <w:pPr>
        <w:keepNext w:val="0"/>
        <w:keepLines w:val="0"/>
        <w:pageBreakBefore w:val="0"/>
        <w:widowControl/>
        <w:spacing w:before="30" w:after="150" w:line="324"/>
        <w:ind w:left="0" w:firstLine="0" w:hanging="0"/>
        <w:jc w:val="justified"/>
        <w:rPr>
          <w:rFonts w:ascii="Times New Roman" w:eastAsia="宋体" w:hAnsi="Times New Roman"/>
          <w:b w:val="0"/>
          <w:color w:val="5B6572"/>
          <w:sz w:val="18"/>
        </w:rPr>
      </w:pPr>
      <w:r>
        <w:rPr>
          <w:rFonts w:ascii="Times New Roman" w:eastAsia="宋体" w:hAnsi="Times New Roman" w:hint="eastAsia"/>
          <w:b w:val="0"/>
          <w:color w:val="5B6572"/>
          <w:sz w:val="18"/>
        </w:rPr>
        <w:t>课程空间另有 27 项检查，覆盖任务点、测验判分、AI 回帖、签到、通知、班级统计与 AI 导读/出题/建议；含生成类检查约 3—4 分钟。</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6.2 内容质量</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12 题标准测试集在两种模式下各跑一遍，两组数字分开记录，不混写。</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6-2  12 题评测结果</w:t>
      </w:r>
    </w:p>
    <w:tbl>
      <w:tblPr>
        <w:tblW w:w="8504" w:type="dxa"/>
        <w:jc w:val="left"/>
        <w:tblInd w:w="0" w:type="dxa"/>
        <w:tblCellMar>
          <w:top w:w="60" w:type="dxa"/>
          <w:left w:w="90" w:type="dxa"/>
          <w:bottom w:w="60" w:type="dxa"/>
          <w:right w:w="90" w:type="dxa"/>
        </w:tblCellMar>
      </w:tblPr>
      <w:tblGrid>
        <w:gridCol w:w="1800"/>
        <w:gridCol w:w="3900"/>
        <w:gridCol w:w="280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指标</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生成模式（Qwen3-VL-8B）</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离线基线</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综合准确率</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100%（12/12）</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100%（12/12）</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引用覆盖率</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100%</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100%</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关键词平均召回</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88.9%（多次 82.0%—93.8%）</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88.9%</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平均响应耗时</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约 38.3 秒/题</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约 20 毫秒/题</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引用条数</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4—6 条/题</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4—5 条/题</w:t>
            </w:r>
          </w:p>
        </w:tc>
      </w:tr>
    </w:tbl>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判定口径是“关键词召回达到题目阈值且回答含有效引用编号”。两次运行的召回有波动，原因是生成采样；人工核对显示未命中的题目结论正确，只是术语表述与参考答案不同。</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6.3 多模态实测</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6-3  图片与文档读取</w:t>
      </w:r>
    </w:p>
    <w:tbl>
      <w:tblPr>
        <w:tblW w:w="8504" w:type="dxa"/>
        <w:jc w:val="left"/>
        <w:tblInd w:w="0" w:type="dxa"/>
        <w:tblCellMar>
          <w:top w:w="60" w:type="dxa"/>
          <w:left w:w="90" w:type="dxa"/>
          <w:bottom w:w="60" w:type="dxa"/>
          <w:right w:w="90" w:type="dxa"/>
        </w:tblCellMar>
      </w:tblPr>
      <w:tblGrid>
        <w:gridCol w:w="1650"/>
        <w:gridCol w:w="685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能力</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实测结果</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图片理解</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qwen3-vl:8b 直接读原图，1920×1080 幻灯片约 27 秒；中文标题、要点、KPI 与表格单元格均正确读出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图片可追溯</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回答尾部标注“图片依据：[n] 附件 · 文件名”，轨迹含“图片直读”</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DOCX 读取</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复述实验目的、结论与数据（Dijkstra 62% vs Bellman-Ford 100%），约 40 秒</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XLSX 读取</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逐行读出 92/78/85，算出平均 85，并列出每人分数，约 35 秒</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MD 读取</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定位队满条件 (rear+1)%maxsize==front 并解释牺牲单元，约 38 秒</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6.4 规模化数据</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看板统计来自演示数据库，用于验证“50 人以上规模化使用”的口径与统计链路，不代表真实教学行为。</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6-4  规模指标</w:t>
      </w:r>
    </w:p>
    <w:tbl>
      <w:tblPr>
        <w:tblW w:w="8504" w:type="dxa"/>
        <w:jc w:val="left"/>
        <w:tblInd w:w="0" w:type="dxa"/>
        <w:tblCellMar>
          <w:top w:w="60" w:type="dxa"/>
          <w:left w:w="90" w:type="dxa"/>
          <w:bottom w:w="60" w:type="dxa"/>
          <w:right w:w="90" w:type="dxa"/>
        </w:tblCellMar>
      </w:tblPr>
      <w:tblGrid>
        <w:gridCol w:w="1800"/>
        <w:gridCol w:w="1950"/>
        <w:gridCol w:w="475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指标</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center"/>
              <w:rPr>
                <w:rFonts w:ascii="Microsoft YaHei" w:eastAsia="微软雅黑" w:hAnsi="Microsoft YaHei"/>
                <w:b/>
                <w:color w:val="FFFFFF"/>
                <w:sz w:val="18"/>
              </w:rPr>
            </w:pPr>
            <w:r>
              <w:rPr>
                <w:rFonts w:ascii="Microsoft YaHei" w:eastAsia="微软雅黑" w:hAnsi="Microsoft YaHei" w:hint="eastAsia"/>
                <w:b/>
                <w:color w:val="FFFFFF"/>
                <w:sz w:val="18"/>
              </w:rPr>
              <w:t>数值</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采集方式</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学生账号</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55 人</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users 表 role=student</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教师/助教账号</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2 人</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role in (teacher, admin)</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作业次数</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4 次</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homeworks 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作业提交</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196 份</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homework_submissions 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已批改</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178 份</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score is not null</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平均分</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74.5 分</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已批改提交的均值</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整体提交率</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b w:val="0"/>
                <w:color w:val="1F2937"/>
                <w:sz w:val="17.6"/>
              </w:rPr>
              <w:t>89.1%</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提交数 ÷ (作业数 × 学生数)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使用事件</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center"/>
              <w:rPr>
                <w:rFonts w:ascii="Times New Roman" w:eastAsia="宋体" w:hAnsi="Times New Roman"/>
                <w:b w:val="0"/>
                <w:color w:val="1F2937"/>
                <w:sz w:val="17.6"/>
              </w:rPr>
            </w:pPr>
            <w:r>
              <w:rPr>
                <w:rFonts w:ascii="Times New Roman" w:eastAsia="宋体" w:hAnsi="Times New Roman" w:hint="eastAsia"/>
                <w:b w:val="0"/>
                <w:color w:val="1F2937"/>
                <w:sz w:val="17.6"/>
              </w:rPr>
              <w:t>240+ 条</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usage_events 表</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6.5 已知边界</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以下边界在 README 中同样公开，目的是让评审准确理解平台能力，而不是把演示口径当成生产能力。</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仓库只含源码；模型与推理运行时约 6.6 GB，放在 models/ollama 并随项目文件夹整体拷贝分发，不在 Git 中。</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哈希向量只做近似语义匹配，检索主力是 BM25 + 覆盖率 + 短语 + 实体；安装 sentence-transformers 后可升级语义后端。</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55 名学生、课程空间章节与作答均由脚本生成，属演示数据；真实使用需导入名单后自然积累。</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课程空间的 AI 生成是同步调用（导读/出题/建议 25—50 秒）或后台线程 + 轮询（讨论区回帖），单机 8B 模型并发有限，生产化需接推理队列。</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视频与课件依赖本机磁盘，未接对象存储；并发与权限按课程级单实例设计。</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LoRA 脚本提供完整链路，但默认不内置基座权重；需要微调时自行下载基座。</w:t>
      </w:r>
    </w:p>
    <w:p>
      <w:pPr>
        <w:keepNext/>
        <w:pageBreakBefore/>
        <w:pBdr>
          <w:bottom w:val="single" w:sz="6" w:space="5" w:color="1F4E79"/>
        </w:pBdr>
        <w:spacing w:before="0" w:after="180"/>
        <w:outlineLvl w:val="0"/>
        <w:rPr>
          <w:rFonts w:ascii="Microsoft YaHei" w:eastAsia="微软雅黑" w:hAnsi="Microsoft YaHei"/>
          <w:b/>
          <w:color w:val="1F4E79"/>
          <w:sz w:val="36"/>
        </w:rPr>
      </w:pPr>
      <w:r>
        <w:rPr>
          <w:rFonts w:ascii="Microsoft YaHei" w:eastAsia="微软雅黑" w:hAnsi="Microsoft YaHei" w:hint="eastAsia"/>
          <w:b/>
          <w:color w:val="1F4E79"/>
          <w:sz w:val="36"/>
        </w:rPr>
        <w:t>第 7 章  部署与使用</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7.1 环境要求</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7-1  环境要求</w:t>
      </w:r>
    </w:p>
    <w:tbl>
      <w:tblPr>
        <w:tblW w:w="8504" w:type="dxa"/>
        <w:jc w:val="left"/>
        <w:tblInd w:w="0" w:type="dxa"/>
        <w:tblCellMar>
          <w:top w:w="60" w:type="dxa"/>
          <w:left w:w="90" w:type="dxa"/>
          <w:bottom w:w="60" w:type="dxa"/>
          <w:right w:w="90" w:type="dxa"/>
        </w:tblCellMar>
      </w:tblPr>
      <w:tblGrid>
        <w:gridCol w:w="1440"/>
        <w:gridCol w:w="1950"/>
        <w:gridCol w:w="511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项目</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最低要求</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Python</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3.10+</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已在 3.14 上验证</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数据库</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无需安装</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有 MySQL 用 MySQL，没有自动降级 SQLite</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GPU / 大模型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无需</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未接模型时进入离线检索模式，功能仍可用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视觉模型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8 GB 显存（可选）</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项目内 Ollama + qwen3-vl:8b，生成与看图共用</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内存</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4 GB</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离线模式约 300 MB</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磁盘</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约 7 GB</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代码与数据 13 MB + 运行时 1.2 GB + 权重 5.4 GB</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7.2 启动步骤</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Windows PowerShell 下按以下步骤启动；Linux/macOS 可使用 run.sh。</w:t>
      </w:r>
    </w:p>
    <w:p>
      <w:pPr>
        <w:spacing w:before="30" w:after="30" w:line="312"/>
        <w:ind w:firstLine="0"/>
        <w:rPr>
          <w:rFonts w:ascii="Consolas" w:eastAsia="微软雅黑" w:hAnsi="Consolas"/>
          <w:color w:val="243447"/>
          <w:sz w:val="18"/>
        </w:rPr>
      </w:pPr>
      <w:r>
        <w:rPr>
          <w:rFonts w:ascii="Consolas" w:eastAsia="微软雅黑" w:hAnsi="Consolas"/>
          <w:color w:val="243447"/>
          <w:sz w:val="18"/>
        </w:rPr>
        <w:t>cd E:\SmartEduPlatform</w:t>
      </w:r>
    </w:p>
    <w:p>
      <w:pPr>
        <w:spacing w:before="30" w:after="30" w:line="312"/>
        <w:ind w:firstLine="0"/>
        <w:rPr>
          <w:rFonts w:ascii="Consolas" w:eastAsia="微软雅黑" w:hAnsi="Consolas"/>
          <w:color w:val="243447"/>
          <w:sz w:val="18"/>
        </w:rPr>
      </w:pPr>
      <w:r>
        <w:rPr>
          <w:rFonts w:ascii="Consolas" w:eastAsia="微软雅黑" w:hAnsi="Consolas"/>
          <w:color w:val="243447"/>
          <w:sz w:val="18"/>
        </w:rPr>
        <w:t>python -m venv .venv</w:t>
      </w:r>
    </w:p>
    <w:p>
      <w:pPr>
        <w:spacing w:before="30" w:after="30" w:line="312"/>
        <w:ind w:firstLine="0"/>
        <w:rPr>
          <w:rFonts w:ascii="Consolas" w:eastAsia="微软雅黑" w:hAnsi="Consolas"/>
          <w:color w:val="243447"/>
          <w:sz w:val="18"/>
        </w:rPr>
      </w:pPr>
      <w:r>
        <w:rPr>
          <w:rFonts w:ascii="Consolas" w:eastAsia="微软雅黑" w:hAnsi="Consolas"/>
          <w:color w:val="243447"/>
          <w:sz w:val="18"/>
        </w:rPr>
        <w:t>.\.venv\Scripts\python.exe -m pip install -r requirements.txt</w:t>
      </w:r>
    </w:p>
    <w:p>
      <w:pPr>
        <w:spacing w:before="30" w:after="30" w:line="312"/>
        <w:ind w:firstLine="0"/>
        <w:rPr>
          <w:rFonts w:ascii="Consolas" w:eastAsia="微软雅黑" w:hAnsi="Consolas"/>
          <w:color w:val="243447"/>
          <w:sz w:val="18"/>
        </w:rPr>
      </w:pPr>
      <w:r>
        <w:rPr>
          <w:rFonts w:ascii="Consolas" w:eastAsia="微软雅黑" w:hAnsi="Consolas"/>
          <w:color w:val="243447"/>
          <w:sz w:val="18"/>
        </w:rPr>
        <w:t>.\.venv\Scripts\python.exe scripts\seed_demo.py</w:t>
      </w:r>
    </w:p>
    <w:p>
      <w:pPr>
        <w:spacing w:before="30" w:after="30" w:line="312"/>
        <w:ind w:firstLine="0"/>
        <w:rPr>
          <w:rFonts w:ascii="Consolas" w:eastAsia="微软雅黑" w:hAnsi="Consolas"/>
          <w:color w:val="243447"/>
          <w:sz w:val="18"/>
        </w:rPr>
      </w:pPr>
      <w:r>
        <w:rPr>
          <w:rFonts w:ascii="Consolas" w:eastAsia="微软雅黑" w:hAnsi="Consolas"/>
          <w:color w:val="243447"/>
          <w:sz w:val="18"/>
        </w:rPr>
        <w:t>.\.venv\Scripts\python.exe scripts\seed_lms.py</w:t>
      </w:r>
    </w:p>
    <w:p>
      <w:pPr>
        <w:spacing w:before="30" w:after="30" w:line="312"/>
        <w:ind w:firstLine="0"/>
        <w:rPr>
          <w:rFonts w:ascii="Consolas" w:eastAsia="微软雅黑" w:hAnsi="Consolas"/>
          <w:color w:val="243447"/>
          <w:sz w:val="18"/>
        </w:rPr>
      </w:pPr>
      <w:r>
        <w:rPr>
          <w:rFonts w:ascii="Consolas" w:eastAsia="微软雅黑" w:hAnsi="Consolas"/>
          <w:color w:val="243447"/>
          <w:sz w:val="18"/>
        </w:rPr>
        <w:t>.\.venv\Scripts\python.exe scripts\smoke_test.py</w:t>
      </w:r>
    </w:p>
    <w:p>
      <w:pPr>
        <w:spacing w:before="30" w:after="30" w:line="312"/>
        <w:ind w:firstLine="0"/>
        <w:rPr>
          <w:rFonts w:ascii="Consolas" w:eastAsia="微软雅黑" w:hAnsi="Consolas"/>
          <w:color w:val="243447"/>
          <w:sz w:val="18"/>
        </w:rPr>
      </w:pPr>
      <w:r>
        <w:rPr>
          <w:rFonts w:ascii="Consolas" w:eastAsia="微软雅黑" w:hAnsi="Consolas"/>
          <w:color w:val="243447"/>
          <w:sz w:val="18"/>
        </w:rPr>
        <w:t>.\run.ps1</w:t>
      </w:r>
    </w:p>
    <w:p>
      <w:pPr>
        <w:spacing w:before="0" w:after="0" w:line="240"/>
        <w:ind w:firstLine="0"/>
        <w:rPr>
          <w:rFonts w:ascii="Times New Roman" w:eastAsia="宋体" w:hAnsi="Times New Roman"/>
          <w:sz w:val="2"/>
        </w:rPr>
      </w:pP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浏览器打开 http://127.0.0.1:5000/ 即可。前端由 Flask 同源托管，无需另起服务；run.ps1 -Check 只做环境自检，run.ps1 -Seed 会先重灌演示数据。</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7.3 演示账号</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7-2  演示账号</w:t>
      </w:r>
    </w:p>
    <w:tbl>
      <w:tblPr>
        <w:tblW w:w="8504" w:type="dxa"/>
        <w:jc w:val="left"/>
        <w:tblInd w:w="0" w:type="dxa"/>
        <w:tblCellMar>
          <w:top w:w="60" w:type="dxa"/>
          <w:left w:w="90" w:type="dxa"/>
          <w:bottom w:w="60" w:type="dxa"/>
          <w:right w:w="90" w:type="dxa"/>
        </w:tblCellMar>
      </w:tblPr>
      <w:tblGrid>
        <w:gridCol w:w="1230"/>
        <w:gridCol w:w="2850"/>
        <w:gridCol w:w="1380"/>
        <w:gridCol w:w="304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角色</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账号</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密码</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可见功能</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教师</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teacher@smartedu.cn</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Teacher@123</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 + 助教 + 助研 + 知识库管理 + 看板</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教师（助教）</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assistant@smartedu.cn</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Teacher@123</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同上</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学生</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student2023010101@smartedu.cn</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Student@123</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 + 助研 + 课程空间</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游客</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直接访问</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问答（5 次）、学习/科研工作台、看板</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7.4 换一门学科</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按以下顺序操作，不需要改代码：</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设置 DISCIPLINE_NAME、DISCIPLINE_COURSE、DISCIPLINE_ALIAS 与 KB_DOC_DIR。</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把新学科的教材、大纲、标准、案例与论文放入 KB_DOC_DIR，建议使用 Markdown + front-matter。</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在“知识库管理”点“重建索引”，等待索引完成。</w:t>
      </w:r>
    </w:p>
    <w:p>
      <w:pPr>
        <w:keepNext w:val="0"/>
        <w:keepLines w:val="0"/>
        <w:pageBreakBefore w:val="0"/>
        <w:widowControl/>
        <w:spacing w:before="0" w:after="45" w:line="348"/>
        <w:ind w:left="240" w:firstLine="0" w:hanging="240"/>
        <w:jc w:val="justified"/>
        <w:rPr>
          <w:rFonts w:ascii="Times New Roman" w:eastAsia="宋体" w:hAnsi="Times New Roman"/>
          <w:b w:val="0"/>
          <w:color w:val="1F2937"/>
          <w:sz w:val="21"/>
        </w:rPr>
      </w:pPr>
      <w:r>
        <w:rPr>
          <w:rFonts w:ascii="Times New Roman" w:eastAsia="宋体" w:hAnsi="Times New Roman" w:hint="eastAsia"/>
          <w:b w:val="0"/>
          <w:color w:val="1F2937"/>
          <w:sz w:val="21"/>
        </w:rPr>
        <w:t>•  检查“检索自测”是否命中，再运行 smoke_test.py 验证全链路。</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7.5 常见问题</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启动后回答显示“离线检索模式”</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说明没有检测到可用模型。检查项目内 models/ollama/runtime/ollama.exe 是否存在、11434 端口是否可用、模型是否在 store 中；run.ps1 -Check 会逐项打印。离线模式不影响功能验收。</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提示“未配置视觉模型”</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图片识别需要本机 Ollama 或 VISION_PROVIDER=openai 的兼容服务。按 README 启动视觉模型后重试；系统不会把未识别当成识别成功。</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知识库检索不到新上传的文档</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确认文件扩展名受支持、正文不少于 20 字；上传后索引会自动增量重建，也可手动点“重建索引”。</w:t>
      </w:r>
    </w:p>
    <w:p>
      <w:pPr>
        <w:keepNext/>
        <w:spacing w:before="150" w:after="60"/>
        <w:outlineLvl w:val="2"/>
        <w:rPr>
          <w:rFonts w:ascii="Microsoft YaHei" w:eastAsia="微软雅黑" w:hAnsi="Microsoft YaHei"/>
          <w:b/>
          <w:color w:val="1F2937"/>
          <w:sz w:val="22"/>
        </w:rPr>
      </w:pPr>
      <w:r>
        <w:rPr>
          <w:rFonts w:ascii="Microsoft YaHei" w:eastAsia="微软雅黑" w:hAnsi="Microsoft YaHei" w:hint="eastAsia"/>
          <w:b/>
          <w:color w:val="1F2937"/>
          <w:sz w:val="22"/>
        </w:rPr>
        <w:t>要不要装 GPU 和 torch</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不需要。默认路径是 Ollama + qwen3-vl:8b；只有选择 LLM_PROVIDER=local 直连 HuggingFace 权重时才需要 torch/transformers。</w:t>
      </w:r>
    </w:p>
    <w:p>
      <w:pPr>
        <w:keepNext/>
        <w:pageBreakBefore/>
        <w:pBdr>
          <w:bottom w:val="single" w:sz="6" w:space="5" w:color="1F4E79"/>
        </w:pBdr>
        <w:spacing w:before="0" w:after="180"/>
        <w:outlineLvl w:val="0"/>
        <w:rPr>
          <w:rFonts w:ascii="Microsoft YaHei" w:eastAsia="微软雅黑" w:hAnsi="Microsoft YaHei"/>
          <w:b/>
          <w:color w:val="1F4E79"/>
          <w:sz w:val="36"/>
        </w:rPr>
      </w:pPr>
      <w:r>
        <w:rPr>
          <w:rFonts w:ascii="Microsoft YaHei" w:eastAsia="微软雅黑" w:hAnsi="Microsoft YaHei" w:hint="eastAsia"/>
          <w:b/>
          <w:color w:val="1F4E79"/>
          <w:sz w:val="36"/>
        </w:rPr>
        <w:t>附  录</w:t>
      </w: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附录 A  主要接口清单</w:t>
      </w:r>
    </w:p>
    <w:p>
      <w:pPr>
        <w:keepNext w:val="0"/>
        <w:keepLines w:val="0"/>
        <w:pageBreakBefore w:val="0"/>
        <w:widowControl/>
        <w:spacing w:before="0" w:after="90" w:line="360"/>
        <w:ind w:left="0" w:firstLine="42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所有接口以 /api/v1 为前缀，统一返回 { code, message, data }。下表列出评审最可能用到的接口。</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A-1  主要接口</w:t>
      </w:r>
    </w:p>
    <w:tbl>
      <w:tblPr>
        <w:tblW w:w="8504" w:type="dxa"/>
        <w:jc w:val="left"/>
        <w:tblInd w:w="0" w:type="dxa"/>
        <w:tblCellMar>
          <w:top w:w="60" w:type="dxa"/>
          <w:left w:w="90" w:type="dxa"/>
          <w:bottom w:w="60" w:type="dxa"/>
          <w:right w:w="90" w:type="dxa"/>
        </w:tblCellMar>
      </w:tblPr>
      <w:tblGrid>
        <w:gridCol w:w="960"/>
        <w:gridCol w:w="4500"/>
        <w:gridCol w:w="304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方法</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路径</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用途</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/health、/health/stack</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服务与各层组件健康状态</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/auth/login、/auth/register</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登录、注册</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/chat、/chat/stream</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多轮对话、SSE 流式对话</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/conversations、/conversations/&lt;id&gt;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会话列表与详情</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/agents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智能体目录（场景、表单、步骤）</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/agents/&lt;id&gt;/run</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运行指定智能体</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/code/evaluate</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代码评审</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/diagnosis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学情诊断</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GET/PATCH</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/profile</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读取/更新学习画像</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/kb/upload、/kb/rebuild</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上传文档、重建索引</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/kb/docs、/kb/stats</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文档列表与统计</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/kb/search</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检索自测</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/eval/run</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运行标准测试集</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/eval/history</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评测历史</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/analytics/overview</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使用与质量看板</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/feedback</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提交满意度反馈</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/compliance/statement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合规声明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/courses、/overview</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课程列表、我的待办</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/chapters/&lt;id&gt;/intro</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课前导读</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/chapters/&lt;id&gt;/quiz</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AI 随堂出题</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/quizzes/&lt;id&gt;/submit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提交测验并判分</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/courses/&lt;id&gt;/discussions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发帖（触发 AI 助教回帖）</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POST</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/courses/&lt;id&gt;/signin、/signins/&lt;id&gt;/checkin</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发起签到、学生签到</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GET</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/courses/&lt;id&gt;/dashboard</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课程学情看板</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附录 B  智能体索引</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B-1  12 个智能体</w:t>
      </w:r>
    </w:p>
    <w:tbl>
      <w:tblPr>
        <w:tblW w:w="8504" w:type="dxa"/>
        <w:jc w:val="left"/>
        <w:tblInd w:w="0" w:type="dxa"/>
        <w:tblCellMar>
          <w:top w:w="60" w:type="dxa"/>
          <w:left w:w="90" w:type="dxa"/>
          <w:bottom w:w="60" w:type="dxa"/>
          <w:right w:w="90" w:type="dxa"/>
        </w:tblCellMar>
      </w:tblPr>
      <w:tblGrid>
        <w:gridCol w:w="1500"/>
        <w:gridCol w:w="1620"/>
        <w:gridCol w:w="660"/>
        <w:gridCol w:w="2250"/>
        <w:gridCol w:w="2489"/>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b/>
                <w:color w:val="FFFFFF"/>
                <w:sz w:val="18"/>
              </w:rPr>
              <w:t>ID</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名称</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场景</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典型输入</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核心产出</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tutor</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智能答疑</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问题、附件、引导风格</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分步讲解 + 引用 + 追问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learning_path</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学习路径规划</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目标、周期、水平</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分阶段任务与调整规则</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mistake_review</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错题归因</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题目、学生答案</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错误类型 + 变式题</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quiz</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自测练习</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知识点、题量、难度</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题目 + 解析 + 考点</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complex_solver</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复杂问题求解</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助学</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问题、约束、目标</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拆解 + 预警 + 第一步</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lesson_plan</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智能备课</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助教</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主题、课时、对象</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七段式教学设计</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grading</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作业与试题批改</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助教</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题目、作答、满分</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建议分 + 评分依据</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class_diagnosis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学情精准诊断</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助教</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范围、学号、关注点</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统计 + 薄弱点 + 预警</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material_gen</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课件素材生成</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助教</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章节、素材类型</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讲义 + 代码 + 练习</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frontier</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前沿追踪</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助研</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方向、关键词</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主题 + 趋势 + 假设</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writing</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学术写作辅助</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助研</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阶段、主题、材料</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框架 + 润色 + 著录模板</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data_analysis</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科研数据分析</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助研</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CSV/Excel、分析类型</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统计 + 图表 + 建议</w:t>
            </w:r>
          </w:p>
        </w:tc>
      </w:tr>
    </w:tbl>
    <w:p>
      <w:pPr>
        <w:spacing w:before="0" w:after="0" w:line="240"/>
        <w:ind w:firstLine="0"/>
        <w:rPr>
          <w:rFonts w:ascii="Times New Roman" w:eastAsia="宋体" w:hAnsi="Times New Roman"/>
          <w:sz w:val="2"/>
        </w:rPr>
      </w:pPr>
    </w:p>
    <w:p>
      <w:pPr>
        <w:keepNext/>
        <w:spacing w:before="240" w:after="90"/>
        <w:outlineLvl w:val="1"/>
        <w:rPr>
          <w:rFonts w:ascii="Microsoft YaHei" w:eastAsia="微软雅黑" w:hAnsi="Microsoft YaHei"/>
          <w:b/>
          <w:color w:val="2E74B5"/>
          <w:sz w:val="27"/>
        </w:rPr>
      </w:pPr>
      <w:r>
        <w:rPr>
          <w:rFonts w:ascii="Microsoft YaHei" w:eastAsia="微软雅黑" w:hAnsi="Microsoft YaHei" w:hint="eastAsia"/>
          <w:b/>
          <w:color w:val="2E74B5"/>
          <w:sz w:val="27"/>
        </w:rPr>
        <w:t>附录 C  术语表</w:t>
      </w:r>
    </w:p>
    <w:p>
      <w:pPr>
        <w:keepNext/>
        <w:keepLines w:val="0"/>
        <w:pageBreakBefore w:val="0"/>
        <w:widowControl/>
        <w:spacing w:before="120" w:after="60" w:line="312"/>
        <w:ind w:left="0" w:firstLine="0" w:hanging="0"/>
        <w:jc w:val="left"/>
        <w:rPr>
          <w:rFonts w:ascii="Microsoft YaHei" w:eastAsia="微软雅黑" w:hAnsi="Microsoft YaHei"/>
          <w:b w:val="0"/>
          <w:color w:val="5B6572"/>
          <w:sz w:val="18"/>
        </w:rPr>
      </w:pPr>
      <w:r>
        <w:rPr>
          <w:rFonts w:ascii="Microsoft YaHei" w:eastAsia="微软雅黑" w:hAnsi="Microsoft YaHei" w:hint="eastAsia"/>
          <w:b w:val="0"/>
          <w:color w:val="5B6572"/>
          <w:sz w:val="18"/>
        </w:rPr>
        <w:t>表 C-1  术语</w:t>
      </w:r>
    </w:p>
    <w:tbl>
      <w:tblPr>
        <w:tblW w:w="8504" w:type="dxa"/>
        <w:jc w:val="left"/>
        <w:tblInd w:w="0" w:type="dxa"/>
        <w:tblCellMar>
          <w:top w:w="60" w:type="dxa"/>
          <w:left w:w="90" w:type="dxa"/>
          <w:bottom w:w="60" w:type="dxa"/>
          <w:right w:w="90" w:type="dxa"/>
        </w:tblCellMar>
      </w:tblPr>
      <w:tblGrid>
        <w:gridCol w:w="1440"/>
        <w:gridCol w:w="7064"/>
      </w:tblGrid>
      <w:tr>
        <w:trPr>
          <w:trHeight w:val="450" w:hRule="atLeast"/>
          <w:tblHeader/>
        </w:trPr>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术语</w:t>
            </w:r>
          </w:p>
        </w:tc>
        <w:tc>
          <w:tcPr>
            <w:tcBorders>
              <w:top w:val="single" w:sz="5" w:space="0" w:color="D3DCE6"/>
              <w:left w:val="single" w:sz="5" w:space="0" w:color="D3DCE6"/>
              <w:bottom w:val="single" w:sz="5" w:space="0" w:color="D3DCE6"/>
              <w:right w:val="single" w:sz="5" w:space="0" w:color="D3DCE6"/>
            </w:tcBorders>
            <w:shd w:val="clear" w:color="auto" w:fill="1F4E79"/>
            <w:tcMar>
              <w:top w:w="60" w:type="dxa"/>
              <w:left w:w="90" w:type="dxa"/>
              <w:bottom w:w="60" w:type="dxa"/>
              <w:right w:w="90" w:type="dxa"/>
            </w:tcMar>
          </w:tcPr>
          <w:p>
            <w:pPr>
              <w:keepLines/>
              <w:spacing w:before="0" w:after="0" w:line="300"/>
              <w:ind w:firstLine="0"/>
              <w:jc w:val="left"/>
              <w:rPr>
                <w:rFonts w:ascii="Microsoft YaHei" w:eastAsia="微软雅黑" w:hAnsi="Microsoft YaHei"/>
                <w:b/>
                <w:color w:val="FFFFFF"/>
                <w:sz w:val="18"/>
              </w:rPr>
            </w:pPr>
            <w:r>
              <w:rPr>
                <w:rFonts w:ascii="Microsoft YaHei" w:eastAsia="微软雅黑" w:hAnsi="Microsoft YaHei" w:hint="eastAsia"/>
                <w:b/>
                <w:color w:val="FFFFFF"/>
                <w:sz w:val="18"/>
              </w:rPr>
              <w:t>说明</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RAG</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检索增强生成：先检索知识库，再把检索结果作为依据交给模型生成</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BM25</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经典的词法相关性排序算法，按词频、逆文档频率与长度归一打分</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工作流</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由多个步骤组成、可带条件分支与失败降级的任务执行过程</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引用核验</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检查回答中的 [n] 是否真实存在于本轮检索结果，并剔除无效编号</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权威度</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知识来源的可信等级（1—5），用于检索加权</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locator</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引用定位信息：文档 · 章节 · 页码</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降级</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某个组件不可用时切换到备选路径，保证功能不中断</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离线编排</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没有大模型时，把知识库原文按任务结构组织成可读内容的生成方式</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QLoRA</w:t>
            </w:r>
          </w:p>
        </w:tc>
        <w:tc>
          <w:tcPr>
            <w:tcBorders>
              <w:top w:val="single" w:sz="5" w:space="0" w:color="D3DCE6"/>
              <w:left w:val="single" w:sz="5" w:space="0" w:color="D3DCE6"/>
              <w:bottom w:val="single" w:sz="5" w:space="0" w:color="D3DCE6"/>
              <w:right w:val="single" w:sz="5" w:space="0" w:color="D3DCE6"/>
            </w:tcBorders>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4bit 量化 + LoRA 的低成本微调方法</w:t>
            </w:r>
          </w:p>
        </w:tc>
      </w:tr>
      <w:tr>
        <w:trPr>
          <w:trHeight w:val="450" w:hRule="atLeast"/>
          <w:tblHeader w:val="0"/>
        </w:trPr>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b w:val="0"/>
                <w:color w:val="1F2937"/>
                <w:sz w:val="17.6"/>
              </w:rPr>
              <w:t>SSE</w:t>
            </w:r>
          </w:p>
        </w:tc>
        <w:tc>
          <w:tcPr>
            <w:tcBorders>
              <w:top w:val="single" w:sz="5" w:space="0" w:color="D3DCE6"/>
              <w:left w:val="single" w:sz="5" w:space="0" w:color="D3DCE6"/>
              <w:bottom w:val="single" w:sz="5" w:space="0" w:color="D3DCE6"/>
              <w:right w:val="single" w:sz="5" w:space="0" w:color="D3DCE6"/>
            </w:tcBorders>
            <w:shd w:val="clear" w:color="auto" w:fill="F5F8FC"/>
            <w:tcMar>
              <w:top w:w="60" w:type="dxa"/>
              <w:left w:w="90" w:type="dxa"/>
              <w:bottom w:w="60" w:type="dxa"/>
              <w:right w:w="90" w:type="dxa"/>
            </w:tcMar>
          </w:tcPr>
          <w:p>
            <w:pPr>
              <w:keepLines/>
              <w:spacing w:before="0" w:after="0" w:line="300"/>
              <w:ind w:firstLine="0"/>
              <w:jc w:val="left"/>
              <w:rPr>
                <w:rFonts w:ascii="Times New Roman" w:eastAsia="宋体" w:hAnsi="Times New Roman"/>
                <w:b w:val="0"/>
                <w:color w:val="1F2937"/>
                <w:sz w:val="17.6"/>
              </w:rPr>
            </w:pPr>
            <w:r>
              <w:rPr>
                <w:rFonts w:ascii="Times New Roman" w:eastAsia="宋体" w:hAnsi="Times New Roman" w:hint="eastAsia"/>
                <w:b w:val="0"/>
                <w:color w:val="1F2937"/>
                <w:sz w:val="17.6"/>
              </w:rPr>
              <w:t>服务器发送事件，用于流式输出回答</w:t>
            </w:r>
          </w:p>
        </w:tc>
      </w:tr>
    </w:tbl>
    <w:p>
      <w:pPr>
        <w:spacing w:before="0" w:after="0" w:line="240"/>
        <w:ind w:firstLine="0"/>
        <w:rPr>
          <w:rFonts w:ascii="Times New Roman" w:eastAsia="宋体" w:hAnsi="Times New Roman"/>
          <w:sz w:val="2"/>
        </w:rPr>
      </w:pPr>
    </w:p>
    <w:p>
      <w:pPr>
        <w:keepNext w:val="0"/>
        <w:keepLines w:val="0"/>
        <w:pageBreakBefore w:val="0"/>
        <w:widowControl/>
        <w:pBdr>
          <w:left w:val="single" w:sz="13" w:space="5" w:color="2E74B5"/>
        </w:pBdr>
        <w:spacing w:before="120" w:after="180" w:line="348"/>
        <w:ind w:left="0" w:firstLine="0" w:hanging="0"/>
        <w:jc w:val="justified"/>
        <w:rPr>
          <w:rFonts w:ascii="Times New Roman" w:eastAsia="宋体" w:hAnsi="Times New Roman"/>
          <w:b w:val="0"/>
          <w:color w:val="1F2937"/>
          <w:sz w:val="21"/>
        </w:rPr>
      </w:pPr>
      <w:r>
        <w:rPr>
          <w:rFonts w:ascii="Times New Roman" w:eastAsia="宋体" w:hAnsi="Times New Roman" w:hint="eastAsia"/>
          <w:b w:val="0"/>
          <w:color w:val="1F2937"/>
          <w:sz w:val="21"/>
        </w:rPr>
        <w:t>文档到此结束。平台的全部代码、知识库、演示数据、评测报告与自检脚本均在同一仓库内；如需现场复现，请从第 7 章的启动步骤开始。</w:t>
      </w:r>
    </w:p>
    <w:sectPr>
      <w:pgSz w:w="11906" w:h="16838"/>
      <w:pgMar w:top="1417" w:right="1701" w:bottom="1417" w:left="1701" w:header="720" w:footer="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Relationships xmlns="http://schemas.openxmlformats.org/package/2006/relationships"><Relationship Id="rIdNumbering" Type="http://schemas.openxmlformats.org/officeDocument/2006/relationships/numbering" Target="numbering.xml"/><Relationship Id="rIdSettings" Type="http://schemas.openxmlformats.org/officeDocument/2006/relationships/settings" Target="settings.xml"/><Relationship Id="rIdStyles" Type="http://schemas.openxmlformats.org/officeDocument/2006/relationships/styles" Target="styles.xml"/><Relationship Id="rIdTheme" Type="http://schemas.openxmlformats.org/officeDocument/2006/relationships/theme" Target="theme/theme1.xml"/><Relationship Id="rIdFontTable"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Company>Univer.ai</Company>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如何看待大学生上课玩手机</dc:title>
  <dc:subject>大学生课堂手机使用现象分析</dc:subject>
  <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