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ရင်းနှီးမြှပ်နှံမှုနှင့်နိုင်ငံခြားစီးပွားဆက်သွယ်ရေးဝန်ကြီးဌာန</w:t>
      </w:r>
      <w:bookmarkEnd w:id="0"/>
    </w:p>
    <w:p>
      <w:pPr>
        <w:pStyle w:val="Heading2"/>
      </w:pPr>
      <w:bookmarkStart w:id="1" w:name="_Toc1"/>
      <w:r>
        <w:t>၂၀၂၄ခုနှစ်၊၁၀လအတွင်း တာဝန်ပျက်ကွက်သူဝန်ထမ်းများအား အရေးယူဆောင်ရွက်ပြီးစီးမှုနှင့် ဆောင်ရွက်ဆဲစာရင်း</w:t>
      </w:r>
      <w:bookmarkEnd w:id="1"/>
    </w:p>
    <w:tbl>
      <w:tblGrid>
        <w:gridCol w:w="20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စဥ်</w:t>
            </w:r>
          </w:p>
        </w:tc>
        <w:tc>
          <w:tcPr>
            <w:tcW w:w="4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ဌာနအမည်</w:t>
            </w:r>
          </w:p>
        </w:tc>
        <w:tc>
          <w:tcPr>
            <w:tcW w:w="7000" w:type="dxa"/>
            <w:vAlign w:val="center"/>
            <w:gridSpan w:val="7"/>
            <w:noWrap/>
          </w:tcPr>
          <w:p>
            <w:pPr/>
            <w:r>
              <w:rPr/>
              <w:t xml:space="preserve">နိုင်ငံ့ဝန်ထမ်းဥပ‌‌ဒေနည်းပညာအရ အရေးယူမှုပြီးစီးမှု</w:t>
            </w:r>
          </w:p>
        </w:tc>
        <w:tc>
          <w:tcPr>
            <w:tcW w:w="3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ပုဒ်မ၅၀၅ဖြင့်အရေးယူပြီးစီးမှု</w:t>
            </w:r>
          </w:p>
        </w:tc>
        <w:tc>
          <w:tcPr>
            <w:tcW w:w="3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အရေးယူဆောင်ရွက်ဆဲအင်အား</w:t>
            </w:r>
          </w:p>
        </w:tc>
        <w:tc>
          <w:tcPr>
            <w:tcW w:w="3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စုစုပေါင်း</w:t>
            </w:r>
          </w:p>
        </w:tc>
      </w:tr>
      <w:tr>
        <w:trPr/>
        <w:tc>
          <w:tcPr>
            <w:tcW w:w="2000" w:type="dxa"/>
            <w:vMerge w:val="continue"/>
            <w:noWrap/>
          </w:tcPr>
          <w:p/>
        </w:tc>
        <w:tc>
          <w:tcPr>
            <w:tcW w:w="4000" w:type="dxa"/>
            <w:vMerge w:val="continue"/>
            <w:noWrap/>
          </w:tcPr>
          <w:p/>
        </w:tc>
        <w:tc>
          <w:tcPr>
            <w:tcW w:w="1000" w:type="dxa"/>
            <w:noWrap/>
          </w:tcPr>
          <w:p>
            <w:pPr/>
            <w:r>
              <w:rPr/>
              <w:t xml:space="preserve">စာဖြင့် သတိပေးခြင်း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နှစ်တိုးလစာရပ်ဆိုင်းခြင်း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ရာထူးတိုးမြှင့်ခြင်းကိုရပ်ဆိုင်းခြင်း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လစာနှုန်းအတွင်းလစာလျှော့ချခြင်း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ရာထူးအဆင့်လျှော့ချခြင်း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ရာထူးမှထုတ်ပယ်ခြင်း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ရာထူးအဖြစ်မှထုတ်ပစ်ခြင်း</w:t>
            </w:r>
          </w:p>
        </w:tc>
        <w:tc>
          <w:tcPr>
            <w:tcW w:w="4000" w:type="dxa"/>
            <w:vMerge w:val="continue"/>
            <w:noWrap/>
          </w:tcPr>
          <w:p/>
        </w:tc>
        <w:tc>
          <w:tcPr>
            <w:tcW w:w="4000" w:type="dxa"/>
            <w:vMerge w:val="continue"/>
            <w:noWrap/>
          </w:tcPr>
          <w:p/>
        </w:tc>
        <w:tc>
          <w:tcPr>
            <w:tcW w:w="4000" w:type="dxa"/>
            <w:vMerge w:val="continue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ရင်းနှီးမြှပ်နှံမှုနှင့်ကုမ္ပဏီများညွှန်ကြားမှုဦးစီးဌာန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စုစုပေါင်း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yidaungsu" w:hAnsi="Pyidaungsu" w:eastAsia="Pyidaungsu" w:cs="Pyidaungsu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center"/>
    </w:pPr>
    <w:rPr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2024-12-06T10:19:47+00:00</dcterms:created>
  <dcterms:modified xsi:type="dcterms:W3CDTF">2024-12-06T10:19:47+00:00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