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Video-Based Bus EDS Recognition System</w:t>
      </w:r>
    </w:p>
    <w:p>
      <w:r>
        <w:t>Consolidated project documentation</w:t>
      </w:r>
    </w:p>
    <w:p>
      <w:r>
        <w:t>GJY DL | 6 October 2026</w:t>
      </w:r>
    </w:p>
    <w:p>
      <w:r>
        <w:t>Purpose: record the team’s confirmed decisions, the supplied workflow and reference data, recommended model and evaluation options, and questions that remain open before slide preparation.</w:t>
      </w:r>
    </w:p>
    <w:p>
      <w:r>
        <w:t>EDS means Electronic Display Signage. OCR means optical character recognition. The reference to “ADS” in the response is interpreted as EDS because the project consistently concerns bus electronic displays.</w:t>
      </w:r>
    </w:p>
    <w:p>
      <w:pPr>
        <w:pStyle w:val="Heading2"/>
      </w:pPr>
      <w:r>
        <w:t>How to read this document</w:t>
      </w:r>
    </w:p>
    <w:tbl>
      <w:tblPr>
        <w:tblStyle w:val="LightShading-Accent1"/>
        <w:tblW w:type="auto" w:w="0"/>
        <w:tblLook w:firstColumn="1" w:firstRow="1" w:lastColumn="0" w:lastRow="0" w:noHBand="0" w:noVBand="1" w:val="04A0"/>
      </w:tblPr>
      <w:tblGrid>
        <w:gridCol w:w="5040"/>
        <w:gridCol w:w="5040"/>
      </w:tblGrid>
      <w:tr>
        <w:trPr>
          <w:cantSplit/>
          <w:tblHeader/>
        </w:trPr>
        <w:tc>
          <w:tcPr>
            <w:tcW w:type="dxa" w:w="5040"/>
          </w:tcPr>
          <w:p>
            <w:r>
              <w:rPr>
                <w:sz w:val="18"/>
              </w:rPr>
              <w:t>Label</w:t>
            </w:r>
          </w:p>
        </w:tc>
        <w:tc>
          <w:tcPr>
            <w:tcW w:type="dxa" w:w="5040"/>
          </w:tcPr>
          <w:p>
            <w:r>
              <w:rPr>
                <w:sz w:val="18"/>
              </w:rPr>
              <w:t>Meaning</w:t>
            </w:r>
          </w:p>
        </w:tc>
      </w:tr>
      <w:tr>
        <w:trPr>
          <w:cantSplit/>
        </w:trPr>
        <w:tc>
          <w:tcPr>
            <w:tcW w:type="dxa" w:w="5040"/>
          </w:tcPr>
          <w:p>
            <w:r>
              <w:rPr>
                <w:sz w:val="18"/>
              </w:rPr>
              <w:t>Confirmed</w:t>
            </w:r>
          </w:p>
        </w:tc>
        <w:tc>
          <w:tcPr>
            <w:tcW w:type="dxa" w:w="5040"/>
          </w:tcPr>
          <w:p>
            <w:r>
              <w:rPr>
                <w:sz w:val="18"/>
              </w:rPr>
              <w:t>Explicitly supplied or confirmed by the user. This records intent, not proof that implementation is complete.</w:t>
            </w:r>
          </w:p>
        </w:tc>
      </w:tr>
      <w:tr>
        <w:trPr>
          <w:cantSplit/>
        </w:trPr>
        <w:tc>
          <w:tcPr>
            <w:tcW w:type="dxa" w:w="5040"/>
          </w:tcPr>
          <w:p>
            <w:r>
              <w:rPr>
                <w:sz w:val="18"/>
              </w:rPr>
              <w:t>Observed</w:t>
            </w:r>
          </w:p>
        </w:tc>
        <w:tc>
          <w:tcPr>
            <w:tcW w:type="dxa" w:w="5040"/>
          </w:tcPr>
          <w:p>
            <w:r>
              <w:rPr>
                <w:sz w:val="18"/>
              </w:rPr>
              <w:t>Verified from the uploaded workflow or CSV.</w:t>
            </w:r>
          </w:p>
        </w:tc>
      </w:tr>
      <w:tr>
        <w:trPr>
          <w:cantSplit/>
        </w:trPr>
        <w:tc>
          <w:tcPr>
            <w:tcW w:type="dxa" w:w="5040"/>
          </w:tcPr>
          <w:p>
            <w:r>
              <w:rPr>
                <w:sz w:val="18"/>
              </w:rPr>
              <w:t>Recommended</w:t>
            </w:r>
          </w:p>
        </w:tc>
        <w:tc>
          <w:tcPr>
            <w:tcW w:type="dxa" w:w="5040"/>
          </w:tcPr>
          <w:p>
            <w:r>
              <w:rPr>
                <w:sz w:val="18"/>
              </w:rPr>
              <w:t>Suggested for the team to consider. It is not an agreed project decision.</w:t>
            </w:r>
          </w:p>
        </w:tc>
      </w:tr>
      <w:tr>
        <w:trPr>
          <w:cantSplit/>
        </w:trPr>
        <w:tc>
          <w:tcPr>
            <w:tcW w:type="dxa" w:w="5040"/>
          </w:tcPr>
          <w:p>
            <w:r>
              <w:rPr>
                <w:sz w:val="18"/>
              </w:rPr>
              <w:t>Unconfirmed</w:t>
            </w:r>
          </w:p>
        </w:tc>
        <w:tc>
          <w:tcPr>
            <w:tcW w:type="dxa" w:w="5040"/>
          </w:tcPr>
          <w:p>
            <w:r>
              <w:rPr>
                <w:sz w:val="18"/>
              </w:rPr>
              <w:t>A decision, detail or measurement still required from the team.</w:t>
            </w:r>
          </w:p>
        </w:tc>
      </w:tr>
    </w:tbl>
    <w:p>
      <w:r>
        <w:t>Later decisions take precedence over earlier suggestions. Audio is future work, cloud and mobile deployment are outside the current scope, and no progress section is required. Models, metrics and optional libraries remain recommendations until the team confirms them. No results, implementation statuses, dataset image counts, deadlines or numerical accuracy targets are invented.</w:t>
      </w:r>
    </w:p>
    <w:p>
      <w:pPr>
        <w:pStyle w:val="Heading1"/>
      </w:pPr>
      <w:r>
        <w:t>1. Problem, target user and value</w:t>
      </w:r>
    </w:p>
    <w:p>
      <w:r>
        <w:t>Confirmed framing: this is a computer vision EDS recognition system. Accessibility is the main use case. The intended users are visually impaired commuters in Singapore.</w:t>
      </w:r>
    </w:p>
    <w:tbl>
      <w:tblPr>
        <w:tblStyle w:val="LightShading-Accent1"/>
        <w:tblW w:type="auto" w:w="0"/>
        <w:tblLook w:firstColumn="1" w:firstRow="1" w:lastColumn="0" w:lastRow="0" w:noHBand="0" w:noVBand="1" w:val="04A0"/>
      </w:tblPr>
      <w:tblGrid>
        <w:gridCol w:w="2520"/>
        <w:gridCol w:w="2520"/>
        <w:gridCol w:w="2520"/>
        <w:gridCol w:w="2520"/>
      </w:tblGrid>
      <w:tr>
        <w:trPr>
          <w:cantSplit/>
          <w:tblHeader/>
        </w:trPr>
        <w:tc>
          <w:tcPr>
            <w:tcW w:type="dxa" w:w="2520"/>
          </w:tcPr>
          <w:p>
            <w:r>
              <w:rPr>
                <w:sz w:val="18"/>
              </w:rPr>
              <w:t>WHO</w:t>
            </w:r>
          </w:p>
        </w:tc>
        <w:tc>
          <w:tcPr>
            <w:tcW w:type="dxa" w:w="2520"/>
          </w:tcPr>
          <w:p>
            <w:r>
              <w:rPr>
                <w:sz w:val="18"/>
              </w:rPr>
              <w:t>WHAT</w:t>
            </w:r>
          </w:p>
        </w:tc>
        <w:tc>
          <w:tcPr>
            <w:tcW w:type="dxa" w:w="2520"/>
          </w:tcPr>
          <w:p>
            <w:r>
              <w:rPr>
                <w:sz w:val="18"/>
              </w:rPr>
              <w:t>WHY</w:t>
            </w:r>
          </w:p>
        </w:tc>
        <w:tc>
          <w:tcPr>
            <w:tcW w:type="dxa" w:w="2520"/>
          </w:tcPr>
          <w:p>
            <w:r>
              <w:rPr>
                <w:sz w:val="18"/>
              </w:rPr>
              <w:t>HOW</w:t>
            </w:r>
          </w:p>
        </w:tc>
      </w:tr>
      <w:tr>
        <w:trPr>
          <w:cantSplit/>
        </w:trPr>
        <w:tc>
          <w:tcPr>
            <w:tcW w:type="dxa" w:w="2520"/>
          </w:tcPr>
          <w:p>
            <w:r>
              <w:rPr>
                <w:sz w:val="18"/>
              </w:rPr>
              <w:t>Visually impaired commuters in Singapore</w:t>
            </w:r>
          </w:p>
        </w:tc>
        <w:tc>
          <w:tcPr>
            <w:tcW w:type="dxa" w:w="2520"/>
          </w:tcPr>
          <w:p>
            <w:r>
              <w:rPr>
                <w:sz w:val="18"/>
              </w:rPr>
              <w:t>Difficulty identifying incoming bus information in real time</w:t>
            </w:r>
          </w:p>
        </w:tc>
        <w:tc>
          <w:tcPr>
            <w:tcW w:type="dxa" w:w="2520"/>
          </w:tcPr>
          <w:p>
            <w:r>
              <w:rPr>
                <w:sz w:val="18"/>
              </w:rPr>
              <w:t>Timely bus identification is needed to select the intended service</w:t>
            </w:r>
          </w:p>
        </w:tc>
        <w:tc>
          <w:tcPr>
            <w:tcW w:type="dxa" w:w="2520"/>
          </w:tcPr>
          <w:p>
            <w:r>
              <w:rPr>
                <w:sz w:val="18"/>
              </w:rPr>
              <w:t>Detect and recognise bus EDS information from video; demonstrate results through a local web application</w:t>
            </w:r>
          </w:p>
        </w:tc>
      </w:tr>
    </w:tbl>
    <w:p>
      <w:r>
        <w:t>Main pain point: difficulty identifying incoming buses in real time. Missed buses and reliance on others are possible consequences, not findings established by this project. Anxiety, embarrassment and loss of dignity should not be presented as verified user experiences.</w:t>
      </w:r>
    </w:p>
    <w:p>
      <w:r>
        <w:t>Intended value: improve access to bus service and destination information. Greater independence is an intended benefit, not a measured outcome.</w:t>
      </w:r>
    </w:p>
    <w:p>
      <w:r>
        <w:t>Suggested positioning, based on the confirmed scope: “We are developing a video-based system that recognises Singapore bus service numbers, destinations and road names, with visually impaired commuters as the main use case.”</w:t>
      </w:r>
    </w:p>
    <w:p>
      <w:r>
        <w:t>Primary research is not required in the current project context. Interviews, surveys and user testing may be requested later. The present text-only prototype does not establish that the application is accessible to its intended users; audio and accessibility testing remain future work.</w:t>
      </w:r>
    </w:p>
    <w:p>
      <w:pPr>
        <w:pStyle w:val="Heading1"/>
      </w:pPr>
      <w:r>
        <w:t>2. Objectives and scope</w:t>
      </w:r>
    </w:p>
    <w:p>
      <w:r>
        <w:t>Consolidated objective: detect Singapore bus EDS regions in video, crop those regions, recognise the visible service number, destination and road names, compare recognised text with available bus reference data, and display results with low latency in a local web application.</w:t>
      </w:r>
    </w:p>
    <w:tbl>
      <w:tblPr>
        <w:tblStyle w:val="LightShading-Accent1"/>
        <w:tblW w:type="auto" w:w="0"/>
        <w:tblLook w:firstColumn="1" w:firstRow="1" w:lastColumn="0" w:lastRow="0" w:noHBand="0" w:noVBand="1" w:val="04A0"/>
      </w:tblPr>
      <w:tblGrid>
        <w:gridCol w:w="5040"/>
        <w:gridCol w:w="5040"/>
      </w:tblGrid>
      <w:tr>
        <w:trPr>
          <w:cantSplit/>
          <w:tblHeader/>
        </w:trPr>
        <w:tc>
          <w:tcPr>
            <w:tcW w:type="dxa" w:w="5040"/>
          </w:tcPr>
          <w:p>
            <w:r>
              <w:rPr>
                <w:sz w:val="18"/>
              </w:rPr>
              <w:t>Area</w:t>
            </w:r>
          </w:p>
        </w:tc>
        <w:tc>
          <w:tcPr>
            <w:tcW w:type="dxa" w:w="5040"/>
          </w:tcPr>
          <w:p>
            <w:r>
              <w:rPr>
                <w:sz w:val="18"/>
              </w:rPr>
              <w:t>Confirmed requirement</w:t>
            </w:r>
          </w:p>
        </w:tc>
      </w:tr>
      <w:tr>
        <w:trPr>
          <w:cantSplit/>
        </w:trPr>
        <w:tc>
          <w:tcPr>
            <w:tcW w:type="dxa" w:w="5040"/>
          </w:tcPr>
          <w:p>
            <w:r>
              <w:rPr>
                <w:sz w:val="18"/>
              </w:rPr>
              <w:t>Detection</w:t>
            </w:r>
          </w:p>
        </w:tc>
        <w:tc>
          <w:tcPr>
            <w:tcW w:type="dxa" w:w="5040"/>
          </w:tcPr>
          <w:p>
            <w:r>
              <w:rPr>
                <w:sz w:val="18"/>
              </w:rPr>
              <w:t>Detect the EDS screen directly. Do not add a separate bus detection stage.</w:t>
            </w:r>
          </w:p>
        </w:tc>
      </w:tr>
      <w:tr>
        <w:trPr>
          <w:cantSplit/>
        </w:trPr>
        <w:tc>
          <w:tcPr>
            <w:tcW w:type="dxa" w:w="5040"/>
          </w:tcPr>
          <w:p>
            <w:r>
              <w:rPr>
                <w:sz w:val="18"/>
              </w:rPr>
              <w:t>Recognition</w:t>
            </w:r>
          </w:p>
        </w:tc>
        <w:tc>
          <w:tcPr>
            <w:tcW w:type="dxa" w:w="5040"/>
          </w:tcPr>
          <w:p>
            <w:r>
              <w:rPr>
                <w:sz w:val="18"/>
              </w:rPr>
              <w:t>Recognise service number, destination and road names from cropped EDS regions.</w:t>
            </w:r>
          </w:p>
        </w:tc>
      </w:tr>
      <w:tr>
        <w:trPr>
          <w:cantSplit/>
        </w:trPr>
        <w:tc>
          <w:tcPr>
            <w:tcW w:type="dxa" w:w="5040"/>
          </w:tcPr>
          <w:p>
            <w:r>
              <w:rPr>
                <w:sz w:val="18"/>
              </w:rPr>
              <w:t>Reference correction</w:t>
            </w:r>
          </w:p>
        </w:tc>
        <w:tc>
          <w:tcPr>
            <w:tcW w:type="dxa" w:w="5040"/>
          </w:tcPr>
          <w:p>
            <w:r>
              <w:rPr>
                <w:sz w:val="18"/>
              </w:rPr>
              <w:t>Start with fuzzy matching against the bus-information CSV.</w:t>
            </w:r>
          </w:p>
        </w:tc>
      </w:tr>
      <w:tr>
        <w:trPr>
          <w:cantSplit/>
        </w:trPr>
        <w:tc>
          <w:tcPr>
            <w:tcW w:type="dxa" w:w="5040"/>
          </w:tcPr>
          <w:p>
            <w:r>
              <w:rPr>
                <w:sz w:val="18"/>
              </w:rPr>
              <w:t>Inputs</w:t>
            </w:r>
          </w:p>
        </w:tc>
        <w:tc>
          <w:tcPr>
            <w:tcW w:type="dxa" w:w="5040"/>
          </w:tcPr>
          <w:p>
            <w:r>
              <w:rPr>
                <w:sz w:val="18"/>
              </w:rPr>
              <w:t>Computer camera stream and uploaded videos. The camera demonstration mimics a passing bus.</w:t>
            </w:r>
          </w:p>
        </w:tc>
      </w:tr>
      <w:tr>
        <w:trPr>
          <w:cantSplit/>
        </w:trPr>
        <w:tc>
          <w:tcPr>
            <w:tcW w:type="dxa" w:w="5040"/>
          </w:tcPr>
          <w:p>
            <w:r>
              <w:rPr>
                <w:sz w:val="18"/>
              </w:rPr>
              <w:t>Timing</w:t>
            </w:r>
          </w:p>
        </w:tc>
        <w:tc>
          <w:tcPr>
            <w:tcW w:type="dxa" w:w="5040"/>
          </w:tcPr>
          <w:p>
            <w:r>
              <w:rPr>
                <w:sz w:val="18"/>
              </w:rPr>
              <w:t>Real-time processing and a low-latency demonstration are required. Initially sample up to 15 frames per second.</w:t>
            </w:r>
          </w:p>
        </w:tc>
      </w:tr>
      <w:tr>
        <w:trPr>
          <w:cantSplit/>
        </w:trPr>
        <w:tc>
          <w:tcPr>
            <w:tcW w:type="dxa" w:w="5040"/>
          </w:tcPr>
          <w:p>
            <w:r>
              <w:rPr>
                <w:sz w:val="18"/>
              </w:rPr>
              <w:t>Interface</w:t>
            </w:r>
          </w:p>
        </w:tc>
        <w:tc>
          <w:tcPr>
            <w:tcW w:type="dxa" w:w="5040"/>
          </w:tcPr>
          <w:p>
            <w:r>
              <w:rPr>
                <w:sz w:val="18"/>
              </w:rPr>
              <w:t>Web application using FastAPI, HTML, CSS and JavaScript.</w:t>
            </w:r>
          </w:p>
        </w:tc>
      </w:tr>
      <w:tr>
        <w:trPr>
          <w:cantSplit/>
        </w:trPr>
        <w:tc>
          <w:tcPr>
            <w:tcW w:type="dxa" w:w="5040"/>
          </w:tcPr>
          <w:p>
            <w:r>
              <w:rPr>
                <w:sz w:val="18"/>
              </w:rPr>
              <w:t>Deployment</w:t>
            </w:r>
          </w:p>
        </w:tc>
        <w:tc>
          <w:tcPr>
            <w:tcW w:type="dxa" w:w="5040"/>
          </w:tcPr>
          <w:p>
            <w:r>
              <w:rPr>
                <w:sz w:val="18"/>
              </w:rPr>
              <w:t>Run on localhost.</w:t>
            </w:r>
          </w:p>
        </w:tc>
      </w:tr>
      <w:tr>
        <w:trPr>
          <w:cantSplit/>
        </w:trPr>
        <w:tc>
          <w:tcPr>
            <w:tcW w:type="dxa" w:w="5040"/>
          </w:tcPr>
          <w:p>
            <w:r>
              <w:rPr>
                <w:sz w:val="18"/>
              </w:rPr>
              <w:t>Coverage</w:t>
            </w:r>
          </w:p>
        </w:tc>
        <w:tc>
          <w:tcPr>
            <w:tcW w:type="dxa" w:w="5040"/>
          </w:tcPr>
          <w:p>
            <w:r>
              <w:rPr>
                <w:sz w:val="18"/>
              </w:rPr>
              <w:t>Singapore buses, without restriction to a specific operator. Different EDS formats are intended to be supported.</w:t>
            </w:r>
          </w:p>
        </w:tc>
      </w:tr>
    </w:tbl>
    <w:p>
      <w:r>
        <w:t>A pretrained model and careful annotation are planned, but they do not guarantee recognition of every EDS format. Coverage must be demonstrated on representative test examples.</w:t>
      </w:r>
    </w:p>
    <w:p>
      <w:r>
        <w:t>Current exclusions: audio and text-to-speech, mobile deployment and cloud deployment. Passenger counting, registration plate recognition, full bus tracking and other transport signage were earlier examples of possible exclusions; they have not been separately confirmed by the team.</w:t>
      </w:r>
    </w:p>
    <w:p>
      <w:r>
        <w:t>Confirmed future direction: extend detection and recognition to buses in other countries. Audio may be added later. Other transport signage, pruning, quantisation and cloud hosting appear as earlier possibilities, but are not confirmed commitments.</w:t>
      </w:r>
    </w:p>
    <w:p>
      <w:pPr>
        <w:pStyle w:val="Heading1"/>
      </w:pPr>
      <w:r>
        <w:t>3. High-level system workflow</w:t>
      </w:r>
    </w:p>
    <w:p>
      <w:r>
        <w:t>The supplied flowchart is the agreed high-level overview. It is not a complete implementation specification. Offline preparation supports the runtime pipeline; it is not performed on each incoming frame.</w:t>
      </w:r>
    </w:p>
    <w:p>
      <w:pPr>
        <w:pStyle w:val="Heading2"/>
      </w:pPr>
      <w:r>
        <w:t>3.1 Offline preparation</w:t>
      </w:r>
    </w:p>
    <w:p>
      <w:pPr>
        <w:pStyle w:val="ListBullet"/>
      </w:pPr>
      <w:r>
        <w:t>Collect Singapore bus images using a web-scraping script and Google image search. Collect bus route information from Wikipedia.</w:t>
      </w:r>
    </w:p>
    <w:p>
      <w:pPr>
        <w:pStyle w:val="ListBullet"/>
      </w:pPr>
      <w:r>
        <w:t>Annotate EDS boundaries and prepare cropped text images with verified transcriptions for OCR fine-tuning. The annotation software and text-label procedure are not yet confirmed.</w:t>
      </w:r>
    </w:p>
    <w:p>
      <w:pPr>
        <w:pStyle w:val="ListBullet"/>
      </w:pPr>
      <w:r>
        <w:t>Fine-tune pretrained detection and OCR models; compare them with suitable baselines.</w:t>
      </w:r>
    </w:p>
    <w:p>
      <w:pPr>
        <w:pStyle w:val="ListBullet"/>
      </w:pPr>
      <w:r>
        <w:t>Prepare the reference CSV and evaluate models before selecting the final pipeline.</w:t>
      </w:r>
    </w:p>
    <w:p>
      <w:pPr>
        <w:pStyle w:val="Heading2"/>
      </w:pPr>
      <w:r>
        <w:t>3.2 Runtime sequence</w:t>
      </w:r>
    </w:p>
    <w:p>
      <w:pPr>
        <w:pStyle w:val="ListNumber"/>
      </w:pPr>
      <w:r>
        <w:t>Receive the camera stream or uploaded video.</w:t>
      </w:r>
    </w:p>
    <w:p>
      <w:pPr>
        <w:pStyle w:val="ListNumber"/>
      </w:pPr>
      <w:r>
        <w:t>Sample frames at an initial rate of up to 15 FPS.</w:t>
      </w:r>
    </w:p>
    <w:p>
      <w:pPr>
        <w:pStyle w:val="ListNumber"/>
      </w:pPr>
      <w:r>
        <w:t>Detect EDS regions directly and apply a user-defined detection-confidence threshold.</w:t>
      </w:r>
    </w:p>
    <w:p>
      <w:pPr>
        <w:pStyle w:val="ListNumber"/>
      </w:pPr>
      <w:r>
        <w:t>Crop accepted EDS regions. Additional preprocessing is undecided.</w:t>
      </w:r>
    </w:p>
    <w:p>
      <w:pPr>
        <w:pStyle w:val="ListNumber"/>
      </w:pPr>
      <w:r>
        <w:t>Run OCR and extract the requested text fields. The method for locating individual text lines or fields is undecided.</w:t>
      </w:r>
    </w:p>
    <w:p>
      <w:pPr>
        <w:pStyle w:val="ListNumber"/>
      </w:pPr>
      <w:r>
        <w:t>Match recognised text against the available reference data using fuzzy similarity.</w:t>
      </w:r>
    </w:p>
    <w:p>
      <w:pPr>
        <w:pStyle w:val="ListNumber"/>
      </w:pPr>
      <w:r>
        <w:t>Display recognition output at a controlled interval, rather than emitting a result for every frame. The output interval is undecided.</w:t>
      </w:r>
    </w:p>
    <w:p>
      <w:pPr>
        <w:pStyle w:val="Heading2"/>
      </w:pPr>
      <w:r>
        <w:t>3.3 Thresholds, output and failure handling</w:t>
      </w:r>
    </w:p>
    <w:p>
      <w:r>
        <w:t>Confirmed initial plan: use a user-defined EDS detection-confidence threshold. Low OCR confidence should produce a failure message. The later message, “No bus information detected”, supersedes the earlier placeholder, “Cannot be detected”. Use “No bus information detected” for the low-confidence case in this specification.</w:t>
      </w:r>
    </w:p>
    <w:p>
      <w:r>
        <w:t>Detection confidence, OCR confidence and reference similarity measure different things. They must be labelled separately; a similarity score is not a probability that the bus information is correct. Exact thresholds and the confidence display format remain unconfirmed.</w:t>
      </w:r>
    </w:p>
    <w:p>
      <w:r>
        <w:t>The intended output is a continuing sequence of text results at a chosen interval. The precise string layout, interval, duplicate-result handling and behaviour when no EDS is found or no reference is suitable remain open.</w:t>
      </w:r>
    </w:p>
    <w:p>
      <w:r>
        <w:t>At 15 FPS, sampled frames arrive roughly every 66.7 ms. This is a scheduling interval, not a measured latency or an agreed latency target. The complete detection, OCR, matching and display pipeline must be timed; sampling alone does not establish real-time performance.</w:t>
      </w:r>
    </w:p>
    <w:p>
      <w:pPr>
        <w:pStyle w:val="Heading2"/>
      </w:pPr>
      <w:r>
        <w:t>3.4 Diagram interpretation</w:t>
      </w:r>
    </w:p>
    <w:tbl>
      <w:tblPr>
        <w:tblStyle w:val="LightShading-Accent1"/>
        <w:tblW w:type="auto" w:w="0"/>
        <w:tblLook w:firstColumn="1" w:firstRow="1" w:lastColumn="0" w:lastRow="0" w:noHBand="0" w:noVBand="1" w:val="04A0"/>
      </w:tblPr>
      <w:tblGrid>
        <w:gridCol w:w="5040"/>
        <w:gridCol w:w="5040"/>
      </w:tblGrid>
      <w:tr>
        <w:trPr>
          <w:cantSplit/>
          <w:tblHeader/>
        </w:trPr>
        <w:tc>
          <w:tcPr>
            <w:tcW w:type="dxa" w:w="5040"/>
          </w:tcPr>
          <w:p>
            <w:r>
              <w:rPr>
                <w:sz w:val="18"/>
              </w:rPr>
              <w:t>Original diagram item</w:t>
            </w:r>
          </w:p>
        </w:tc>
        <w:tc>
          <w:tcPr>
            <w:tcW w:type="dxa" w:w="5040"/>
          </w:tcPr>
          <w:p>
            <w:r>
              <w:rPr>
                <w:sz w:val="18"/>
              </w:rPr>
              <w:t>Current decision</w:t>
            </w:r>
          </w:p>
        </w:tc>
      </w:tr>
      <w:tr>
        <w:trPr>
          <w:cantSplit/>
        </w:trPr>
        <w:tc>
          <w:tcPr>
            <w:tcW w:type="dxa" w:w="5040"/>
          </w:tcPr>
          <w:p>
            <w:r>
              <w:rPr>
                <w:sz w:val="18"/>
              </w:rPr>
              <w:t>Onboard/roadside camera; MP4/RTSP examples</w:t>
            </w:r>
          </w:p>
        </w:tc>
        <w:tc>
          <w:tcPr>
            <w:tcW w:type="dxa" w:w="5040"/>
          </w:tcPr>
          <w:p>
            <w:r>
              <w:rPr>
                <w:sz w:val="18"/>
              </w:rPr>
              <w:t>Computer camera and uploaded video for the current demonstration. RTSP is not confirmed.</w:t>
            </w:r>
          </w:p>
        </w:tc>
      </w:tr>
      <w:tr>
        <w:trPr>
          <w:cantSplit/>
        </w:trPr>
        <w:tc>
          <w:tcPr>
            <w:tcW w:type="dxa" w:w="5040"/>
          </w:tcPr>
          <w:p>
            <w:r>
              <w:rPr>
                <w:sz w:val="18"/>
              </w:rPr>
              <w:t>Example sampling: one frame per second</w:t>
            </w:r>
          </w:p>
        </w:tc>
        <w:tc>
          <w:tcPr>
            <w:tcW w:type="dxa" w:w="5040"/>
          </w:tcPr>
          <w:p>
            <w:r>
              <w:rPr>
                <w:sz w:val="18"/>
              </w:rPr>
              <w:t>Initial preference: 15 FPS.</w:t>
            </w:r>
          </w:p>
        </w:tc>
      </w:tr>
      <w:tr>
        <w:trPr>
          <w:cantSplit/>
        </w:trPr>
        <w:tc>
          <w:tcPr>
            <w:tcW w:type="dxa" w:w="5040"/>
          </w:tcPr>
          <w:p>
            <w:r>
              <w:rPr>
                <w:sz w:val="18"/>
              </w:rPr>
              <w:t>Resize, contrast enhancement and denoising</w:t>
            </w:r>
          </w:p>
        </w:tc>
        <w:tc>
          <w:tcPr>
            <w:tcW w:type="dxa" w:w="5040"/>
          </w:tcPr>
          <w:p>
            <w:r>
              <w:rPr>
                <w:sz w:val="18"/>
              </w:rPr>
              <w:t>Crop is required; additional preprocessing is not selected.</w:t>
            </w:r>
          </w:p>
        </w:tc>
      </w:tr>
      <w:tr>
        <w:trPr>
          <w:cantSplit/>
        </w:trPr>
        <w:tc>
          <w:tcPr>
            <w:tcW w:type="dxa" w:w="5040"/>
          </w:tcPr>
          <w:p>
            <w:r>
              <w:rPr>
                <w:sz w:val="18"/>
              </w:rPr>
              <w:t>Local TorchServe or cloud Vercel/AWS</w:t>
            </w:r>
          </w:p>
        </w:tc>
        <w:tc>
          <w:tcPr>
            <w:tcW w:type="dxa" w:w="5040"/>
          </w:tcPr>
          <w:p>
            <w:r>
              <w:rPr>
                <w:sz w:val="18"/>
              </w:rPr>
              <w:t>Localhost using FastAPI. TorchServe and cloud providers are not selected.</w:t>
            </w:r>
          </w:p>
        </w:tc>
      </w:tr>
      <w:tr>
        <w:trPr>
          <w:cantSplit/>
        </w:trPr>
        <w:tc>
          <w:tcPr>
            <w:tcW w:type="dxa" w:w="5040"/>
          </w:tcPr>
          <w:p>
            <w:r>
              <w:rPr>
                <w:sz w:val="18"/>
              </w:rPr>
              <w:t>Optimised, quantised or pruned models</w:t>
            </w:r>
          </w:p>
        </w:tc>
        <w:tc>
          <w:tcPr>
            <w:tcW w:type="dxa" w:w="5040"/>
          </w:tcPr>
          <w:p>
            <w:r>
              <w:rPr>
                <w:sz w:val="18"/>
              </w:rPr>
              <w:t>Possible optimisation options, not agreed tasks.</w:t>
            </w:r>
          </w:p>
        </w:tc>
      </w:tr>
      <w:tr>
        <w:trPr>
          <w:cantSplit/>
        </w:trPr>
        <w:tc>
          <w:tcPr>
            <w:tcW w:type="dxa" w:w="5040"/>
          </w:tcPr>
          <w:p>
            <w:r>
              <w:rPr>
                <w:sz w:val="18"/>
              </w:rPr>
              <w:t>Example route text in diagram</w:t>
            </w:r>
          </w:p>
        </w:tc>
        <w:tc>
          <w:tcPr>
            <w:tcW w:type="dxa" w:w="5040"/>
          </w:tcPr>
          <w:p>
            <w:r>
              <w:rPr>
                <w:sz w:val="18"/>
              </w:rPr>
              <w:t>Illustrative text only. It is not a verified route or EDS transcription.</w:t>
            </w:r>
          </w:p>
        </w:tc>
      </w:tr>
    </w:tbl>
    <w:p>
      <w:r>
        <w:br w:type="page"/>
      </w:r>
    </w:p>
    <w:p>
      <w:r>
        <w:drawing>
          <wp:inline xmlns:a="http://schemas.openxmlformats.org/drawingml/2006/main" xmlns:pic="http://schemas.openxmlformats.org/drawingml/2006/picture">
            <wp:extent cx="5989320" cy="6056562"/>
            <wp:docPr id="1" name="Picture 1"/>
            <wp:cNvGraphicFramePr>
              <a:graphicFrameLocks noChangeAspect="1"/>
            </wp:cNvGraphicFramePr>
            <a:graphic>
              <a:graphicData uri="http://schemas.openxmlformats.org/drawingml/2006/picture">
                <pic:pic>
                  <pic:nvPicPr>
                    <pic:cNvPr id="0" name="workflow.jpg"/>
                    <pic:cNvPicPr/>
                  </pic:nvPicPr>
                  <pic:blipFill>
                    <a:blip r:embed="rId11"/>
                    <a:stretch>
                      <a:fillRect/>
                    </a:stretch>
                  </pic:blipFill>
                  <pic:spPr>
                    <a:xfrm>
                      <a:off x="0" y="0"/>
                      <a:ext cx="5989320" cy="6056562"/>
                    </a:xfrm>
                    <a:prstGeom prst="rect"/>
                  </pic:spPr>
                </pic:pic>
              </a:graphicData>
            </a:graphic>
          </wp:inline>
        </w:drawing>
      </w:r>
    </w:p>
    <w:p>
      <w:r>
        <w:t>Figure 1. Supplied high-level workflow. The decisions above supersede illustrative implementation details in the image.</w:t>
      </w:r>
    </w:p>
    <w:p>
      <w:r>
        <w:br w:type="page"/>
      </w:r>
    </w:p>
    <w:p>
      <w:pPr>
        <w:pStyle w:val="Heading1"/>
      </w:pPr>
      <w:r>
        <w:t>4. Data, models and technology stack</w:t>
      </w:r>
    </w:p>
    <w:p>
      <w:pPr>
        <w:pStyle w:val="Heading2"/>
      </w:pPr>
      <w:r>
        <w:t>4.1 Data sources and annotations</w:t>
      </w:r>
    </w:p>
    <w:tbl>
      <w:tblPr>
        <w:tblStyle w:val="LightShading-Accent1"/>
        <w:tblW w:type="auto" w:w="0"/>
        <w:tblLook w:firstColumn="1" w:firstRow="1" w:lastColumn="0" w:lastRow="0" w:noHBand="0" w:noVBand="1" w:val="04A0"/>
      </w:tblPr>
      <w:tblGrid>
        <w:gridCol w:w="5040"/>
        <w:gridCol w:w="5040"/>
      </w:tblGrid>
      <w:tr>
        <w:trPr>
          <w:cantSplit/>
          <w:tblHeader/>
        </w:trPr>
        <w:tc>
          <w:tcPr>
            <w:tcW w:type="dxa" w:w="5040"/>
          </w:tcPr>
          <w:p>
            <w:r>
              <w:rPr>
                <w:sz w:val="18"/>
              </w:rPr>
              <w:t>Data</w:t>
            </w:r>
          </w:p>
        </w:tc>
        <w:tc>
          <w:tcPr>
            <w:tcW w:type="dxa" w:w="5040"/>
          </w:tcPr>
          <w:p>
            <w:r>
              <w:rPr>
                <w:sz w:val="18"/>
              </w:rPr>
              <w:t>Confirmed source or purpose</w:t>
            </w:r>
          </w:p>
        </w:tc>
      </w:tr>
      <w:tr>
        <w:trPr>
          <w:cantSplit/>
        </w:trPr>
        <w:tc>
          <w:tcPr>
            <w:tcW w:type="dxa" w:w="5040"/>
          </w:tcPr>
          <w:p>
            <w:r>
              <w:rPr>
                <w:sz w:val="18"/>
              </w:rPr>
              <w:t>Bus images</w:t>
            </w:r>
          </w:p>
        </w:tc>
        <w:tc>
          <w:tcPr>
            <w:tcW w:type="dxa" w:w="5040"/>
          </w:tcPr>
          <w:p>
            <w:r>
              <w:rPr>
                <w:sz w:val="18"/>
              </w:rPr>
              <w:t>Singapore bus images collected through Google image search using a web-scraping script. Google is the discovery source; the underlying websites supply the images.</w:t>
            </w:r>
          </w:p>
        </w:tc>
      </w:tr>
      <w:tr>
        <w:trPr>
          <w:cantSplit/>
        </w:trPr>
        <w:tc>
          <w:tcPr>
            <w:tcW w:type="dxa" w:w="5040"/>
          </w:tcPr>
          <w:p>
            <w:r>
              <w:rPr>
                <w:sz w:val="18"/>
              </w:rPr>
              <w:t>Bus reference information</w:t>
            </w:r>
          </w:p>
        </w:tc>
        <w:tc>
          <w:tcPr>
            <w:tcW w:type="dxa" w:w="5040"/>
          </w:tcPr>
          <w:p>
            <w:r>
              <w:rPr>
                <w:sz w:val="18"/>
              </w:rPr>
              <w:t>Wikipedia: List of bus routes in Singapore. Uploaded file: bus_information.csv. [1]</w:t>
            </w:r>
          </w:p>
        </w:tc>
      </w:tr>
      <w:tr>
        <w:trPr>
          <w:cantSplit/>
        </w:trPr>
        <w:tc>
          <w:tcPr>
            <w:tcW w:type="dxa" w:w="5040"/>
          </w:tcPr>
          <w:p>
            <w:r>
              <w:rPr>
                <w:sz w:val="18"/>
              </w:rPr>
              <w:t>Detection labels</w:t>
            </w:r>
          </w:p>
        </w:tc>
        <w:tc>
          <w:tcPr>
            <w:tcW w:type="dxa" w:w="5040"/>
          </w:tcPr>
          <w:p>
            <w:r>
              <w:rPr>
                <w:sz w:val="18"/>
              </w:rPr>
              <w:t>EDS boundary annotations are required. Exact class names and annotation format remain unconfirmed.</w:t>
            </w:r>
          </w:p>
        </w:tc>
      </w:tr>
      <w:tr>
        <w:trPr>
          <w:cantSplit/>
        </w:trPr>
        <w:tc>
          <w:tcPr>
            <w:tcW w:type="dxa" w:w="5040"/>
          </w:tcPr>
          <w:p>
            <w:r>
              <w:rPr>
                <w:sz w:val="18"/>
              </w:rPr>
              <w:t>OCR training data</w:t>
            </w:r>
          </w:p>
        </w:tc>
        <w:tc>
          <w:tcPr>
            <w:tcW w:type="dxa" w:w="5040"/>
          </w:tcPr>
          <w:p>
            <w:r>
              <w:rPr>
                <w:sz w:val="18"/>
              </w:rPr>
              <w:t>Cropped EDS text images and corresponding text labels are required for fine-tuning. The labelling process remains unconfirmed.</w:t>
            </w:r>
          </w:p>
        </w:tc>
      </w:tr>
      <w:tr>
        <w:trPr>
          <w:cantSplit/>
        </w:trPr>
        <w:tc>
          <w:tcPr>
            <w:tcW w:type="dxa" w:w="5040"/>
          </w:tcPr>
          <w:p>
            <w:r>
              <w:rPr>
                <w:sz w:val="18"/>
              </w:rPr>
              <w:t>Augmentation</w:t>
            </w:r>
          </w:p>
        </w:tc>
        <w:tc>
          <w:tcPr>
            <w:tcW w:type="dxa" w:w="5040"/>
          </w:tcPr>
          <w:p>
            <w:r>
              <w:rPr>
                <w:sz w:val="18"/>
              </w:rPr>
              <w:t>Increase training diversity and assess performance under different image transformations. Exact transformations and severity levels remain unconfirmed.</w:t>
            </w:r>
          </w:p>
        </w:tc>
      </w:tr>
    </w:tbl>
    <w:p>
      <w:r>
        <w:t>Image/video counts, annotation counts and train/validation/test proportions are intentionally omitted, as requested. The team has not supplied them. A held-out evaluation protocol is still needed; omitting split proportions from slides does not remove the need to separate training and testing.</w:t>
      </w:r>
    </w:p>
    <w:p>
      <w:pPr>
        <w:pStyle w:val="Heading2"/>
      </w:pPr>
      <w:r>
        <w:t>4.2 What the supplied CSV contains</w:t>
      </w:r>
    </w:p>
    <w:tbl>
      <w:tblPr>
        <w:tblStyle w:val="LightShading-Accent1"/>
        <w:tblW w:type="auto" w:w="0"/>
        <w:tblLook w:firstColumn="1" w:firstRow="1" w:lastColumn="0" w:lastRow="0" w:noHBand="0" w:noVBand="1" w:val="04A0"/>
      </w:tblPr>
      <w:tblGrid>
        <w:gridCol w:w="5040"/>
        <w:gridCol w:w="5040"/>
      </w:tblGrid>
      <w:tr>
        <w:trPr>
          <w:cantSplit/>
          <w:tblHeader/>
        </w:trPr>
        <w:tc>
          <w:tcPr>
            <w:tcW w:type="dxa" w:w="5040"/>
          </w:tcPr>
          <w:p>
            <w:r>
              <w:rPr>
                <w:sz w:val="18"/>
              </w:rPr>
              <w:t>Column</w:t>
            </w:r>
          </w:p>
        </w:tc>
        <w:tc>
          <w:tcPr>
            <w:tcW w:type="dxa" w:w="5040"/>
          </w:tcPr>
          <w:p>
            <w:r>
              <w:rPr>
                <w:sz w:val="18"/>
              </w:rPr>
              <w:t>Meaning and limit</w:t>
            </w:r>
          </w:p>
        </w:tc>
      </w:tr>
      <w:tr>
        <w:trPr>
          <w:cantSplit/>
        </w:trPr>
        <w:tc>
          <w:tcPr>
            <w:tcW w:type="dxa" w:w="5040"/>
          </w:tcPr>
          <w:p>
            <w:r>
              <w:rPr>
                <w:sz w:val="18"/>
              </w:rPr>
              <w:t>Route number</w:t>
            </w:r>
          </w:p>
        </w:tc>
        <w:tc>
          <w:tcPr>
            <w:tcW w:type="dxa" w:w="5040"/>
          </w:tcPr>
          <w:p>
            <w:r>
              <w:rPr>
                <w:sz w:val="18"/>
              </w:rPr>
              <w:t>Service identifier. Treat as text because identifiers can contain letters, such as 2B.</w:t>
            </w:r>
          </w:p>
        </w:tc>
      </w:tr>
      <w:tr>
        <w:trPr>
          <w:cantSplit/>
        </w:trPr>
        <w:tc>
          <w:tcPr>
            <w:tcW w:type="dxa" w:w="5040"/>
          </w:tcPr>
          <w:p>
            <w:r>
              <w:rPr>
                <w:sz w:val="18"/>
              </w:rPr>
              <w:t>Origin</w:t>
            </w:r>
          </w:p>
        </w:tc>
        <w:tc>
          <w:tcPr>
            <w:tcW w:type="dxa" w:w="5040"/>
          </w:tcPr>
          <w:p>
            <w:r>
              <w:rPr>
                <w:sz w:val="18"/>
              </w:rPr>
              <w:t>Listed starting location. It is not necessarily the text displayed on the incoming bus.</w:t>
            </w:r>
          </w:p>
        </w:tc>
      </w:tr>
      <w:tr>
        <w:trPr>
          <w:cantSplit/>
        </w:trPr>
        <w:tc>
          <w:tcPr>
            <w:tcW w:type="dxa" w:w="5040"/>
          </w:tcPr>
          <w:p>
            <w:r>
              <w:rPr>
                <w:sz w:val="18"/>
              </w:rPr>
              <w:t>Destination</w:t>
            </w:r>
          </w:p>
        </w:tc>
        <w:tc>
          <w:tcPr>
            <w:tcW w:type="dxa" w:w="5040"/>
          </w:tcPr>
          <w:p>
            <w:r>
              <w:rPr>
                <w:sz w:val="18"/>
              </w:rPr>
              <w:t>Listed endpoint or loop location. It is not a verified transcription of the bus EDS.</w:t>
            </w:r>
          </w:p>
        </w:tc>
      </w:tr>
    </w:tbl>
    <w:p>
      <w:r>
        <w:t>Observed quality issues: route 92B has an empty Destination and the Origin text “Kent Ridge MRT dtation”. There are two identical duplicate rows and repeated route identifiers. Repeated identifiers must be reviewed, not automatically removed, because some may represent valid variants. The uploaded CSV has no separate road-name field, no display-direction field and no EDS abbreviation or text-alias field.</w:t>
      </w:r>
    </w:p>
    <w:p>
      <w:r>
        <w:t>Correction to the data-cleaning assumption: annotation and augmentation do not replace cleaning. Check image duplicates, unreadable or irrelevant images, broken downloads, annotation errors, missing CSV values, spelling and inconsistent text. Do not change uncertain route information without checking its source.</w:t>
      </w:r>
    </w:p>
    <w:p>
      <w:r>
        <w:t>Critical coverage gap: origin and destination do not provide all intermediate road names. They also do not identify which direction a bus is travelling. Supporting all requested road text may require additional route/display references or retaining recognised road text without forcing it to an endpoint.</w:t>
      </w:r>
    </w:p>
    <w:p>
      <w:pPr>
        <w:pStyle w:val="Heading2"/>
      </w:pPr>
      <w:r>
        <w:t>4.3 Recommended detection candidates</w:t>
      </w:r>
    </w:p>
    <w:p>
      <w:r>
        <w:t>These are a short list for discussion, not selected models. No model is claimed to perform best on this dataset. [2, 3]</w:t>
      </w:r>
    </w:p>
    <w:tbl>
      <w:tblPr>
        <w:tblStyle w:val="LightShading-Accent1"/>
        <w:tblW w:type="auto" w:w="0"/>
        <w:tblLook w:firstColumn="1" w:firstRow="1" w:lastColumn="0" w:lastRow="0" w:noHBand="0" w:noVBand="1" w:val="04A0"/>
      </w:tblPr>
      <w:tblGrid>
        <w:gridCol w:w="2520"/>
        <w:gridCol w:w="2520"/>
        <w:gridCol w:w="2520"/>
        <w:gridCol w:w="2520"/>
      </w:tblGrid>
      <w:tr>
        <w:trPr>
          <w:cantSplit/>
          <w:tblHeader/>
        </w:trPr>
        <w:tc>
          <w:tcPr>
            <w:tcW w:type="dxa" w:w="2520"/>
          </w:tcPr>
          <w:p>
            <w:r>
              <w:rPr>
                <w:sz w:val="18"/>
              </w:rPr>
              <w:t>Candidate</w:t>
            </w:r>
          </w:p>
        </w:tc>
        <w:tc>
          <w:tcPr>
            <w:tcW w:type="dxa" w:w="2520"/>
          </w:tcPr>
          <w:p>
            <w:r>
              <w:rPr>
                <w:sz w:val="18"/>
              </w:rPr>
              <w:t>Reason to compare</w:t>
            </w:r>
          </w:p>
        </w:tc>
        <w:tc>
          <w:tcPr>
            <w:tcW w:type="dxa" w:w="2520"/>
          </w:tcPr>
          <w:p>
            <w:r>
              <w:rPr>
                <w:sz w:val="18"/>
              </w:rPr>
              <w:t>Main trade-off</w:t>
            </w:r>
          </w:p>
        </w:tc>
        <w:tc>
          <w:tcPr>
            <w:tcW w:type="dxa" w:w="2520"/>
          </w:tcPr>
          <w:p>
            <w:r>
              <w:rPr>
                <w:sz w:val="18"/>
              </w:rPr>
              <w:t>Proposed role</w:t>
            </w:r>
          </w:p>
        </w:tc>
      </w:tr>
      <w:tr>
        <w:trPr>
          <w:cantSplit/>
        </w:trPr>
        <w:tc>
          <w:tcPr>
            <w:tcW w:type="dxa" w:w="2520"/>
          </w:tcPr>
          <w:p>
            <w:r>
              <w:rPr>
                <w:sz w:val="18"/>
              </w:rPr>
              <w:t>YOLO11n</w:t>
            </w:r>
          </w:p>
        </w:tc>
        <w:tc>
          <w:tcPr>
            <w:tcW w:type="dxa" w:w="2520"/>
          </w:tcPr>
          <w:p>
            <w:r>
              <w:rPr>
                <w:sz w:val="18"/>
              </w:rPr>
              <w:t>Small detector suitable for initial local latency testing</w:t>
            </w:r>
          </w:p>
        </w:tc>
        <w:tc>
          <w:tcPr>
            <w:tcW w:type="dxa" w:w="2520"/>
          </w:tcPr>
          <w:p>
            <w:r>
              <w:rPr>
                <w:sz w:val="18"/>
              </w:rPr>
              <w:t>Small or distant EDS may need higher input resolution; accuracy must be measured</w:t>
            </w:r>
          </w:p>
        </w:tc>
        <w:tc>
          <w:tcPr>
            <w:tcW w:type="dxa" w:w="2520"/>
          </w:tcPr>
          <w:p>
            <w:r>
              <w:rPr>
                <w:sz w:val="18"/>
              </w:rPr>
              <w:t>First detector candidate</w:t>
            </w:r>
          </w:p>
        </w:tc>
      </w:tr>
      <w:tr>
        <w:trPr>
          <w:cantSplit/>
        </w:trPr>
        <w:tc>
          <w:tcPr>
            <w:tcW w:type="dxa" w:w="2520"/>
          </w:tcPr>
          <w:p>
            <w:r>
              <w:rPr>
                <w:sz w:val="18"/>
              </w:rPr>
              <w:t>YOLO11s</w:t>
            </w:r>
          </w:p>
        </w:tc>
        <w:tc>
          <w:tcPr>
            <w:tcW w:type="dxa" w:w="2520"/>
          </w:tcPr>
          <w:p>
            <w:r>
              <w:rPr>
                <w:sz w:val="18"/>
              </w:rPr>
              <w:t>Larger model in the same family, using a similar workflow</w:t>
            </w:r>
          </w:p>
        </w:tc>
        <w:tc>
          <w:tcPr>
            <w:tcW w:type="dxa" w:w="2520"/>
          </w:tcPr>
          <w:p>
            <w:r>
              <w:rPr>
                <w:sz w:val="18"/>
              </w:rPr>
              <w:t>More computation than the nano variant; any accuracy gain must be tested</w:t>
            </w:r>
          </w:p>
        </w:tc>
        <w:tc>
          <w:tcPr>
            <w:tcW w:type="dxa" w:w="2520"/>
          </w:tcPr>
          <w:p>
            <w:r>
              <w:rPr>
                <w:sz w:val="18"/>
              </w:rPr>
              <w:t>Speed versus accuracy comparison</w:t>
            </w:r>
          </w:p>
        </w:tc>
      </w:tr>
      <w:tr>
        <w:trPr>
          <w:cantSplit/>
        </w:trPr>
        <w:tc>
          <w:tcPr>
            <w:tcW w:type="dxa" w:w="2520"/>
          </w:tcPr>
          <w:p>
            <w:r>
              <w:rPr>
                <w:sz w:val="18"/>
              </w:rPr>
              <w:t>Faster R-CNN ResNet-50 FPN v2</w:t>
            </w:r>
          </w:p>
        </w:tc>
        <w:tc>
          <w:tcPr>
            <w:tcW w:type="dxa" w:w="2520"/>
          </w:tcPr>
          <w:p>
            <w:r>
              <w:rPr>
                <w:sz w:val="18"/>
              </w:rPr>
              <w:t>Pretrained two-stage detector available in Torchvision</w:t>
            </w:r>
          </w:p>
        </w:tc>
        <w:tc>
          <w:tcPr>
            <w:tcW w:type="dxa" w:w="2520"/>
          </w:tcPr>
          <w:p>
            <w:r>
              <w:rPr>
                <w:sz w:val="18"/>
              </w:rPr>
              <w:t>Potentially higher local processing cost; actual timing is hardware-dependent</w:t>
            </w:r>
          </w:p>
        </w:tc>
        <w:tc>
          <w:tcPr>
            <w:tcW w:type="dxa" w:w="2520"/>
          </w:tcPr>
          <w:p>
            <w:r>
              <w:rPr>
                <w:sz w:val="18"/>
              </w:rPr>
              <w:t>Optional alternative model-family comparison</w:t>
            </w:r>
          </w:p>
        </w:tc>
      </w:tr>
    </w:tbl>
    <w:p>
      <w:r>
        <w:t>Recommendation: begin with YOLO11n and compare YOLO11s using the same EDS data. Add Faster R-CNN only if the project needs a model-family comparison and time permits. These are practical established candidates, not a claim that YOLO11 is the newest model.</w:t>
      </w:r>
    </w:p>
    <w:p>
      <w:r>
        <w:t>Baseline clarification: generic COCO-pretrained detectors do not have an EDS class. Untouched generic weights are not a meaningful EDS detector baseline. Use a clearly documented EDS-trained reference configuration, then compare model size, training changes or augmentation. If reporting untouched weights, label the task mismatch and do not present it as a fair EDS comparison.</w:t>
      </w:r>
    </w:p>
    <w:p>
      <w:pPr>
        <w:pStyle w:val="Heading2"/>
      </w:pPr>
      <w:r>
        <w:t>4.4 Recommended OCR candidates</w:t>
      </w:r>
    </w:p>
    <w:tbl>
      <w:tblPr>
        <w:tblStyle w:val="LightShading-Accent1"/>
        <w:tblW w:type="auto" w:w="0"/>
        <w:tblLook w:firstColumn="1" w:firstRow="1" w:lastColumn="0" w:lastRow="0" w:noHBand="0" w:noVBand="1" w:val="04A0"/>
      </w:tblPr>
      <w:tblGrid>
        <w:gridCol w:w="2520"/>
        <w:gridCol w:w="2520"/>
        <w:gridCol w:w="2520"/>
        <w:gridCol w:w="2520"/>
      </w:tblGrid>
      <w:tr>
        <w:trPr>
          <w:cantSplit/>
          <w:tblHeader/>
        </w:trPr>
        <w:tc>
          <w:tcPr>
            <w:tcW w:type="dxa" w:w="2520"/>
          </w:tcPr>
          <w:p>
            <w:r>
              <w:rPr>
                <w:sz w:val="18"/>
              </w:rPr>
              <w:t>Candidate</w:t>
            </w:r>
          </w:p>
        </w:tc>
        <w:tc>
          <w:tcPr>
            <w:tcW w:type="dxa" w:w="2520"/>
          </w:tcPr>
          <w:p>
            <w:r>
              <w:rPr>
                <w:sz w:val="18"/>
              </w:rPr>
              <w:t>Reason to compare</w:t>
            </w:r>
          </w:p>
        </w:tc>
        <w:tc>
          <w:tcPr>
            <w:tcW w:type="dxa" w:w="2520"/>
          </w:tcPr>
          <w:p>
            <w:r>
              <w:rPr>
                <w:sz w:val="18"/>
              </w:rPr>
              <w:t>Main trade-off</w:t>
            </w:r>
          </w:p>
        </w:tc>
        <w:tc>
          <w:tcPr>
            <w:tcW w:type="dxa" w:w="2520"/>
          </w:tcPr>
          <w:p>
            <w:r>
              <w:rPr>
                <w:sz w:val="18"/>
              </w:rPr>
              <w:t>Proposed role</w:t>
            </w:r>
          </w:p>
        </w:tc>
      </w:tr>
      <w:tr>
        <w:trPr>
          <w:cantSplit/>
        </w:trPr>
        <w:tc>
          <w:tcPr>
            <w:tcW w:type="dxa" w:w="2520"/>
          </w:tcPr>
          <w:p>
            <w:r>
              <w:rPr>
                <w:sz w:val="18"/>
              </w:rPr>
              <w:t>EasyOCR</w:t>
            </w:r>
          </w:p>
        </w:tc>
        <w:tc>
          <w:tcPr>
            <w:tcW w:type="dxa" w:w="2520"/>
          </w:tcPr>
          <w:p>
            <w:r>
              <w:rPr>
                <w:sz w:val="18"/>
              </w:rPr>
              <w:t>Provides text localisation, recognition and confidence; PyTorch-based; supports custom recognisers [4]</w:t>
            </w:r>
          </w:p>
        </w:tc>
        <w:tc>
          <w:tcPr>
            <w:tcW w:type="dxa" w:w="2520"/>
          </w:tcPr>
          <w:p>
            <w:r>
              <w:rPr>
                <w:sz w:val="18"/>
              </w:rPr>
              <w:t>Fine-tuning requires text labels and a training setup; LED text remains a domain shift</w:t>
            </w:r>
          </w:p>
        </w:tc>
        <w:tc>
          <w:tcPr>
            <w:tcW w:type="dxa" w:w="2520"/>
          </w:tcPr>
          <w:p>
            <w:r>
              <w:rPr>
                <w:sz w:val="18"/>
              </w:rPr>
              <w:t>Ready-to-use OCR baseline and possible fine-tuned recogniser</w:t>
            </w:r>
          </w:p>
        </w:tc>
      </w:tr>
      <w:tr>
        <w:trPr>
          <w:cantSplit/>
        </w:trPr>
        <w:tc>
          <w:tcPr>
            <w:tcW w:type="dxa" w:w="2520"/>
          </w:tcPr>
          <w:p>
            <w:r>
              <w:rPr>
                <w:sz w:val="18"/>
              </w:rPr>
              <w:t>TrOCR, printed-text checkpoint</w:t>
            </w:r>
          </w:p>
        </w:tc>
        <w:tc>
          <w:tcPr>
            <w:tcW w:type="dxa" w:w="2520"/>
          </w:tcPr>
          <w:p>
            <w:r>
              <w:rPr>
                <w:sz w:val="18"/>
              </w:rPr>
              <w:t>Pretrained transformer recogniser with a documented fine-tuning route [5]</w:t>
            </w:r>
          </w:p>
        </w:tc>
        <w:tc>
          <w:tcPr>
            <w:tcW w:type="dxa" w:w="2520"/>
          </w:tcPr>
          <w:p>
            <w:r>
              <w:rPr>
                <w:sz w:val="18"/>
              </w:rPr>
              <w:t>Designed for single-line recognition; multi-line EDS needs line crops; sequence confidence requires an explicit definition; timing must be tested</w:t>
            </w:r>
          </w:p>
        </w:tc>
        <w:tc>
          <w:tcPr>
            <w:tcW w:type="dxa" w:w="2520"/>
          </w:tcPr>
          <w:p>
            <w:r>
              <w:rPr>
                <w:sz w:val="18"/>
              </w:rPr>
              <w:t>Fine-tuned OCR comparison candidate</w:t>
            </w:r>
          </w:p>
        </w:tc>
      </w:tr>
      <w:tr>
        <w:trPr>
          <w:cantSplit/>
        </w:trPr>
        <w:tc>
          <w:tcPr>
            <w:tcW w:type="dxa" w:w="2520"/>
          </w:tcPr>
          <w:p>
            <w:r>
              <w:rPr>
                <w:sz w:val="18"/>
              </w:rPr>
              <w:t>PaddleOCR, PP-OCRv5 recogniser</w:t>
            </w:r>
          </w:p>
        </w:tc>
        <w:tc>
          <w:tcPr>
            <w:tcW w:type="dxa" w:w="2520"/>
          </w:tcPr>
          <w:p>
            <w:r>
              <w:rPr>
                <w:sz w:val="18"/>
              </w:rPr>
              <w:t>Supports OCR pipelines and custom text-recognition training [6]</w:t>
            </w:r>
          </w:p>
        </w:tc>
        <w:tc>
          <w:tcPr>
            <w:tcW w:type="dxa" w:w="2520"/>
          </w:tcPr>
          <w:p>
            <w:r>
              <w:rPr>
                <w:sz w:val="18"/>
              </w:rPr>
              <w:t>Adds PaddlePaddle to the environment; select an appropriate English recogniser and test local speed</w:t>
            </w:r>
          </w:p>
        </w:tc>
        <w:tc>
          <w:tcPr>
            <w:tcW w:type="dxa" w:w="2520"/>
          </w:tcPr>
          <w:p>
            <w:r>
              <w:rPr>
                <w:sz w:val="18"/>
              </w:rPr>
              <w:t>Optional alternative if EasyOCR or TrOCR is unsuitable</w:t>
            </w:r>
          </w:p>
        </w:tc>
      </w:tr>
    </w:tbl>
    <w:p>
      <w:r>
        <w:t>Recommendation: establish an untouched EasyOCR baseline first. Compare it with a fine-tuned EasyOCR recogniser or a printed-text TrOCR model, depending on the team’s preference and available training resources. Use paired cropped text images and verified text labels. Do not assume one recogniser can consume an entire multi-line EDS without text localisation or line segmentation.</w:t>
      </w:r>
    </w:p>
    <w:p>
      <w:r>
        <w:t>Confirmed model intent: use pretrained weights and fine-tune both detection and OCR. Exact models, checkpoint identifiers, model sizes, frozen layers, training settings and final comparison set remain undecided.</w:t>
      </w:r>
    </w:p>
    <w:p>
      <w:pPr>
        <w:pStyle w:val="Heading2"/>
      </w:pPr>
      <w:r>
        <w:t>4.5 Technology decisions</w:t>
      </w:r>
    </w:p>
    <w:tbl>
      <w:tblPr>
        <w:tblStyle w:val="LightShading-Accent1"/>
        <w:tblW w:type="auto" w:w="0"/>
        <w:tblLook w:firstColumn="1" w:firstRow="1" w:lastColumn="0" w:lastRow="0" w:noHBand="0" w:noVBand="1" w:val="04A0"/>
      </w:tblPr>
      <w:tblGrid>
        <w:gridCol w:w="3360"/>
        <w:gridCol w:w="3360"/>
        <w:gridCol w:w="3360"/>
      </w:tblGrid>
      <w:tr>
        <w:trPr>
          <w:cantSplit/>
          <w:tblHeader/>
        </w:trPr>
        <w:tc>
          <w:tcPr>
            <w:tcW w:type="dxa" w:w="3360"/>
          </w:tcPr>
          <w:p>
            <w:r>
              <w:rPr>
                <w:sz w:val="18"/>
              </w:rPr>
              <w:t>Component</w:t>
            </w:r>
          </w:p>
        </w:tc>
        <w:tc>
          <w:tcPr>
            <w:tcW w:type="dxa" w:w="3360"/>
          </w:tcPr>
          <w:p>
            <w:r>
              <w:rPr>
                <w:sz w:val="18"/>
              </w:rPr>
              <w:t>Technology</w:t>
            </w:r>
          </w:p>
        </w:tc>
        <w:tc>
          <w:tcPr>
            <w:tcW w:type="dxa" w:w="3360"/>
          </w:tcPr>
          <w:p>
            <w:r>
              <w:rPr>
                <w:sz w:val="18"/>
              </w:rPr>
              <w:t>Decision status</w:t>
            </w:r>
          </w:p>
        </w:tc>
      </w:tr>
      <w:tr>
        <w:trPr>
          <w:cantSplit/>
        </w:trPr>
        <w:tc>
          <w:tcPr>
            <w:tcW w:type="dxa" w:w="3360"/>
          </w:tcPr>
          <w:p>
            <w:r>
              <w:rPr>
                <w:sz w:val="18"/>
              </w:rPr>
              <w:t>Backend</w:t>
            </w:r>
          </w:p>
        </w:tc>
        <w:tc>
          <w:tcPr>
            <w:tcW w:type="dxa" w:w="3360"/>
          </w:tcPr>
          <w:p>
            <w:r>
              <w:rPr>
                <w:sz w:val="18"/>
              </w:rPr>
              <w:t>FastAPI</w:t>
            </w:r>
          </w:p>
        </w:tc>
        <w:tc>
          <w:tcPr>
            <w:tcW w:type="dxa" w:w="3360"/>
          </w:tcPr>
          <w:p>
            <w:r>
              <w:rPr>
                <w:sz w:val="18"/>
              </w:rPr>
              <w:t>Confirmed</w:t>
            </w:r>
          </w:p>
        </w:tc>
      </w:tr>
      <w:tr>
        <w:trPr>
          <w:cantSplit/>
        </w:trPr>
        <w:tc>
          <w:tcPr>
            <w:tcW w:type="dxa" w:w="3360"/>
          </w:tcPr>
          <w:p>
            <w:r>
              <w:rPr>
                <w:sz w:val="18"/>
              </w:rPr>
              <w:t>Frontend</w:t>
            </w:r>
          </w:p>
        </w:tc>
        <w:tc>
          <w:tcPr>
            <w:tcW w:type="dxa" w:w="3360"/>
          </w:tcPr>
          <w:p>
            <w:r>
              <w:rPr>
                <w:sz w:val="18"/>
              </w:rPr>
              <w:t>HTML, CSS, JavaScript</w:t>
            </w:r>
          </w:p>
        </w:tc>
        <w:tc>
          <w:tcPr>
            <w:tcW w:type="dxa" w:w="3360"/>
          </w:tcPr>
          <w:p>
            <w:r>
              <w:rPr>
                <w:sz w:val="18"/>
              </w:rPr>
              <w:t>Confirmed</w:t>
            </w:r>
          </w:p>
        </w:tc>
      </w:tr>
      <w:tr>
        <w:trPr>
          <w:cantSplit/>
        </w:trPr>
        <w:tc>
          <w:tcPr>
            <w:tcW w:type="dxa" w:w="3360"/>
          </w:tcPr>
          <w:p>
            <w:r>
              <w:rPr>
                <w:sz w:val="18"/>
              </w:rPr>
              <w:t>Application deployment</w:t>
            </w:r>
          </w:p>
        </w:tc>
        <w:tc>
          <w:tcPr>
            <w:tcW w:type="dxa" w:w="3360"/>
          </w:tcPr>
          <w:p>
            <w:r>
              <w:rPr>
                <w:sz w:val="18"/>
              </w:rPr>
              <w:t>Localhost</w:t>
            </w:r>
          </w:p>
        </w:tc>
        <w:tc>
          <w:tcPr>
            <w:tcW w:type="dxa" w:w="3360"/>
          </w:tcPr>
          <w:p>
            <w:r>
              <w:rPr>
                <w:sz w:val="18"/>
              </w:rPr>
              <w:t>Confirmed</w:t>
            </w:r>
          </w:p>
        </w:tc>
      </w:tr>
      <w:tr>
        <w:trPr>
          <w:cantSplit/>
        </w:trPr>
        <w:tc>
          <w:tcPr>
            <w:tcW w:type="dxa" w:w="3360"/>
          </w:tcPr>
          <w:p>
            <w:r>
              <w:rPr>
                <w:sz w:val="18"/>
              </w:rPr>
              <w:t>Programming language</w:t>
            </w:r>
          </w:p>
        </w:tc>
        <w:tc>
          <w:tcPr>
            <w:tcW w:type="dxa" w:w="3360"/>
          </w:tcPr>
          <w:p>
            <w:r>
              <w:rPr>
                <w:sz w:val="18"/>
              </w:rPr>
              <w:t>Python</w:t>
            </w:r>
          </w:p>
        </w:tc>
        <w:tc>
          <w:tcPr>
            <w:tcW w:type="dxa" w:w="3360"/>
          </w:tcPr>
          <w:p>
            <w:r>
              <w:rPr>
                <w:sz w:val="18"/>
              </w:rPr>
              <w:t>Implied by FastAPI and the proposed model ecosystem; confirm for the final stack</w:t>
            </w:r>
          </w:p>
        </w:tc>
      </w:tr>
      <w:tr>
        <w:trPr>
          <w:cantSplit/>
        </w:trPr>
        <w:tc>
          <w:tcPr>
            <w:tcW w:type="dxa" w:w="3360"/>
          </w:tcPr>
          <w:p>
            <w:r>
              <w:rPr>
                <w:sz w:val="18"/>
              </w:rPr>
              <w:t>Deep learning</w:t>
            </w:r>
          </w:p>
        </w:tc>
        <w:tc>
          <w:tcPr>
            <w:tcW w:type="dxa" w:w="3360"/>
          </w:tcPr>
          <w:p>
            <w:r>
              <w:rPr>
                <w:sz w:val="18"/>
              </w:rPr>
              <w:t>PyTorch</w:t>
            </w:r>
          </w:p>
        </w:tc>
        <w:tc>
          <w:tcPr>
            <w:tcW w:type="dxa" w:w="3360"/>
          </w:tcPr>
          <w:p>
            <w:r>
              <w:rPr>
                <w:sz w:val="18"/>
              </w:rPr>
              <w:t>Previously proposed and recommended; not explicitly selected</w:t>
            </w:r>
          </w:p>
        </w:tc>
      </w:tr>
      <w:tr>
        <w:trPr>
          <w:cantSplit/>
        </w:trPr>
        <w:tc>
          <w:tcPr>
            <w:tcW w:type="dxa" w:w="3360"/>
          </w:tcPr>
          <w:p>
            <w:r>
              <w:rPr>
                <w:sz w:val="18"/>
              </w:rPr>
              <w:t>Detection</w:t>
            </w:r>
          </w:p>
        </w:tc>
        <w:tc>
          <w:tcPr>
            <w:tcW w:type="dxa" w:w="3360"/>
          </w:tcPr>
          <w:p>
            <w:r>
              <w:rPr>
                <w:sz w:val="18"/>
              </w:rPr>
              <w:t>YOLO11 / Torchvision candidate</w:t>
            </w:r>
          </w:p>
        </w:tc>
        <w:tc>
          <w:tcPr>
            <w:tcW w:type="dxa" w:w="3360"/>
          </w:tcPr>
          <w:p>
            <w:r>
              <w:rPr>
                <w:sz w:val="18"/>
              </w:rPr>
              <w:t>Recommended; model not selected</w:t>
            </w:r>
          </w:p>
        </w:tc>
      </w:tr>
      <w:tr>
        <w:trPr>
          <w:cantSplit/>
        </w:trPr>
        <w:tc>
          <w:tcPr>
            <w:tcW w:type="dxa" w:w="3360"/>
          </w:tcPr>
          <w:p>
            <w:r>
              <w:rPr>
                <w:sz w:val="18"/>
              </w:rPr>
              <w:t>OCR</w:t>
            </w:r>
          </w:p>
        </w:tc>
        <w:tc>
          <w:tcPr>
            <w:tcW w:type="dxa" w:w="3360"/>
          </w:tcPr>
          <w:p>
            <w:r>
              <w:rPr>
                <w:sz w:val="18"/>
              </w:rPr>
              <w:t>EasyOCR / TrOCR / PaddleOCR</w:t>
            </w:r>
          </w:p>
        </w:tc>
        <w:tc>
          <w:tcPr>
            <w:tcW w:type="dxa" w:w="3360"/>
          </w:tcPr>
          <w:p>
            <w:r>
              <w:rPr>
                <w:sz w:val="18"/>
              </w:rPr>
              <w:t>Recommended alternatives; model not selected</w:t>
            </w:r>
          </w:p>
        </w:tc>
      </w:tr>
      <w:tr>
        <w:trPr>
          <w:cantSplit/>
        </w:trPr>
        <w:tc>
          <w:tcPr>
            <w:tcW w:type="dxa" w:w="3360"/>
          </w:tcPr>
          <w:p>
            <w:r>
              <w:rPr>
                <w:sz w:val="18"/>
              </w:rPr>
              <w:t>Video/image handling</w:t>
            </w:r>
          </w:p>
        </w:tc>
        <w:tc>
          <w:tcPr>
            <w:tcW w:type="dxa" w:w="3360"/>
          </w:tcPr>
          <w:p>
            <w:r>
              <w:rPr>
                <w:sz w:val="18"/>
              </w:rPr>
              <w:t>OpenCV; Pillow if needed</w:t>
            </w:r>
          </w:p>
        </w:tc>
        <w:tc>
          <w:tcPr>
            <w:tcW w:type="dxa" w:w="3360"/>
          </w:tcPr>
          <w:p>
            <w:r>
              <w:rPr>
                <w:sz w:val="18"/>
              </w:rPr>
              <w:t>Recommended; not confirmed</w:t>
            </w:r>
          </w:p>
        </w:tc>
      </w:tr>
      <w:tr>
        <w:trPr>
          <w:cantSplit/>
        </w:trPr>
        <w:tc>
          <w:tcPr>
            <w:tcW w:type="dxa" w:w="3360"/>
          </w:tcPr>
          <w:p>
            <w:r>
              <w:rPr>
                <w:sz w:val="18"/>
              </w:rPr>
              <w:t>Reference matching</w:t>
            </w:r>
          </w:p>
        </w:tc>
        <w:tc>
          <w:tcPr>
            <w:tcW w:type="dxa" w:w="3360"/>
          </w:tcPr>
          <w:p>
            <w:r>
              <w:rPr>
                <w:sz w:val="18"/>
              </w:rPr>
              <w:t>Fuzzy matching; RapidFuzz as a possible utility</w:t>
            </w:r>
          </w:p>
        </w:tc>
        <w:tc>
          <w:tcPr>
            <w:tcW w:type="dxa" w:w="3360"/>
          </w:tcPr>
          <w:p>
            <w:r>
              <w:rPr>
                <w:sz w:val="18"/>
              </w:rPr>
              <w:t>Fuzzy method confirmed initially; library not selected</w:t>
            </w:r>
          </w:p>
        </w:tc>
      </w:tr>
      <w:tr>
        <w:trPr>
          <w:cantSplit/>
        </w:trPr>
        <w:tc>
          <w:tcPr>
            <w:tcW w:type="dxa" w:w="3360"/>
          </w:tcPr>
          <w:p>
            <w:r>
              <w:rPr>
                <w:sz w:val="18"/>
              </w:rPr>
              <w:t>CSV handling</w:t>
            </w:r>
          </w:p>
        </w:tc>
        <w:tc>
          <w:tcPr>
            <w:tcW w:type="dxa" w:w="3360"/>
          </w:tcPr>
          <w:p>
            <w:r>
              <w:rPr>
                <w:sz w:val="18"/>
              </w:rPr>
              <w:t>Python CSV utilities or Pandas</w:t>
            </w:r>
          </w:p>
        </w:tc>
        <w:tc>
          <w:tcPr>
            <w:tcW w:type="dxa" w:w="3360"/>
          </w:tcPr>
          <w:p>
            <w:r>
              <w:rPr>
                <w:sz w:val="18"/>
              </w:rPr>
              <w:t>Library not selected</w:t>
            </w:r>
          </w:p>
        </w:tc>
      </w:tr>
      <w:tr>
        <w:trPr>
          <w:cantSplit/>
        </w:trPr>
        <w:tc>
          <w:tcPr>
            <w:tcW w:type="dxa" w:w="3360"/>
          </w:tcPr>
          <w:p>
            <w:r>
              <w:rPr>
                <w:sz w:val="18"/>
              </w:rPr>
              <w:t>Annotation</w:t>
            </w:r>
          </w:p>
        </w:tc>
        <w:tc>
          <w:tcPr>
            <w:tcW w:type="dxa" w:w="3360"/>
          </w:tcPr>
          <w:p>
            <w:r>
              <w:rPr>
                <w:sz w:val="18"/>
              </w:rPr>
              <w:t>[Annotation software to be confirmed]</w:t>
            </w:r>
          </w:p>
        </w:tc>
        <w:tc>
          <w:tcPr>
            <w:tcW w:type="dxa" w:w="3360"/>
          </w:tcPr>
          <w:p>
            <w:r>
              <w:rPr>
                <w:sz w:val="18"/>
              </w:rPr>
              <w:t>Explicit placeholder</w:t>
            </w:r>
          </w:p>
        </w:tc>
      </w:tr>
      <w:tr>
        <w:trPr>
          <w:cantSplit/>
        </w:trPr>
        <w:tc>
          <w:tcPr>
            <w:tcW w:type="dxa" w:w="3360"/>
          </w:tcPr>
          <w:p>
            <w:r>
              <w:rPr>
                <w:sz w:val="18"/>
              </w:rPr>
              <w:t>Version control</w:t>
            </w:r>
          </w:p>
        </w:tc>
        <w:tc>
          <w:tcPr>
            <w:tcW w:type="dxa" w:w="3360"/>
          </w:tcPr>
          <w:p>
            <w:r>
              <w:rPr>
                <w:sz w:val="18"/>
              </w:rPr>
              <w:t>Git/GitHub</w:t>
            </w:r>
          </w:p>
        </w:tc>
        <w:tc>
          <w:tcPr>
            <w:tcW w:type="dxa" w:w="3360"/>
          </w:tcPr>
          <w:p>
            <w:r>
              <w:rPr>
                <w:sz w:val="18"/>
              </w:rPr>
              <w:t>Previously suggested; not confirmed</w:t>
            </w:r>
          </w:p>
        </w:tc>
      </w:tr>
      <w:tr>
        <w:trPr>
          <w:cantSplit/>
        </w:trPr>
        <w:tc>
          <w:tcPr>
            <w:tcW w:type="dxa" w:w="3360"/>
          </w:tcPr>
          <w:p>
            <w:r>
              <w:rPr>
                <w:sz w:val="18"/>
              </w:rPr>
              <w:t>Experiment tracking</w:t>
            </w:r>
          </w:p>
        </w:tc>
        <w:tc>
          <w:tcPr>
            <w:tcW w:type="dxa" w:w="3360"/>
          </w:tcPr>
          <w:p>
            <w:r>
              <w:rPr>
                <w:sz w:val="18"/>
              </w:rPr>
              <w:t>Tool to be confirmed, if needed</w:t>
            </w:r>
          </w:p>
        </w:tc>
        <w:tc>
          <w:tcPr>
            <w:tcW w:type="dxa" w:w="3360"/>
          </w:tcPr>
          <w:p>
            <w:r>
              <w:rPr>
                <w:sz w:val="18"/>
              </w:rPr>
              <w:t>Not confirmed</w:t>
            </w:r>
          </w:p>
        </w:tc>
      </w:tr>
    </w:tbl>
    <w:p>
      <w:r>
        <w:t>Do not list package versions or minor utilities in the check-up slides. Include only confirmed tools or explicitly labelled candidates.</w:t>
      </w:r>
    </w:p>
    <w:p>
      <w:pPr>
        <w:pStyle w:val="Heading2"/>
      </w:pPr>
      <w:r>
        <w:t>4.6 Data and software use requirements</w:t>
      </w:r>
    </w:p>
    <w:p>
      <w:r>
        <w:t>The statement “no licensing is involved” is not supported. Finding an image through Google does not grant permission to reuse it. Google advises checking the original licence and reuse terms. Record the image source, creator where available, licence or permission, and any attribution requirements. Check source-site rules for automated collection. Educational use does not by itself establish that every download or redistribution is permitted. [7]</w:t>
      </w:r>
    </w:p>
    <w:p>
      <w:r>
        <w:t>For reused Wikipedia text, record the source page and revision or retrieval date, provide attribution, identify changes and comply with the applicable licence. Wikipedia text reuse is generally subject to CC BY-SA terms; images may have different licences. The licence implications for extracted facts and a redistributed CSV depend on what is reused. Do not claim that the current scraping process has been verified as compliant. [8]</w:t>
      </w:r>
    </w:p>
    <w:p>
      <w:r>
        <w:t>Ultralytics software and model use has AGPL-3.0 or enterprise licensing options. Review the chosen package and checkpoint terms before publishing code or weights. Do not assume student use or localhost deployment removes licence obligations. Check the exact OCR checkpoint and library licences as well. No paid licence is asserted to be necessary for this project. [9]</w:t>
      </w:r>
    </w:p>
    <w:p>
      <w:r>
        <w:t>Unverified items: original image URLs and permissions, scraping method compliance, the reference extraction date, and final software/checkpoint terms. This is a list of requirements to check, not a legal conclusion about the existing collection.</w:t>
      </w:r>
    </w:p>
    <w:p>
      <w:pPr>
        <w:pStyle w:val="Heading1"/>
      </w:pPr>
      <w:r>
        <w:t>5. Reference matching and application</w:t>
      </w:r>
    </w:p>
    <w:p>
      <w:pPr>
        <w:pStyle w:val="Heading2"/>
      </w:pPr>
      <w:r>
        <w:t>5.1 Confirmed matching plan</w:t>
      </w:r>
    </w:p>
    <w:p>
      <w:pPr>
        <w:pStyle w:val="ListBullet"/>
      </w:pPr>
      <w:r>
        <w:t>Use fuzzy similarity against the bus-information CSV as the initial method.</w:t>
      </w:r>
    </w:p>
    <w:p>
      <w:pPr>
        <w:pStyle w:val="ListBullet"/>
      </w:pPr>
      <w:r>
        <w:t>For equal highest similarity scores, select the first matching row by index. Record this rule in documentation, but omit it from the check-up slides as requested.</w:t>
      </w:r>
    </w:p>
    <w:p>
      <w:pPr>
        <w:pStyle w:val="ListBullet"/>
      </w:pPr>
      <w:r>
        <w:t>Evaluate recognition and the effect of reference matching.</w:t>
      </w:r>
    </w:p>
    <w:p>
      <w:pPr>
        <w:pStyle w:val="ListBullet"/>
      </w:pPr>
      <w:r>
        <w:t>Show both raw and corrected OCR in the prototype for debugging, together with confidence. This later decision supersedes the earlier corrected-output-only preference.</w:t>
      </w:r>
    </w:p>
    <w:p>
      <w:r>
        <w:t>Matching is post-processing, separate from the OCR model. “Corrected OCR” should mean the selected reference-based result, not guaranteed ground truth. A maximum similarity always identifies a closest candidate when candidates exist, but does not guarantee that candidate is correct.</w:t>
      </w:r>
    </w:p>
    <w:p>
      <w:r>
        <w:t>Recommendation, not confirmed: constrain candidates using the service number when it is reliable; match destination text against applicable endpoints and display aliases; reject unsuitable candidates rather than always returning a reference. Keep raw OCR for error analysis. Confirm thresholds and handling of unknown services before using this behaviour.</w:t>
      </w:r>
    </w:p>
    <w:p>
      <w:r>
        <w:t>The first-index tie rule is deterministic but arbitrary: reordering the CSV can change the output. This remains the recorded initial decision, with ambiguity handling left for future review.</w:t>
      </w:r>
    </w:p>
    <w:p>
      <w:r>
        <w:t>The route 65 / Punggol Rd / Tampines Int example in earlier discussion and the workflow is illustrative only. It should not be used as a factual route claim without verification. A generic presentation example can instead show a misspelt destination and its checked reference equivalent.</w:t>
      </w:r>
    </w:p>
    <w:p>
      <w:pPr>
        <w:pStyle w:val="Heading2"/>
      </w:pPr>
      <w:r>
        <w:t>5.2 Local web application</w:t>
      </w:r>
    </w:p>
    <w:p>
      <w:pPr>
        <w:pStyle w:val="ListBullet"/>
      </w:pPr>
      <w:r>
        <w:t>Accept computer-camera streaming and uploaded videos.</w:t>
      </w:r>
    </w:p>
    <w:p>
      <w:pPr>
        <w:pStyle w:val="ListBullet"/>
      </w:pPr>
      <w:r>
        <w:t>Use FastAPI for the backend and HTML, CSS and JavaScript for the frontend.</w:t>
      </w:r>
    </w:p>
    <w:p>
      <w:pPr>
        <w:pStyle w:val="ListBullet"/>
      </w:pPr>
      <w:r>
        <w:t>Display raw OCR, the reference-based result and confidence for debugging.</w:t>
      </w:r>
    </w:p>
    <w:p>
      <w:pPr>
        <w:pStyle w:val="ListBullet"/>
      </w:pPr>
      <w:r>
        <w:t>Provide continuing text updates at a controlled output interval.</w:t>
      </w:r>
    </w:p>
    <w:p>
      <w:pPr>
        <w:pStyle w:val="ListBullet"/>
      </w:pPr>
      <w:r>
        <w:t>Run on localhost. Audio is not part of the current implementation scope.</w:t>
      </w:r>
    </w:p>
    <w:p>
      <w:r>
        <w:t>The supplied diagram proposes showing the video frame and EDS bounding box. Retain this as a diagram-level interface intention; confirm the final layout. Do not label a fuzzy score as overall confidence. Camera capture and video transfer are capabilities to implement, not functions provided automatically by FastAPI.</w:t>
      </w:r>
    </w:p>
    <w:p>
      <w:pPr>
        <w:pStyle w:val="Heading1"/>
      </w:pPr>
      <w:r>
        <w:t>6. Evaluation framework</w:t>
      </w:r>
    </w:p>
    <w:p>
      <w:r>
        <w:t>Confirmed evaluation intent: compare baselines and fine-tuned detection/OCR models, evaluate reference matching, assess performance across image augmentations, and measure inference speed. No actual results or target thresholds have been supplied. The following compact framework is recommended for approval.</w:t>
      </w:r>
    </w:p>
    <w:p>
      <w:pPr>
        <w:pStyle w:val="Heading2"/>
      </w:pPr>
      <w:r>
        <w:t>6.1 Priority metrics</w:t>
      </w:r>
    </w:p>
    <w:tbl>
      <w:tblPr>
        <w:tblStyle w:val="LightShading-Accent1"/>
        <w:tblW w:type="auto" w:w="0"/>
        <w:tblLook w:firstColumn="1" w:firstRow="1" w:lastColumn="0" w:lastRow="0" w:noHBand="0" w:noVBand="1" w:val="04A0"/>
      </w:tblPr>
      <w:tblGrid>
        <w:gridCol w:w="3360"/>
        <w:gridCol w:w="3360"/>
        <w:gridCol w:w="3360"/>
      </w:tblGrid>
      <w:tr>
        <w:trPr>
          <w:cantSplit/>
          <w:tblHeader/>
        </w:trPr>
        <w:tc>
          <w:tcPr>
            <w:tcW w:type="dxa" w:w="3360"/>
          </w:tcPr>
          <w:p>
            <w:r>
              <w:rPr>
                <w:sz w:val="18"/>
              </w:rPr>
              <w:t>Stage</w:t>
            </w:r>
          </w:p>
        </w:tc>
        <w:tc>
          <w:tcPr>
            <w:tcW w:type="dxa" w:w="3360"/>
          </w:tcPr>
          <w:p>
            <w:r>
              <w:rPr>
                <w:sz w:val="18"/>
              </w:rPr>
              <w:t>Recommended metric</w:t>
            </w:r>
          </w:p>
        </w:tc>
        <w:tc>
          <w:tcPr>
            <w:tcW w:type="dxa" w:w="3360"/>
          </w:tcPr>
          <w:p>
            <w:r>
              <w:rPr>
                <w:sz w:val="18"/>
              </w:rPr>
              <w:t>Definition / purpose</w:t>
            </w:r>
          </w:p>
        </w:tc>
      </w:tr>
      <w:tr>
        <w:trPr>
          <w:cantSplit/>
        </w:trPr>
        <w:tc>
          <w:tcPr>
            <w:tcW w:type="dxa" w:w="3360"/>
          </w:tcPr>
          <w:p>
            <w:r>
              <w:rPr>
                <w:sz w:val="18"/>
              </w:rPr>
              <w:t>EDS detection</w:t>
            </w:r>
          </w:p>
        </w:tc>
        <w:tc>
          <w:tcPr>
            <w:tcW w:type="dxa" w:w="3360"/>
          </w:tcPr>
          <w:p>
            <w:r>
              <w:rPr>
                <w:sz w:val="18"/>
              </w:rPr>
              <w:t>mAP@0.5:0.95</w:t>
            </w:r>
          </w:p>
        </w:tc>
        <w:tc>
          <w:tcPr>
            <w:tcW w:type="dxa" w:w="3360"/>
          </w:tcPr>
          <w:p>
            <w:r>
              <w:rPr>
                <w:sz w:val="18"/>
              </w:rPr>
              <w:t>Average precision over IoU thresholds 0.50 to 0.95 in steps of 0.05. Measures localisation and detection quality; with one EDS class, the class mean is that class’s AP.</w:t>
            </w:r>
          </w:p>
        </w:tc>
      </w:tr>
      <w:tr>
        <w:trPr>
          <w:cantSplit/>
        </w:trPr>
        <w:tc>
          <w:tcPr>
            <w:tcW w:type="dxa" w:w="3360"/>
          </w:tcPr>
          <w:p>
            <w:r>
              <w:rPr>
                <w:sz w:val="18"/>
              </w:rPr>
              <w:t>EDS detection</w:t>
            </w:r>
          </w:p>
        </w:tc>
        <w:tc>
          <w:tcPr>
            <w:tcW w:type="dxa" w:w="3360"/>
          </w:tcPr>
          <w:p>
            <w:r>
              <w:rPr>
                <w:sz w:val="18"/>
              </w:rPr>
              <w:t>Recall at the operating threshold</w:t>
            </w:r>
          </w:p>
        </w:tc>
        <w:tc>
          <w:tcPr>
            <w:tcW w:type="dxa" w:w="3360"/>
          </w:tcPr>
          <w:p>
            <w:r>
              <w:rPr>
                <w:sz w:val="18"/>
              </w:rPr>
              <w:t>Correctly detected EDS regions divided by all annotated EDS regions, with a stated IoU rule. Measures missed screens.</w:t>
            </w:r>
          </w:p>
        </w:tc>
      </w:tr>
      <w:tr>
        <w:trPr>
          <w:cantSplit/>
        </w:trPr>
        <w:tc>
          <w:tcPr>
            <w:tcW w:type="dxa" w:w="3360"/>
          </w:tcPr>
          <w:p>
            <w:r>
              <w:rPr>
                <w:sz w:val="18"/>
              </w:rPr>
              <w:t>Raw OCR</w:t>
            </w:r>
          </w:p>
        </w:tc>
        <w:tc>
          <w:tcPr>
            <w:tcW w:type="dxa" w:w="3360"/>
          </w:tcPr>
          <w:p>
            <w:r>
              <w:rPr>
                <w:sz w:val="18"/>
              </w:rPr>
              <w:t>Character Error Rate (CER)</w:t>
            </w:r>
          </w:p>
        </w:tc>
        <w:tc>
          <w:tcPr>
            <w:tcW w:type="dxa" w:w="3360"/>
          </w:tcPr>
          <w:p>
            <w:r>
              <w:rPr>
                <w:sz w:val="18"/>
              </w:rPr>
              <w:t>(Character substitutions + deletions + insertions) / ground-truth character count. Lower is better; can exceed 100%.</w:t>
            </w:r>
          </w:p>
        </w:tc>
      </w:tr>
      <w:tr>
        <w:trPr>
          <w:cantSplit/>
        </w:trPr>
        <w:tc>
          <w:tcPr>
            <w:tcW w:type="dxa" w:w="3360"/>
          </w:tcPr>
          <w:p>
            <w:r>
              <w:rPr>
                <w:sz w:val="18"/>
              </w:rPr>
              <w:t>OCR and reference output</w:t>
            </w:r>
          </w:p>
        </w:tc>
        <w:tc>
          <w:tcPr>
            <w:tcW w:type="dxa" w:w="3360"/>
          </w:tcPr>
          <w:p>
            <w:r>
              <w:rPr>
                <w:sz w:val="18"/>
              </w:rPr>
              <w:t>Exact-match accuracy by field</w:t>
            </w:r>
          </w:p>
        </w:tc>
        <w:tc>
          <w:tcPr>
            <w:tcW w:type="dxa" w:w="3360"/>
          </w:tcPr>
          <w:p>
            <w:r>
              <w:rPr>
                <w:sz w:val="18"/>
              </w:rPr>
              <w:t>Correct service number, destination or road-name strings / applicable labelled field instances. Report raw OCR and post-match results separately.</w:t>
            </w:r>
          </w:p>
        </w:tc>
      </w:tr>
      <w:tr>
        <w:trPr>
          <w:cantSplit/>
        </w:trPr>
        <w:tc>
          <w:tcPr>
            <w:tcW w:type="dxa" w:w="3360"/>
          </w:tcPr>
          <w:p>
            <w:r>
              <w:rPr>
                <w:sz w:val="18"/>
              </w:rPr>
              <w:t>End-to-end</w:t>
            </w:r>
          </w:p>
        </w:tc>
        <w:tc>
          <w:tcPr>
            <w:tcW w:type="dxa" w:w="3360"/>
          </w:tcPr>
          <w:p>
            <w:r>
              <w:rPr>
                <w:sz w:val="18"/>
              </w:rPr>
              <w:t>Complete-result accuracy</w:t>
            </w:r>
          </w:p>
        </w:tc>
        <w:tc>
          <w:tcPr>
            <w:tcW w:type="dxa" w:w="3360"/>
          </w:tcPr>
          <w:p>
            <w:r>
              <w:rPr>
                <w:sz w:val="18"/>
              </w:rPr>
              <w:t>Evaluated EDS instances for which all required, visibly present fields are correct / all eligible annotated EDS instances. Missed detections and rejected readable instances count as failures.</w:t>
            </w:r>
          </w:p>
        </w:tc>
      </w:tr>
      <w:tr>
        <w:trPr>
          <w:cantSplit/>
        </w:trPr>
        <w:tc>
          <w:tcPr>
            <w:tcW w:type="dxa" w:w="3360"/>
          </w:tcPr>
          <w:p>
            <w:r>
              <w:rPr>
                <w:sz w:val="18"/>
              </w:rPr>
              <w:t>Local performance</w:t>
            </w:r>
          </w:p>
        </w:tc>
        <w:tc>
          <w:tcPr>
            <w:tcW w:type="dxa" w:w="3360"/>
          </w:tcPr>
          <w:p>
            <w:r>
              <w:rPr>
                <w:sz w:val="18"/>
              </w:rPr>
              <w:t>Processing FPS and median / p95 latency</w:t>
            </w:r>
          </w:p>
        </w:tc>
        <w:tc>
          <w:tcPr>
            <w:tcW w:type="dxa" w:w="3360"/>
          </w:tcPr>
          <w:p>
            <w:r>
              <w:rPr>
                <w:sz w:val="18"/>
              </w:rPr>
              <w:t>Measure completed pipeline outputs per second and typical / slow-case time from frame capture or receipt to displayed result. State the timing boundary and hardware.</w:t>
            </w:r>
          </w:p>
        </w:tc>
      </w:tr>
    </w:tbl>
    <w:p>
      <w:r>
        <w:t>IoU is intersection area divided by union area between predicted and ground-truth boxes. It is used within detection evaluation; it need not be a separate headline metric. Precision or WER can be added later if error analysis requires them, but they are not necessary in the short headline list. Detection mAP and training/validation separation align with the supplied detection and model-training lectures. [10, 11]</w:t>
      </w:r>
    </w:p>
    <w:p>
      <w:pPr>
        <w:pStyle w:val="Heading2"/>
      </w:pPr>
      <w:r>
        <w:t>6.2 Comparisons and fair testing</w:t>
      </w:r>
    </w:p>
    <w:tbl>
      <w:tblPr>
        <w:tblStyle w:val="LightShading-Accent1"/>
        <w:tblW w:type="auto" w:w="0"/>
        <w:tblLook w:firstColumn="1" w:firstRow="1" w:lastColumn="0" w:lastRow="0" w:noHBand="0" w:noVBand="1" w:val="04A0"/>
      </w:tblPr>
      <w:tblGrid>
        <w:gridCol w:w="3360"/>
        <w:gridCol w:w="3360"/>
        <w:gridCol w:w="3360"/>
      </w:tblGrid>
      <w:tr>
        <w:trPr>
          <w:cantSplit/>
          <w:tblHeader/>
        </w:trPr>
        <w:tc>
          <w:tcPr>
            <w:tcW w:type="dxa" w:w="3360"/>
          </w:tcPr>
          <w:p>
            <w:r>
              <w:rPr>
                <w:sz w:val="18"/>
              </w:rPr>
              <w:t>Comparison</w:t>
            </w:r>
          </w:p>
        </w:tc>
        <w:tc>
          <w:tcPr>
            <w:tcW w:type="dxa" w:w="3360"/>
          </w:tcPr>
          <w:p>
            <w:r>
              <w:rPr>
                <w:sz w:val="18"/>
              </w:rPr>
              <w:t>Keep consistent</w:t>
            </w:r>
          </w:p>
        </w:tc>
        <w:tc>
          <w:tcPr>
            <w:tcW w:type="dxa" w:w="3360"/>
          </w:tcPr>
          <w:p>
            <w:r>
              <w:rPr>
                <w:sz w:val="18"/>
              </w:rPr>
              <w:t>Question answered</w:t>
            </w:r>
          </w:p>
        </w:tc>
      </w:tr>
      <w:tr>
        <w:trPr>
          <w:cantSplit/>
        </w:trPr>
        <w:tc>
          <w:tcPr>
            <w:tcW w:type="dxa" w:w="3360"/>
          </w:tcPr>
          <w:p>
            <w:r>
              <w:rPr>
                <w:sz w:val="18"/>
              </w:rPr>
              <w:t>EDS baseline vs alternative detector/training setting</w:t>
            </w:r>
          </w:p>
        </w:tc>
        <w:tc>
          <w:tcPr>
            <w:tcW w:type="dxa" w:w="3360"/>
          </w:tcPr>
          <w:p>
            <w:r>
              <w:rPr>
                <w:sz w:val="18"/>
              </w:rPr>
              <w:t>Same original held-out images, labels, resolution policy and timing hardware</w:t>
            </w:r>
          </w:p>
        </w:tc>
        <w:tc>
          <w:tcPr>
            <w:tcW w:type="dxa" w:w="3360"/>
          </w:tcPr>
          <w:p>
            <w:r>
              <w:rPr>
                <w:sz w:val="18"/>
              </w:rPr>
              <w:t>Does the chosen detector or training change improve localisation without unacceptable latency?</w:t>
            </w:r>
          </w:p>
        </w:tc>
      </w:tr>
      <w:tr>
        <w:trPr>
          <w:cantSplit/>
        </w:trPr>
        <w:tc>
          <w:tcPr>
            <w:tcW w:type="dxa" w:w="3360"/>
          </w:tcPr>
          <w:p>
            <w:r>
              <w:rPr>
                <w:sz w:val="18"/>
              </w:rPr>
              <w:t>Untouched OCR vs fine-tuned OCR</w:t>
            </w:r>
          </w:p>
        </w:tc>
        <w:tc>
          <w:tcPr>
            <w:tcW w:type="dxa" w:w="3360"/>
          </w:tcPr>
          <w:p>
            <w:r>
              <w:rPr>
                <w:sz w:val="18"/>
              </w:rPr>
              <w:t>Same verified ground-truth text crops and text-normalisation rules</w:t>
            </w:r>
          </w:p>
        </w:tc>
        <w:tc>
          <w:tcPr>
            <w:tcW w:type="dxa" w:w="3360"/>
          </w:tcPr>
          <w:p>
            <w:r>
              <w:rPr>
                <w:sz w:val="18"/>
              </w:rPr>
              <w:t>Does fine-tuning improve recognition of EDS text?</w:t>
            </w:r>
          </w:p>
        </w:tc>
      </w:tr>
      <w:tr>
        <w:trPr>
          <w:cantSplit/>
        </w:trPr>
        <w:tc>
          <w:tcPr>
            <w:tcW w:type="dxa" w:w="3360"/>
          </w:tcPr>
          <w:p>
            <w:r>
              <w:rPr>
                <w:sz w:val="18"/>
              </w:rPr>
              <w:t>Raw OCR vs OCR plus reference matching</w:t>
            </w:r>
          </w:p>
        </w:tc>
        <w:tc>
          <w:tcPr>
            <w:tcW w:type="dxa" w:w="3360"/>
          </w:tcPr>
          <w:p>
            <w:r>
              <w:rPr>
                <w:sz w:val="18"/>
              </w:rPr>
              <w:t>Same predicted crops, frames, fields and ground truth</w:t>
            </w:r>
          </w:p>
        </w:tc>
        <w:tc>
          <w:tcPr>
            <w:tcW w:type="dxa" w:w="3360"/>
          </w:tcPr>
          <w:p>
            <w:r>
              <w:rPr>
                <w:sz w:val="18"/>
              </w:rPr>
              <w:t>How often does matching fix an error or turn a correct result into an incorrect one?</w:t>
            </w:r>
          </w:p>
        </w:tc>
      </w:tr>
      <w:tr>
        <w:trPr>
          <w:cantSplit/>
        </w:trPr>
        <w:tc>
          <w:tcPr>
            <w:tcW w:type="dxa" w:w="3360"/>
          </w:tcPr>
          <w:p>
            <w:r>
              <w:rPr>
                <w:sz w:val="18"/>
              </w:rPr>
              <w:t>Original vs transformed test examples</w:t>
            </w:r>
          </w:p>
        </w:tc>
        <w:tc>
          <w:tcPr>
            <w:tcW w:type="dxa" w:w="3360"/>
          </w:tcPr>
          <w:p>
            <w:r>
              <w:rPr>
                <w:sz w:val="18"/>
              </w:rPr>
              <w:t>Same original held-out examples, fixed transformations and severity settings</w:t>
            </w:r>
          </w:p>
        </w:tc>
        <w:tc>
          <w:tcPr>
            <w:tcW w:type="dxa" w:w="3360"/>
          </w:tcPr>
          <w:p>
            <w:r>
              <w:rPr>
                <w:sz w:val="18"/>
              </w:rPr>
              <w:t>How much performance is lost under each condition?</w:t>
            </w:r>
          </w:p>
        </w:tc>
      </w:tr>
      <w:tr>
        <w:trPr>
          <w:cantSplit/>
        </w:trPr>
        <w:tc>
          <w:tcPr>
            <w:tcW w:type="dxa" w:w="3360"/>
          </w:tcPr>
          <w:p>
            <w:r>
              <w:rPr>
                <w:sz w:val="18"/>
              </w:rPr>
              <w:t>Complete live/upload pipeline</w:t>
            </w:r>
          </w:p>
        </w:tc>
        <w:tc>
          <w:tcPr>
            <w:tcW w:type="dxa" w:w="3360"/>
          </w:tcPr>
          <w:p>
            <w:r>
              <w:rPr>
                <w:sz w:val="18"/>
              </w:rPr>
              <w:t>Same declared hardware and video settings</w:t>
            </w:r>
          </w:p>
        </w:tc>
        <w:tc>
          <w:tcPr>
            <w:tcW w:type="dxa" w:w="3360"/>
          </w:tcPr>
          <w:p>
            <w:r>
              <w:rPr>
                <w:sz w:val="18"/>
              </w:rPr>
              <w:t>Can the system sustain useful low-latency output?</w:t>
            </w:r>
          </w:p>
        </w:tc>
      </w:tr>
    </w:tbl>
    <w:p>
      <w:r>
        <w:t>Evaluate OCR on ground-truth crops to isolate recognition quality, then on predicted EDS crops to measure detector effects. For full-pipeline testing, define how multiple EDS instances in a frame are counted and matched. Thresholds and model selection should use validation data, not the final held-out test examples.</w:t>
      </w:r>
    </w:p>
    <w:p>
      <w:r>
        <w:t>Separate original image/video sources before augmentation. Keep near-duplicate images and frames from the same video in the same partition. This prevents transformed or nearly identical training examples from entering the test set. Split proportions are deliberately not specified.</w:t>
      </w:r>
    </w:p>
    <w:p>
      <w:r>
        <w:t>For exact-match scoring, define case, whitespace, punctuation, abbreviation and endpoint rules before testing. If a road name is not visible, mark that field as not applicable. If a required visible field is unreadable, define the annotation/exclusion rule before evaluation rather than removing failures afterwards.</w:t>
      </w:r>
    </w:p>
    <w:p>
      <w:pPr>
        <w:pStyle w:val="Heading2"/>
      </w:pPr>
      <w:r>
        <w:t>6.3 Augmentation and robustness assessment</w:t>
      </w:r>
    </w:p>
    <w:p>
      <w:r>
        <w:t>Recommended test conditions: clean images, brightness reduction, contrast change, motion blur, perspective changes and reduced resolution. Use realistic severity levels, keep text transcriptions unchanged and update detection boxes for geometric transformations. Avoid horizontal flips or transformations that reverse or destroy text while retaining the original labels.</w:t>
      </w:r>
    </w:p>
    <w:p>
      <w:r>
        <w:t>Assess each condition separately before combined conditions. Synthetic low light or blur is not evidence of equivalent performance on real night footage or moving buses. Include real challenging video examples where available. Augmentation increases variation but does not replace missing EDS formats or genuine conditions.</w:t>
      </w:r>
    </w:p>
    <w:tbl>
      <w:tblPr>
        <w:tblStyle w:val="LightShading-Accent1"/>
        <w:tblW w:type="auto" w:w="0"/>
        <w:tblLook w:firstColumn="1" w:firstRow="1" w:lastColumn="0" w:lastRow="0" w:noHBand="0" w:noVBand="1" w:val="04A0"/>
      </w:tblPr>
      <w:tblGrid>
        <w:gridCol w:w="1440"/>
        <w:gridCol w:w="1440"/>
        <w:gridCol w:w="1440"/>
        <w:gridCol w:w="1440"/>
        <w:gridCol w:w="1440"/>
        <w:gridCol w:w="1440"/>
        <w:gridCol w:w="1440"/>
      </w:tblGrid>
      <w:tr>
        <w:trPr>
          <w:cantSplit/>
          <w:tblHeader/>
        </w:trPr>
        <w:tc>
          <w:tcPr>
            <w:tcW w:type="dxa" w:w="1440"/>
          </w:tcPr>
          <w:p>
            <w:r>
              <w:rPr>
                <w:sz w:val="18"/>
              </w:rPr>
              <w:t>Model / condition</w:t>
            </w:r>
          </w:p>
        </w:tc>
        <w:tc>
          <w:tcPr>
            <w:tcW w:type="dxa" w:w="1440"/>
          </w:tcPr>
          <w:p>
            <w:r>
              <w:rPr>
                <w:sz w:val="18"/>
              </w:rPr>
              <w:t>Detection mAP</w:t>
            </w:r>
          </w:p>
        </w:tc>
        <w:tc>
          <w:tcPr>
            <w:tcW w:type="dxa" w:w="1440"/>
          </w:tcPr>
          <w:p>
            <w:r>
              <w:rPr>
                <w:sz w:val="18"/>
              </w:rPr>
              <w:t>Recall</w:t>
            </w:r>
          </w:p>
        </w:tc>
        <w:tc>
          <w:tcPr>
            <w:tcW w:type="dxa" w:w="1440"/>
          </w:tcPr>
          <w:p>
            <w:r>
              <w:rPr>
                <w:sz w:val="18"/>
              </w:rPr>
              <w:t>Raw OCR CER</w:t>
            </w:r>
          </w:p>
        </w:tc>
        <w:tc>
          <w:tcPr>
            <w:tcW w:type="dxa" w:w="1440"/>
          </w:tcPr>
          <w:p>
            <w:r>
              <w:rPr>
                <w:sz w:val="18"/>
              </w:rPr>
              <w:t>Field exact match: raw / matched</w:t>
            </w:r>
          </w:p>
        </w:tc>
        <w:tc>
          <w:tcPr>
            <w:tcW w:type="dxa" w:w="1440"/>
          </w:tcPr>
          <w:p>
            <w:r>
              <w:rPr>
                <w:sz w:val="18"/>
              </w:rPr>
              <w:t>Complete-result accuracy</w:t>
            </w:r>
          </w:p>
        </w:tc>
        <w:tc>
          <w:tcPr>
            <w:tcW w:type="dxa" w:w="1440"/>
          </w:tcPr>
          <w:p>
            <w:r>
              <w:rPr>
                <w:sz w:val="18"/>
              </w:rPr>
              <w:t>FPS; median / p95 latency</w:t>
            </w:r>
          </w:p>
        </w:tc>
      </w:tr>
      <w:tr>
        <w:trPr>
          <w:cantSplit/>
        </w:trPr>
        <w:tc>
          <w:tcPr>
            <w:tcW w:type="dxa" w:w="1440"/>
          </w:tcPr>
          <w:p>
            <w:r>
              <w:rPr>
                <w:sz w:val="18"/>
              </w:rPr>
              <w:t>To be measured</w:t>
            </w:r>
          </w:p>
        </w:tc>
        <w:tc>
          <w:tcPr>
            <w:tcW w:type="dxa" w:w="1440"/>
          </w:tcPr>
          <w:p>
            <w:r>
              <w:rPr>
                <w:sz w:val="18"/>
              </w:rPr>
              <w:t>Not measured</w:t>
            </w:r>
          </w:p>
        </w:tc>
        <w:tc>
          <w:tcPr>
            <w:tcW w:type="dxa" w:w="1440"/>
          </w:tcPr>
          <w:p>
            <w:r>
              <w:rPr>
                <w:sz w:val="18"/>
              </w:rPr>
              <w:t>Not measured</w:t>
            </w:r>
          </w:p>
        </w:tc>
        <w:tc>
          <w:tcPr>
            <w:tcW w:type="dxa" w:w="1440"/>
          </w:tcPr>
          <w:p>
            <w:r>
              <w:rPr>
                <w:sz w:val="18"/>
              </w:rPr>
              <w:t>Not measured</w:t>
            </w:r>
          </w:p>
        </w:tc>
        <w:tc>
          <w:tcPr>
            <w:tcW w:type="dxa" w:w="1440"/>
          </w:tcPr>
          <w:p>
            <w:r>
              <w:rPr>
                <w:sz w:val="18"/>
              </w:rPr>
              <w:t>Not measured</w:t>
            </w:r>
          </w:p>
        </w:tc>
        <w:tc>
          <w:tcPr>
            <w:tcW w:type="dxa" w:w="1440"/>
          </w:tcPr>
          <w:p>
            <w:r>
              <w:rPr>
                <w:sz w:val="18"/>
              </w:rPr>
              <w:t>Not measured</w:t>
            </w:r>
          </w:p>
        </w:tc>
        <w:tc>
          <w:tcPr>
            <w:tcW w:type="dxa" w:w="1440"/>
          </w:tcPr>
          <w:p>
            <w:r>
              <w:rPr>
                <w:sz w:val="18"/>
              </w:rPr>
              <w:t>Not measured</w:t>
            </w:r>
          </w:p>
        </w:tc>
      </w:tr>
    </w:tbl>
    <w:p>
      <w:r>
        <w:t>Reporting template only. It contains no results. Record the hardware, input resolution, sampling rate, output interval and number of evaluated examples alongside future measurements. Public benchmark claims cannot substitute for evaluation on this project’s contextualised data; the absence of supplied results does not establish that relevant prior research does not exist.</w:t>
      </w:r>
    </w:p>
    <w:p>
      <w:pPr>
        <w:pStyle w:val="Heading1"/>
      </w:pPr>
      <w:r>
        <w:t>7. Challenges and next steps</w:t>
      </w:r>
    </w:p>
    <w:p>
      <w:r>
        <w:t>No actual development problems, task statuses or progress percentages have been provided. The items below are design risks, not claimed failures observed by the team.</w:t>
      </w:r>
    </w:p>
    <w:tbl>
      <w:tblPr>
        <w:tblStyle w:val="LightShading-Accent1"/>
        <w:tblW w:type="auto" w:w="0"/>
        <w:tblLook w:firstColumn="1" w:firstRow="1" w:lastColumn="0" w:lastRow="0" w:noHBand="0" w:noVBand="1" w:val="04A0"/>
      </w:tblPr>
      <w:tblGrid>
        <w:gridCol w:w="5040"/>
        <w:gridCol w:w="5040"/>
      </w:tblGrid>
      <w:tr>
        <w:trPr>
          <w:cantSplit/>
          <w:tblHeader/>
        </w:trPr>
        <w:tc>
          <w:tcPr>
            <w:tcW w:type="dxa" w:w="5040"/>
          </w:tcPr>
          <w:p>
            <w:r>
              <w:rPr>
                <w:sz w:val="18"/>
              </w:rPr>
              <w:t>Risk</w:t>
            </w:r>
          </w:p>
        </w:tc>
        <w:tc>
          <w:tcPr>
            <w:tcW w:type="dxa" w:w="5040"/>
          </w:tcPr>
          <w:p>
            <w:r>
              <w:rPr>
                <w:sz w:val="18"/>
              </w:rPr>
              <w:t>Recommended response</w:t>
            </w:r>
          </w:p>
        </w:tc>
      </w:tr>
      <w:tr>
        <w:trPr>
          <w:cantSplit/>
        </w:trPr>
        <w:tc>
          <w:tcPr>
            <w:tcW w:type="dxa" w:w="5040"/>
          </w:tcPr>
          <w:p>
            <w:r>
              <w:rPr>
                <w:sz w:val="18"/>
              </w:rPr>
              <w:t>Small, blurred or angled EDS text</w:t>
            </w:r>
          </w:p>
        </w:tc>
        <w:tc>
          <w:tcPr>
            <w:tcW w:type="dxa" w:w="5040"/>
          </w:tcPr>
          <w:p>
            <w:r>
              <w:rPr>
                <w:sz w:val="18"/>
              </w:rPr>
              <w:t>Collect representative examples, inspect crop quality and test recognition separately from detection.</w:t>
            </w:r>
          </w:p>
        </w:tc>
      </w:tr>
      <w:tr>
        <w:trPr>
          <w:cantSplit/>
        </w:trPr>
        <w:tc>
          <w:tcPr>
            <w:tcW w:type="dxa" w:w="5040"/>
          </w:tcPr>
          <w:p>
            <w:r>
              <w:rPr>
                <w:sz w:val="18"/>
              </w:rPr>
              <w:t>Road-name reference coverage</w:t>
            </w:r>
          </w:p>
        </w:tc>
        <w:tc>
          <w:tcPr>
            <w:tcW w:type="dxa" w:w="5040"/>
          </w:tcPr>
          <w:p>
            <w:r>
              <w:rPr>
                <w:sz w:val="18"/>
              </w:rPr>
              <w:t>Decide whether to expand reference data or retain unmatched recognised road text.</w:t>
            </w:r>
          </w:p>
        </w:tc>
      </w:tr>
      <w:tr>
        <w:trPr>
          <w:cantSplit/>
        </w:trPr>
        <w:tc>
          <w:tcPr>
            <w:tcW w:type="dxa" w:w="5040"/>
          </w:tcPr>
          <w:p>
            <w:r>
              <w:rPr>
                <w:sz w:val="18"/>
              </w:rPr>
              <w:t>Reference forcing or ambiguous endpoints</w:t>
            </w:r>
          </w:p>
        </w:tc>
        <w:tc>
          <w:tcPr>
            <w:tcW w:type="dxa" w:w="5040"/>
          </w:tcPr>
          <w:p>
            <w:r>
              <w:rPr>
                <w:sz w:val="18"/>
              </w:rPr>
              <w:t>Test wrong corrections and decide acceptance/rejection and direction rules.</w:t>
            </w:r>
          </w:p>
        </w:tc>
      </w:tr>
      <w:tr>
        <w:trPr>
          <w:cantSplit/>
        </w:trPr>
        <w:tc>
          <w:tcPr>
            <w:tcW w:type="dxa" w:w="5040"/>
          </w:tcPr>
          <w:p>
            <w:r>
              <w:rPr>
                <w:sz w:val="18"/>
              </w:rPr>
              <w:t>Runtime slower than sampled input</w:t>
            </w:r>
          </w:p>
        </w:tc>
        <w:tc>
          <w:tcPr>
            <w:tcW w:type="dxa" w:w="5040"/>
          </w:tcPr>
          <w:p>
            <w:r>
              <w:rPr>
                <w:sz w:val="18"/>
              </w:rPr>
              <w:t>Measure complete latency; decide whether to discard stale frames or adjust sampling/OCR frequency.</w:t>
            </w:r>
          </w:p>
        </w:tc>
      </w:tr>
      <w:tr>
        <w:trPr>
          <w:cantSplit/>
        </w:trPr>
        <w:tc>
          <w:tcPr>
            <w:tcW w:type="dxa" w:w="5040"/>
          </w:tcPr>
          <w:p>
            <w:r>
              <w:rPr>
                <w:sz w:val="18"/>
              </w:rPr>
              <w:t>Text-only interface for visually impaired users</w:t>
            </w:r>
          </w:p>
        </w:tc>
        <w:tc>
          <w:tcPr>
            <w:tcW w:type="dxa" w:w="5040"/>
          </w:tcPr>
          <w:p>
            <w:r>
              <w:rPr>
                <w:sz w:val="18"/>
              </w:rPr>
              <w:t>Present this as a CV prototype; treat audio and accessibility testing as later work.</w:t>
            </w:r>
          </w:p>
        </w:tc>
      </w:tr>
      <w:tr>
        <w:trPr>
          <w:cantSplit/>
        </w:trPr>
        <w:tc>
          <w:tcPr>
            <w:tcW w:type="dxa" w:w="5040"/>
          </w:tcPr>
          <w:p>
            <w:r>
              <w:rPr>
                <w:sz w:val="18"/>
              </w:rPr>
              <w:t>Scraped data errors or duplicate images</w:t>
            </w:r>
          </w:p>
        </w:tc>
        <w:tc>
          <w:tcPr>
            <w:tcW w:type="dxa" w:w="5040"/>
          </w:tcPr>
          <w:p>
            <w:r>
              <w:rPr>
                <w:sz w:val="18"/>
              </w:rPr>
              <w:t>Inspect data, record sources and separate near-duplicates before evaluation.</w:t>
            </w:r>
          </w:p>
        </w:tc>
      </w:tr>
    </w:tbl>
    <w:p>
      <w:r>
        <w:t>Recommended task order, subject to the team’s own schedule: confirm annotations and reference coverage; choose detector/OCR candidates; prepare verified detection and OCR labels; establish baselines; fine-tune and compare; implement fuzzy matching and rejection behaviour; integrate camera/upload input and text output; evaluate accuracy, robustness and latency; prepare the demonstration. No deadlines or task ownership are assigned.</w:t>
      </w:r>
    </w:p>
    <w:p>
      <w:r>
        <w:t>Confirmed expansion direction: buses in other countries. This will require new imagery, labels, display vocabularies and route references, followed by evaluation. Audio is optional future work. Mobile/cloud deployment and other signage remain possible discussion topics, not agreed deliverables.</w:t>
      </w:r>
    </w:p>
    <w:p>
      <w:r>
        <w:br w:type="page"/>
      </w:r>
    </w:p>
    <w:p>
      <w:pPr>
        <w:pStyle w:val="Heading1"/>
      </w:pPr>
      <w:r>
        <w:t>References and source notes</w:t>
      </w:r>
    </w:p>
    <w:p>
      <w:r>
        <w:t>Project decisions are grounded in the user’s responses and preceding project discussion. File observations are grounded in workflow.jpg and bus_information.csv. External sources support recommendations and data-use checks; they do not prove project performance. External sources checked on 6 October 2026.</w:t>
      </w:r>
    </w:p>
    <w:p>
      <w:pPr>
        <w:spacing w:after="60"/>
      </w:pPr>
      <w:r>
        <w:rPr>
          <w:sz w:val="18"/>
        </w:rPr>
        <w:t>[1] Wikipedia, List of bus routes in Singapore. https://en.wikipedia.org/wiki/List_of_bus_routes_in_Singapore</w:t>
      </w:r>
    </w:p>
    <w:p>
      <w:pPr>
        <w:spacing w:after="60"/>
      </w:pPr>
      <w:r>
        <w:rPr>
          <w:sz w:val="18"/>
        </w:rPr>
        <w:t>[2] Ultralytics, YOLO11 model documentation. https://docs.ultralytics.com/models/yolo11/</w:t>
      </w:r>
    </w:p>
    <w:p>
      <w:pPr>
        <w:spacing w:after="60"/>
      </w:pPr>
      <w:r>
        <w:rPr>
          <w:sz w:val="18"/>
        </w:rPr>
        <w:t>[3] Torchvision, Faster R-CNN ResNet-50 FPN v2. https://docs.pytorch.org/vision/stable/models/generated/torchvision.models.detection.fasterrcnn_resnet50_fpn_v2.html</w:t>
      </w:r>
    </w:p>
    <w:p>
      <w:pPr>
        <w:spacing w:after="60"/>
      </w:pPr>
      <w:r>
        <w:rPr>
          <w:sz w:val="18"/>
        </w:rPr>
        <w:t>[4] EasyOCR repository and custom model guidance. https://github.com/JaidedAI/EasyOCR ; https://github.com/JaidedAI/EasyOCR/blob/master/custom_model.md</w:t>
      </w:r>
    </w:p>
    <w:p>
      <w:pPr>
        <w:spacing w:after="60"/>
      </w:pPr>
      <w:r>
        <w:rPr>
          <w:sz w:val="18"/>
        </w:rPr>
        <w:t>[5] Hugging Face Transformers, TrOCR. https://huggingface.co/docs/transformers/model_doc/trocr</w:t>
      </w:r>
    </w:p>
    <w:p>
      <w:pPr>
        <w:spacing w:after="60"/>
      </w:pPr>
      <w:r>
        <w:rPr>
          <w:sz w:val="18"/>
        </w:rPr>
        <w:t>[6] PaddleOCR, Text Recognition Module. https://www.paddleocr.ai/main/en/version3.x/module_usage/text_recognition.html</w:t>
      </w:r>
    </w:p>
    <w:p>
      <w:pPr>
        <w:spacing w:after="60"/>
      </w:pPr>
      <w:r>
        <w:rPr>
          <w:sz w:val="18"/>
        </w:rPr>
        <w:t>[7] Google Search Help, Find images you can use and share. https://support.google.com/websearch/answer/29508?hl=en</w:t>
      </w:r>
    </w:p>
    <w:p>
      <w:pPr>
        <w:spacing w:after="60"/>
      </w:pPr>
      <w:r>
        <w:rPr>
          <w:sz w:val="18"/>
        </w:rPr>
        <w:t>[8] Wikimedia Foundation, Terms of Use, reuse provisions. https://foundation.wikimedia.org/wiki/Policy:Terms_of_Use</w:t>
      </w:r>
    </w:p>
    <w:p>
      <w:pPr>
        <w:spacing w:after="60"/>
      </w:pPr>
      <w:r>
        <w:rPr>
          <w:sz w:val="18"/>
        </w:rPr>
        <w:t>[9] Ultralytics licensing. https://www.ultralytics.com/license</w:t>
      </w:r>
    </w:p>
    <w:p>
      <w:pPr>
        <w:spacing w:after="60"/>
      </w:pPr>
      <w:r>
        <w:rPr>
          <w:sz w:val="18"/>
        </w:rPr>
        <w:t>[10] Uploaded W8_ObjectDetection_1.pdf. Detection evaluation: IoU, precision, recall and mAP.</w:t>
      </w:r>
    </w:p>
    <w:p>
      <w:pPr>
        <w:spacing w:after="60"/>
      </w:pPr>
      <w:r>
        <w:rPr>
          <w:sz w:val="18"/>
        </w:rPr>
        <w:t>[11] Uploaded AAI3001_L5_Training Deep Vision Models.pdf. Training and validation; data augmentation.</w:t>
      </w:r>
    </w:p>
    <w:p>
      <w:r>
        <w:br w:type="page"/>
      </w:r>
    </w:p>
    <w:p>
      <w:pPr>
        <w:pStyle w:val="Heading1"/>
      </w:pPr>
      <w:r>
        <w:t>Open decisions and future questions</w:t>
      </w:r>
    </w:p>
    <w:p>
      <w:r>
        <w:t>This is the final section. It collects unanswered questions, recommended decisions requiring approval, details intentionally deferred, and optional future topics. These questions do not change the confirmed scope. Primary research, progress reporting, exact dataset counts and slide-level split percentages are not requested now.</w:t>
      </w:r>
    </w:p>
    <w:p>
      <w:pPr>
        <w:pStyle w:val="Heading2"/>
      </w:pPr>
      <w:r>
        <w:t>1. Problem, target user and value</w:t>
      </w:r>
    </w:p>
    <w:p>
      <w:pPr>
        <w:pStyle w:val="ListBullet"/>
      </w:pPr>
      <w:r>
        <w:t>What final project name and objective wording does the team want to use?</w:t>
      </w:r>
    </w:p>
    <w:p>
      <w:pPr>
        <w:pStyle w:val="ListBullet"/>
      </w:pPr>
      <w:r>
        <w:t>If accessibility becomes an evaluated objective later, which audio controls and user tests will be included? Primary research is deferred unless requested.</w:t>
      </w:r>
    </w:p>
    <w:p>
      <w:pPr>
        <w:pStyle w:val="Heading2"/>
      </w:pPr>
      <w:r>
        <w:t>2. Objectives and scope</w:t>
      </w:r>
    </w:p>
    <w:p>
      <w:pPr>
        <w:pStyle w:val="ListBullet"/>
      </w:pPr>
      <w:r>
        <w:t>Which EDS locations and formats are required: front only, side, rear, single-line, multi-line or alternating displays?</w:t>
      </w:r>
    </w:p>
    <w:p>
      <w:pPr>
        <w:pStyle w:val="ListBullet"/>
      </w:pPr>
      <w:r>
        <w:t>Are only text fields visibly present required, and should the system also return reference-derived fields not visible on the screen?</w:t>
      </w:r>
    </w:p>
    <w:p>
      <w:pPr>
        <w:pStyle w:val="ListBullet"/>
      </w:pPr>
      <w:r>
        <w:t>What measured end-to-end latency and sustained processing rate will qualify as real-time on the demonstration hardware?</w:t>
      </w:r>
    </w:p>
    <w:p>
      <w:pPr>
        <w:pStyle w:val="ListBullet"/>
      </w:pPr>
      <w:r>
        <w:t>Confirm any exclusions beyond audio, mobile and cloud deployment.</w:t>
      </w:r>
    </w:p>
    <w:p>
      <w:pPr>
        <w:pStyle w:val="Heading2"/>
      </w:pPr>
      <w:r>
        <w:t>3. System workflow</w:t>
      </w:r>
    </w:p>
    <w:p>
      <w:pPr>
        <w:pStyle w:val="ListBullet"/>
      </w:pPr>
      <w:r>
        <w:t>Does detecting bus number, destination and road names mean a second field detector, OCR text localisation, or parsing recognised lines?</w:t>
      </w:r>
    </w:p>
    <w:p>
      <w:pPr>
        <w:pStyle w:val="ListBullet"/>
      </w:pPr>
      <w:r>
        <w:t>Which preprocessing steps are needed beyond cropping, and how will their effect be tested?</w:t>
      </w:r>
    </w:p>
    <w:p>
      <w:pPr>
        <w:pStyle w:val="ListBullet"/>
      </w:pPr>
      <w:r>
        <w:t>What detection-confidence and OCR-confidence thresholds should be used? Is the OCR threshold also user-adjustable?</w:t>
      </w:r>
    </w:p>
    <w:p>
      <w:pPr>
        <w:pStyle w:val="ListBullet"/>
      </w:pPr>
      <w:r>
        <w:t>How should multiple EDS detections in a frame be processed and ordered?</w:t>
      </w:r>
    </w:p>
    <w:p>
      <w:pPr>
        <w:pStyle w:val="ListBullet"/>
      </w:pPr>
      <w:r>
        <w:t>What exact output interval and text layout should be used? Are repeated identical results suppressed?</w:t>
      </w:r>
    </w:p>
    <w:p>
      <w:pPr>
        <w:pStyle w:val="ListBullet"/>
      </w:pPr>
      <w:r>
        <w:t>What happens when no EDS exists, no reference is acceptable, a field is missing, or the camera/upload fails?</w:t>
      </w:r>
    </w:p>
    <w:p>
      <w:pPr>
        <w:pStyle w:val="ListBullet"/>
      </w:pPr>
      <w:r>
        <w:t>Is “No bus information detected” approved as the common failure message for all relevant failure cases?</w:t>
      </w:r>
    </w:p>
    <w:p>
      <w:pPr>
        <w:pStyle w:val="ListBullet"/>
      </w:pPr>
      <w:r>
        <w:t>If the pipeline falls behind 15 FPS, should stale frames be dropped or processing frequency reduced?</w:t>
      </w:r>
    </w:p>
    <w:p>
      <w:pPr>
        <w:pStyle w:val="ListBullet"/>
      </w:pPr>
      <w:r>
        <w:t>Which uploaded video formats and camera-transfer mechanism will be supported?</w:t>
      </w:r>
    </w:p>
    <w:p>
      <w:pPr>
        <w:pStyle w:val="Heading2"/>
      </w:pPr>
      <w:r>
        <w:t>4. Data, models and technology stack</w:t>
      </w:r>
    </w:p>
    <w:p>
      <w:pPr>
        <w:pStyle w:val="ListBullet"/>
      </w:pPr>
      <w:r>
        <w:t>Which annotation software, file format and class names will be used? A software placeholder is currently retained.</w:t>
      </w:r>
    </w:p>
    <w:p>
      <w:pPr>
        <w:pStyle w:val="ListBullet"/>
      </w:pPr>
      <w:r>
        <w:t>Will annotations cover only complete EDS screens or also individual number/text regions?</w:t>
      </w:r>
    </w:p>
    <w:p>
      <w:pPr>
        <w:pStyle w:val="ListBullet"/>
      </w:pPr>
      <w:r>
        <w:t>Who will verify OCR transcriptions, unreadable text and field labels, and how will rotating display content be labelled?</w:t>
      </w:r>
    </w:p>
    <w:p>
      <w:pPr>
        <w:pStyle w:val="ListBullet"/>
      </w:pPr>
      <w:r>
        <w:t>Which detector, OCR recogniser, pretrained checkpoint and baseline configurations will be selected?</w:t>
      </w:r>
    </w:p>
    <w:p>
      <w:pPr>
        <w:pStyle w:val="ListBullet"/>
      </w:pPr>
      <w:r>
        <w:t>Which layers will be fine-tuned, and what training-resource constraints apply?</w:t>
      </w:r>
    </w:p>
    <w:p>
      <w:pPr>
        <w:pStyle w:val="ListBullet"/>
      </w:pPr>
      <w:r>
        <w:t>Confirm PyTorch, OpenCV, any CSV/matching libraries, Git/GitHub and any experiment-tracking tool.</w:t>
      </w:r>
    </w:p>
    <w:p>
      <w:pPr>
        <w:pStyle w:val="ListBullet"/>
      </w:pPr>
      <w:r>
        <w:t>What is the training/demo hardware and available CPU/GPU memory?</w:t>
      </w:r>
    </w:p>
    <w:p>
      <w:pPr>
        <w:pStyle w:val="ListBullet"/>
      </w:pPr>
      <w:r>
        <w:t>Which augmentations and severity levels will be used for training and robustness testing?</w:t>
      </w:r>
    </w:p>
    <w:p>
      <w:pPr>
        <w:pStyle w:val="ListBullet"/>
      </w:pPr>
      <w:r>
        <w:t>How will duplicate/near-duplicate images and frames be grouped before separating development and test data? Split percentages are intentionally deferred.</w:t>
      </w:r>
    </w:p>
    <w:p>
      <w:pPr>
        <w:pStyle w:val="ListBullet"/>
      </w:pPr>
      <w:r>
        <w:t>What are the original image source URLs, permissions/licences and attribution requirements? Which scraping rules apply?</w:t>
      </w:r>
    </w:p>
    <w:p>
      <w:pPr>
        <w:pStyle w:val="ListBullet"/>
      </w:pPr>
      <w:r>
        <w:t>When was the Wikipedia reference extracted, how will revisions be tracked, and how will the identified CSV errors be resolved?</w:t>
      </w:r>
    </w:p>
    <w:p>
      <w:pPr>
        <w:pStyle w:val="ListBullet"/>
      </w:pPr>
      <w:r>
        <w:t>Will the reference be expanded with road names, display aliases, abbreviations, route direction and exact EDS text?</w:t>
      </w:r>
    </w:p>
    <w:p>
      <w:pPr>
        <w:pStyle w:val="ListBullet"/>
      </w:pPr>
      <w:r>
        <w:t>Exact dataset sizes and annotation counts can be added later when the team wants them documented.</w:t>
      </w:r>
    </w:p>
    <w:p>
      <w:pPr>
        <w:pStyle w:val="Heading2"/>
      </w:pPr>
      <w:r>
        <w:t>5. Reference matching and application</w:t>
      </w:r>
    </w:p>
    <w:p>
      <w:pPr>
        <w:pStyle w:val="ListBullet"/>
      </w:pPr>
      <w:r>
        <w:t>Which fuzzy library, similarity measure, normalisation rules and acceptance threshold will be selected?</w:t>
      </w:r>
    </w:p>
    <w:p>
      <w:pPr>
        <w:pStyle w:val="ListBullet"/>
      </w:pPr>
      <w:r>
        <w:t>Will matching always run or only run when OCR confidence is low?</w:t>
      </w:r>
    </w:p>
    <w:p>
      <w:pPr>
        <w:pStyle w:val="ListBullet"/>
      </w:pPr>
      <w:r>
        <w:t>Will a reliable service number restrict candidate destinations and road names?</w:t>
      </w:r>
    </w:p>
    <w:p>
      <w:pPr>
        <w:pStyle w:val="ListBullet"/>
      </w:pPr>
      <w:r>
        <w:t>How should origin, destination, loop services and opposite directions be distinguished?</w:t>
      </w:r>
    </w:p>
    <w:p>
      <w:pPr>
        <w:pStyle w:val="ListBullet"/>
      </w:pPr>
      <w:r>
        <w:t>How will unknown services or valid text absent from the reference be handled?</w:t>
      </w:r>
    </w:p>
    <w:p>
      <w:pPr>
        <w:pStyle w:val="ListBullet"/>
      </w:pPr>
      <w:r>
        <w:t>Will the team retain the first-index tie rule after examining ambiguous examples, or introduce rejection or another rule?</w:t>
      </w:r>
    </w:p>
    <w:p>
      <w:pPr>
        <w:pStyle w:val="ListBullet"/>
      </w:pPr>
      <w:r>
        <w:t>Which confidence values will be displayed, how will they be labelled, and how will sequence confidence be derived if TrOCR is selected?</w:t>
      </w:r>
    </w:p>
    <w:p>
      <w:pPr>
        <w:pStyle w:val="ListBullet"/>
      </w:pPr>
      <w:r>
        <w:t>Confirm the video/bounding-box layout and whether a separate debug mode is needed for raw OCR.</w:t>
      </w:r>
    </w:p>
    <w:p>
      <w:pPr>
        <w:pStyle w:val="ListBullet"/>
      </w:pPr>
      <w:r>
        <w:t>Will results include only observed text or clearly labelled reference-derived information?</w:t>
      </w:r>
    </w:p>
    <w:p>
      <w:pPr>
        <w:pStyle w:val="ListBullet"/>
      </w:pPr>
      <w:r>
        <w:t>Should raw OCR and matching candidates be logged for error analysis, beyond displaying them?</w:t>
      </w:r>
    </w:p>
    <w:p>
      <w:pPr>
        <w:pStyle w:val="Heading2"/>
      </w:pPr>
      <w:r>
        <w:t>6. Evaluation framework</w:t>
      </w:r>
    </w:p>
    <w:p>
      <w:pPr>
        <w:pStyle w:val="ListBullet"/>
      </w:pPr>
      <w:r>
        <w:t>Does the team approve the recommended metric framework and detector/OCR comparison plan?</w:t>
      </w:r>
    </w:p>
    <w:p>
      <w:pPr>
        <w:pStyle w:val="ListBullet"/>
      </w:pPr>
      <w:r>
        <w:t>What constitutes an eligible EDS instance, a complete correct result, and an unreadable example?</w:t>
      </w:r>
    </w:p>
    <w:p>
      <w:pPr>
        <w:pStyle w:val="ListBullet"/>
      </w:pPr>
      <w:r>
        <w:t>What IoU rule is used for recall and what operating threshold is chosen on validation data?</w:t>
      </w:r>
    </w:p>
    <w:p>
      <w:pPr>
        <w:pStyle w:val="ListBullet"/>
      </w:pPr>
      <w:r>
        <w:t>Which exact-match normalisation and abbreviation rules will apply?</w:t>
      </w:r>
    </w:p>
    <w:p>
      <w:pPr>
        <w:pStyle w:val="ListBullet"/>
      </w:pPr>
      <w:r>
        <w:t>How will road-name accuracy be evaluated if the CSV does not cover the road text?</w:t>
      </w:r>
    </w:p>
    <w:p>
      <w:pPr>
        <w:pStyle w:val="ListBullet"/>
      </w:pPr>
      <w:r>
        <w:t>Will harmful reference corrections and rejected valid results be counted separately?</w:t>
      </w:r>
    </w:p>
    <w:p>
      <w:pPr>
        <w:pStyle w:val="ListBullet"/>
      </w:pPr>
      <w:r>
        <w:t>Which held-out images/videos and fixed transformed conditions will be used?</w:t>
      </w:r>
    </w:p>
    <w:p>
      <w:pPr>
        <w:pStyle w:val="ListBullet"/>
      </w:pPr>
      <w:r>
        <w:t>What timing boundary, input resolution, hardware and repeat-measurement procedure will be reported?</w:t>
      </w:r>
    </w:p>
    <w:p>
      <w:pPr>
        <w:pStyle w:val="ListBullet"/>
      </w:pPr>
      <w:r>
        <w:t>Will negative examples without buses/EDS and unknown-route examples be included?</w:t>
      </w:r>
    </w:p>
    <w:p>
      <w:pPr>
        <w:pStyle w:val="ListBullet"/>
      </w:pPr>
      <w:r>
        <w:t>Numerical accuracy targets and actual results remain unset and should be added only after team agreement and measurement.</w:t>
      </w:r>
    </w:p>
    <w:p>
      <w:pPr>
        <w:pStyle w:val="Heading2"/>
      </w:pPr>
      <w:r>
        <w:t>7. Challenges, next steps and future work</w:t>
      </w:r>
    </w:p>
    <w:p>
      <w:pPr>
        <w:pStyle w:val="ListBullet"/>
      </w:pPr>
      <w:r>
        <w:t>Which difficulties has the team actually encountered? No observed implementation problems have been reported.</w:t>
      </w:r>
    </w:p>
    <w:p>
      <w:pPr>
        <w:pStyle w:val="ListBullet"/>
      </w:pPr>
      <w:r>
        <w:t>Which tasks, owners, milestones and deadlines should be recorded if the team later wants a working plan? A progress section remains excluded.</w:t>
      </w:r>
    </w:p>
    <w:p>
      <w:pPr>
        <w:pStyle w:val="ListBullet"/>
      </w:pPr>
      <w:r>
        <w:t>Which overseas country, language and display type should be the first expansion target?</w:t>
      </w:r>
    </w:p>
    <w:p>
      <w:pPr>
        <w:pStyle w:val="ListBullet"/>
      </w:pPr>
      <w:r>
        <w:t>If requested later, should audio, accessibility testing, other transport signage, cloud/mobile deployment or model compression be added? These are not current commitments.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Project decisions and open questions | 6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GJY DL | Bus EDS recognition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