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68011" w14:textId="77777777" w:rsidR="00CA41EC" w:rsidRPr="00CA41EC" w:rsidRDefault="00CA41EC" w:rsidP="00CA41EC">
      <w:pPr>
        <w:rPr>
          <w:b/>
          <w:bCs/>
        </w:rPr>
      </w:pPr>
      <w:r w:rsidRPr="00CA41EC">
        <w:rPr>
          <w:b/>
          <w:bCs/>
        </w:rPr>
        <w:t>Standard Operating Procedures for Research Data Laboratory</w:t>
      </w:r>
    </w:p>
    <w:p w14:paraId="058C06EA" w14:textId="77777777" w:rsidR="00CA41EC" w:rsidRPr="00CA41EC" w:rsidRDefault="00CA41EC" w:rsidP="00CA41EC">
      <w:pPr>
        <w:rPr>
          <w:b/>
          <w:bCs/>
        </w:rPr>
      </w:pPr>
      <w:r w:rsidRPr="00CA41EC">
        <w:rPr>
          <w:b/>
          <w:bCs/>
        </w:rPr>
        <w:t>1. OBJECTIVE AND SCOPE</w:t>
      </w:r>
    </w:p>
    <w:p w14:paraId="67F1E059" w14:textId="77777777" w:rsidR="00CA41EC" w:rsidRPr="00CA41EC" w:rsidRDefault="00CA41EC" w:rsidP="00CA41EC">
      <w:r w:rsidRPr="00CA41EC">
        <w:t>This document establishes comprehensive guidelines for managing and safeguarding the Research Data Laboratory, a secure facility designed for conducting exploratory analysis on sensitive data. The procedures outlined here govern who may access the facility, what data is available, and how the laboratory and its data must be protected.</w:t>
      </w:r>
    </w:p>
    <w:p w14:paraId="4538B004" w14:textId="77777777" w:rsidR="00CA41EC" w:rsidRPr="00CA41EC" w:rsidRDefault="00CA41EC" w:rsidP="00CA41EC">
      <w:pPr>
        <w:rPr>
          <w:b/>
          <w:bCs/>
        </w:rPr>
      </w:pPr>
      <w:r w:rsidRPr="00CA41EC">
        <w:rPr>
          <w:b/>
          <w:bCs/>
        </w:rPr>
        <w:t>2. ACCESS CONTROL FRAMEWORK</w:t>
      </w:r>
    </w:p>
    <w:p w14:paraId="2AC562B2" w14:textId="77777777" w:rsidR="00CA41EC" w:rsidRPr="00CA41EC" w:rsidRDefault="00CA41EC" w:rsidP="00CA41EC">
      <w:pPr>
        <w:rPr>
          <w:b/>
          <w:bCs/>
        </w:rPr>
      </w:pPr>
      <w:r w:rsidRPr="00CA41EC">
        <w:rPr>
          <w:b/>
          <w:bCs/>
        </w:rPr>
        <w:t>2.1 Eligibility Requirements</w:t>
      </w:r>
    </w:p>
    <w:p w14:paraId="716806F3" w14:textId="77777777" w:rsidR="00CA41EC" w:rsidRPr="00CA41EC" w:rsidRDefault="00CA41EC" w:rsidP="00CA41EC">
      <w:r w:rsidRPr="00CA41EC">
        <w:t>All personnel seeking access to the Research Data Laboratory must meet strict security requirements. The primary requirement is Category 2 security clearance, which serves as the minimum threshold for accessing the facility. This clearance level is standard for public service officers and remains valid throughout their service, regardless of role changes or departmental transfers.</w:t>
      </w:r>
    </w:p>
    <w:p w14:paraId="3EDF92A3" w14:textId="77777777" w:rsidR="00CA41EC" w:rsidRPr="00CA41EC" w:rsidRDefault="00CA41EC" w:rsidP="00CA41EC">
      <w:r w:rsidRPr="00CA41EC">
        <w:t>External personnel may be granted access under specific conditions:</w:t>
      </w:r>
    </w:p>
    <w:p w14:paraId="22094285" w14:textId="77777777" w:rsidR="00CA41EC" w:rsidRPr="00CA41EC" w:rsidRDefault="00CA41EC" w:rsidP="00CA41EC">
      <w:pPr>
        <w:numPr>
          <w:ilvl w:val="0"/>
          <w:numId w:val="1"/>
        </w:numPr>
      </w:pPr>
      <w:r w:rsidRPr="00CA41EC">
        <w:t>They must provide written approval from their Director or Chief Data Officer</w:t>
      </w:r>
    </w:p>
    <w:p w14:paraId="5849B0D9" w14:textId="77777777" w:rsidR="00CA41EC" w:rsidRPr="00CA41EC" w:rsidRDefault="00CA41EC" w:rsidP="00CA41EC">
      <w:pPr>
        <w:numPr>
          <w:ilvl w:val="0"/>
          <w:numId w:val="1"/>
        </w:numPr>
      </w:pPr>
      <w:r w:rsidRPr="00CA41EC">
        <w:t>Their organization must maintain an active data sharing agreement with a government agency</w:t>
      </w:r>
    </w:p>
    <w:p w14:paraId="1E124814" w14:textId="77777777" w:rsidR="00CA41EC" w:rsidRPr="00CA41EC" w:rsidRDefault="00CA41EC" w:rsidP="00CA41EC">
      <w:pPr>
        <w:numPr>
          <w:ilvl w:val="0"/>
          <w:numId w:val="1"/>
        </w:numPr>
      </w:pPr>
      <w:r w:rsidRPr="00CA41EC">
        <w:t>The intended use must align with permitted purposes outlined in existing agreements</w:t>
      </w:r>
    </w:p>
    <w:p w14:paraId="3E63F98A" w14:textId="77777777" w:rsidR="00CA41EC" w:rsidRPr="00CA41EC" w:rsidRDefault="00CA41EC" w:rsidP="00CA41EC">
      <w:r w:rsidRPr="00CA41EC">
        <w:t>In exceptional circumstances, personnel without Category 2 clearance may be granted temporary access if:</w:t>
      </w:r>
    </w:p>
    <w:p w14:paraId="1C68E78B" w14:textId="77777777" w:rsidR="00CA41EC" w:rsidRPr="00CA41EC" w:rsidRDefault="00CA41EC" w:rsidP="00CA41EC">
      <w:pPr>
        <w:numPr>
          <w:ilvl w:val="0"/>
          <w:numId w:val="2"/>
        </w:numPr>
      </w:pPr>
      <w:r w:rsidRPr="00CA41EC">
        <w:t>Strong justification is provided through proper channels</w:t>
      </w:r>
    </w:p>
    <w:p w14:paraId="7F87931D" w14:textId="77777777" w:rsidR="00CA41EC" w:rsidRPr="00CA41EC" w:rsidRDefault="00CA41EC" w:rsidP="00CA41EC">
      <w:pPr>
        <w:numPr>
          <w:ilvl w:val="0"/>
          <w:numId w:val="2"/>
        </w:numPr>
      </w:pPr>
      <w:r w:rsidRPr="00CA41EC">
        <w:t>The request is submitted by another officer from the requestor's department</w:t>
      </w:r>
    </w:p>
    <w:p w14:paraId="0F23B4A7" w14:textId="77777777" w:rsidR="00CA41EC" w:rsidRPr="00CA41EC" w:rsidRDefault="00CA41EC" w:rsidP="00CA41EC">
      <w:pPr>
        <w:numPr>
          <w:ilvl w:val="0"/>
          <w:numId w:val="2"/>
        </w:numPr>
      </w:pPr>
      <w:r w:rsidRPr="00CA41EC">
        <w:t>Additional security measures are implemented during their access period</w:t>
      </w:r>
    </w:p>
    <w:p w14:paraId="67D61A8C" w14:textId="77777777" w:rsidR="00CA41EC" w:rsidRPr="00CA41EC" w:rsidRDefault="00CA41EC" w:rsidP="00CA41EC">
      <w:pPr>
        <w:rPr>
          <w:b/>
          <w:bCs/>
        </w:rPr>
      </w:pPr>
      <w:r w:rsidRPr="00CA41EC">
        <w:rPr>
          <w:b/>
          <w:bCs/>
        </w:rPr>
        <w:t>2.2 Access Implementation Process</w:t>
      </w:r>
    </w:p>
    <w:p w14:paraId="1BC54953" w14:textId="77777777" w:rsidR="00CA41EC" w:rsidRPr="00CA41EC" w:rsidRDefault="00CA41EC" w:rsidP="00CA41EC">
      <w:r w:rsidRPr="00CA41EC">
        <w:t>For Internal Staff:</w:t>
      </w:r>
    </w:p>
    <w:p w14:paraId="7A9AAE2B" w14:textId="77777777" w:rsidR="00CA41EC" w:rsidRPr="00CA41EC" w:rsidRDefault="00CA41EC" w:rsidP="00CA41EC">
      <w:pPr>
        <w:numPr>
          <w:ilvl w:val="0"/>
          <w:numId w:val="3"/>
        </w:numPr>
      </w:pPr>
      <w:r w:rsidRPr="00CA41EC">
        <w:t>Submit application through the internal access management system</w:t>
      </w:r>
    </w:p>
    <w:p w14:paraId="1B18B098" w14:textId="77777777" w:rsidR="00CA41EC" w:rsidRPr="00CA41EC" w:rsidRDefault="00CA41EC" w:rsidP="00CA41EC">
      <w:pPr>
        <w:numPr>
          <w:ilvl w:val="0"/>
          <w:numId w:val="3"/>
        </w:numPr>
      </w:pPr>
      <w:r w:rsidRPr="00CA41EC">
        <w:t>Receive secondary access credentials specific to laboratory use</w:t>
      </w:r>
    </w:p>
    <w:p w14:paraId="1D3B6C32" w14:textId="77777777" w:rsidR="00CA41EC" w:rsidRPr="00CA41EC" w:rsidRDefault="00CA41EC" w:rsidP="00CA41EC">
      <w:pPr>
        <w:numPr>
          <w:ilvl w:val="0"/>
          <w:numId w:val="3"/>
        </w:numPr>
      </w:pPr>
      <w:r w:rsidRPr="00CA41EC">
        <w:t>Complete necessary security documentation</w:t>
      </w:r>
    </w:p>
    <w:p w14:paraId="0BB27DC1" w14:textId="77777777" w:rsidR="00CA41EC" w:rsidRPr="00CA41EC" w:rsidRDefault="00CA41EC" w:rsidP="00CA41EC">
      <w:pPr>
        <w:numPr>
          <w:ilvl w:val="0"/>
          <w:numId w:val="3"/>
        </w:numPr>
      </w:pPr>
      <w:r w:rsidRPr="00CA41EC">
        <w:t>Schedule laboratory time through the booking system</w:t>
      </w:r>
    </w:p>
    <w:p w14:paraId="598F0272" w14:textId="77777777" w:rsidR="00CA41EC" w:rsidRPr="00CA41EC" w:rsidRDefault="00CA41EC" w:rsidP="00CA41EC">
      <w:r w:rsidRPr="00CA41EC">
        <w:t>For External Users:</w:t>
      </w:r>
    </w:p>
    <w:p w14:paraId="5E5DA521" w14:textId="77777777" w:rsidR="00CA41EC" w:rsidRPr="00CA41EC" w:rsidRDefault="00CA41EC" w:rsidP="00CA41EC">
      <w:pPr>
        <w:numPr>
          <w:ilvl w:val="0"/>
          <w:numId w:val="4"/>
        </w:numPr>
      </w:pPr>
      <w:r w:rsidRPr="00CA41EC">
        <w:lastRenderedPageBreak/>
        <w:t>Submit comprehensive access request form with required approvals</w:t>
      </w:r>
    </w:p>
    <w:p w14:paraId="4994DB66" w14:textId="77777777" w:rsidR="00CA41EC" w:rsidRPr="00CA41EC" w:rsidRDefault="00CA41EC" w:rsidP="00CA41EC">
      <w:pPr>
        <w:numPr>
          <w:ilvl w:val="0"/>
          <w:numId w:val="4"/>
        </w:numPr>
      </w:pPr>
      <w:r w:rsidRPr="00CA41EC">
        <w:t>Receive temporary access credentials valid for up to 12 months</w:t>
      </w:r>
    </w:p>
    <w:p w14:paraId="6EB1ADEC" w14:textId="77777777" w:rsidR="00CA41EC" w:rsidRPr="00CA41EC" w:rsidRDefault="00CA41EC" w:rsidP="00CA41EC">
      <w:pPr>
        <w:numPr>
          <w:ilvl w:val="0"/>
          <w:numId w:val="4"/>
        </w:numPr>
      </w:pPr>
      <w:r w:rsidRPr="00CA41EC">
        <w:t>Complete mandatory security briefing</w:t>
      </w:r>
    </w:p>
    <w:p w14:paraId="316A16B8" w14:textId="77777777" w:rsidR="00CA41EC" w:rsidRPr="00CA41EC" w:rsidRDefault="00CA41EC" w:rsidP="00CA41EC">
      <w:pPr>
        <w:numPr>
          <w:ilvl w:val="0"/>
          <w:numId w:val="4"/>
        </w:numPr>
      </w:pPr>
      <w:r w:rsidRPr="00CA41EC">
        <w:t>Access laboratory only during approved time slots with proper supervision</w:t>
      </w:r>
    </w:p>
    <w:p w14:paraId="4DF65E8B" w14:textId="77777777" w:rsidR="00CA41EC" w:rsidRPr="00CA41EC" w:rsidRDefault="00CA41EC" w:rsidP="00CA41EC">
      <w:pPr>
        <w:rPr>
          <w:b/>
          <w:bCs/>
        </w:rPr>
      </w:pPr>
      <w:r w:rsidRPr="00CA41EC">
        <w:rPr>
          <w:b/>
          <w:bCs/>
        </w:rPr>
        <w:t>3. LABORATORY SECURITY PROTOCOLS</w:t>
      </w:r>
    </w:p>
    <w:p w14:paraId="7F95E231" w14:textId="77777777" w:rsidR="00CA41EC" w:rsidRPr="00CA41EC" w:rsidRDefault="00CA41EC" w:rsidP="00CA41EC">
      <w:pPr>
        <w:rPr>
          <w:b/>
          <w:bCs/>
        </w:rPr>
      </w:pPr>
      <w:r w:rsidRPr="00CA41EC">
        <w:rPr>
          <w:b/>
          <w:bCs/>
        </w:rPr>
        <w:t>3.1 Physical Security Measures</w:t>
      </w:r>
    </w:p>
    <w:p w14:paraId="341380FD" w14:textId="77777777" w:rsidR="00CA41EC" w:rsidRPr="00CA41EC" w:rsidRDefault="00CA41EC" w:rsidP="00CA41EC">
      <w:r w:rsidRPr="00CA41EC">
        <w:t>The laboratory maintains strict security through multiple control measures:</w:t>
      </w:r>
    </w:p>
    <w:p w14:paraId="6B48483E" w14:textId="77777777" w:rsidR="00CA41EC" w:rsidRPr="00CA41EC" w:rsidRDefault="00CA41EC" w:rsidP="00CA41EC">
      <w:pPr>
        <w:numPr>
          <w:ilvl w:val="0"/>
          <w:numId w:val="5"/>
        </w:numPr>
      </w:pPr>
      <w:r w:rsidRPr="00CA41EC">
        <w:t>Personal Item Restrictions:</w:t>
      </w:r>
    </w:p>
    <w:p w14:paraId="4F0866A9" w14:textId="77777777" w:rsidR="00CA41EC" w:rsidRPr="00CA41EC" w:rsidRDefault="00CA41EC" w:rsidP="00CA41EC">
      <w:pPr>
        <w:numPr>
          <w:ilvl w:val="1"/>
          <w:numId w:val="5"/>
        </w:numPr>
      </w:pPr>
      <w:r w:rsidRPr="00CA41EC">
        <w:t>No photography or recording devices permitted</w:t>
      </w:r>
    </w:p>
    <w:p w14:paraId="10575037" w14:textId="77777777" w:rsidR="00CA41EC" w:rsidRPr="00CA41EC" w:rsidRDefault="00CA41EC" w:rsidP="00CA41EC">
      <w:pPr>
        <w:numPr>
          <w:ilvl w:val="1"/>
          <w:numId w:val="5"/>
        </w:numPr>
      </w:pPr>
      <w:r w:rsidRPr="00CA41EC">
        <w:t>All personal belongings must be stored in designated lockers</w:t>
      </w:r>
    </w:p>
    <w:p w14:paraId="00AD1A43" w14:textId="77777777" w:rsidR="00CA41EC" w:rsidRPr="00CA41EC" w:rsidRDefault="00CA41EC" w:rsidP="00CA41EC">
      <w:pPr>
        <w:numPr>
          <w:ilvl w:val="1"/>
          <w:numId w:val="5"/>
        </w:numPr>
      </w:pPr>
      <w:r w:rsidRPr="00CA41EC">
        <w:t>No paper materials allowed unless specifically authorized</w:t>
      </w:r>
    </w:p>
    <w:p w14:paraId="0BD52C5F" w14:textId="77777777" w:rsidR="00CA41EC" w:rsidRPr="00CA41EC" w:rsidRDefault="00CA41EC" w:rsidP="00CA41EC">
      <w:pPr>
        <w:numPr>
          <w:ilvl w:val="1"/>
          <w:numId w:val="5"/>
        </w:numPr>
      </w:pPr>
      <w:r w:rsidRPr="00CA41EC">
        <w:t>Mobile devices strictly prohibited</w:t>
      </w:r>
    </w:p>
    <w:p w14:paraId="0C13FC8D" w14:textId="77777777" w:rsidR="00CA41EC" w:rsidRPr="00CA41EC" w:rsidRDefault="00CA41EC" w:rsidP="00CA41EC">
      <w:pPr>
        <w:numPr>
          <w:ilvl w:val="0"/>
          <w:numId w:val="5"/>
        </w:numPr>
      </w:pPr>
      <w:r w:rsidRPr="00CA41EC">
        <w:t>Access Control:</w:t>
      </w:r>
    </w:p>
    <w:p w14:paraId="75CC6980" w14:textId="77777777" w:rsidR="00CA41EC" w:rsidRPr="00CA41EC" w:rsidRDefault="00CA41EC" w:rsidP="00CA41EC">
      <w:pPr>
        <w:numPr>
          <w:ilvl w:val="1"/>
          <w:numId w:val="5"/>
        </w:numPr>
      </w:pPr>
      <w:r w:rsidRPr="00CA41EC">
        <w:t>Biometric or card-based entry system</w:t>
      </w:r>
    </w:p>
    <w:p w14:paraId="3DF84581" w14:textId="77777777" w:rsidR="00CA41EC" w:rsidRPr="00CA41EC" w:rsidRDefault="00CA41EC" w:rsidP="00CA41EC">
      <w:pPr>
        <w:numPr>
          <w:ilvl w:val="1"/>
          <w:numId w:val="5"/>
        </w:numPr>
      </w:pPr>
      <w:r w:rsidRPr="00CA41EC">
        <w:t>Mandatory sign-in and sign-out procedures</w:t>
      </w:r>
    </w:p>
    <w:p w14:paraId="788F3A9B" w14:textId="77777777" w:rsidR="00CA41EC" w:rsidRPr="00CA41EC" w:rsidRDefault="00CA41EC" w:rsidP="00CA41EC">
      <w:pPr>
        <w:numPr>
          <w:ilvl w:val="1"/>
          <w:numId w:val="5"/>
        </w:numPr>
      </w:pPr>
      <w:r w:rsidRPr="00CA41EC">
        <w:t>Continuous monitoring of laboratory space</w:t>
      </w:r>
    </w:p>
    <w:p w14:paraId="29C836DC" w14:textId="77777777" w:rsidR="00CA41EC" w:rsidRPr="00CA41EC" w:rsidRDefault="00CA41EC" w:rsidP="00CA41EC">
      <w:pPr>
        <w:numPr>
          <w:ilvl w:val="1"/>
          <w:numId w:val="5"/>
        </w:numPr>
      </w:pPr>
      <w:r w:rsidRPr="00CA41EC">
        <w:t>Supervised access for external users</w:t>
      </w:r>
    </w:p>
    <w:p w14:paraId="00ED54CA" w14:textId="77777777" w:rsidR="00CA41EC" w:rsidRPr="00CA41EC" w:rsidRDefault="00CA41EC" w:rsidP="00CA41EC">
      <w:pPr>
        <w:rPr>
          <w:b/>
          <w:bCs/>
        </w:rPr>
      </w:pPr>
      <w:r w:rsidRPr="00CA41EC">
        <w:rPr>
          <w:b/>
          <w:bCs/>
        </w:rPr>
        <w:t>3.2 Data Security Requirements</w:t>
      </w:r>
    </w:p>
    <w:p w14:paraId="2BDA8C12" w14:textId="77777777" w:rsidR="00CA41EC" w:rsidRPr="00CA41EC" w:rsidRDefault="00CA41EC" w:rsidP="00CA41EC">
      <w:r w:rsidRPr="00CA41EC">
        <w:t>Users must adhere to comprehensive data protection protocols:</w:t>
      </w:r>
    </w:p>
    <w:p w14:paraId="7A3C5B57" w14:textId="77777777" w:rsidR="00CA41EC" w:rsidRPr="00CA41EC" w:rsidRDefault="00CA41EC" w:rsidP="00CA41EC">
      <w:pPr>
        <w:numPr>
          <w:ilvl w:val="0"/>
          <w:numId w:val="6"/>
        </w:numPr>
      </w:pPr>
      <w:r w:rsidRPr="00CA41EC">
        <w:t>No unauthorized transmission of data in any form</w:t>
      </w:r>
    </w:p>
    <w:p w14:paraId="788904E9" w14:textId="77777777" w:rsidR="00CA41EC" w:rsidRPr="00CA41EC" w:rsidRDefault="00CA41EC" w:rsidP="00CA41EC">
      <w:pPr>
        <w:numPr>
          <w:ilvl w:val="0"/>
          <w:numId w:val="6"/>
        </w:numPr>
      </w:pPr>
      <w:r w:rsidRPr="00CA41EC">
        <w:t>Prohibition on reproducing or copying accessed data</w:t>
      </w:r>
    </w:p>
    <w:p w14:paraId="3B8E613F" w14:textId="77777777" w:rsidR="00CA41EC" w:rsidRPr="00CA41EC" w:rsidRDefault="00CA41EC" w:rsidP="00CA41EC">
      <w:pPr>
        <w:numPr>
          <w:ilvl w:val="0"/>
          <w:numId w:val="6"/>
        </w:numPr>
      </w:pPr>
      <w:r w:rsidRPr="00CA41EC">
        <w:t>Mandatory use of encrypted storage devices</w:t>
      </w:r>
    </w:p>
    <w:p w14:paraId="60357870" w14:textId="77777777" w:rsidR="00CA41EC" w:rsidRPr="00CA41EC" w:rsidRDefault="00CA41EC" w:rsidP="00CA41EC">
      <w:pPr>
        <w:numPr>
          <w:ilvl w:val="0"/>
          <w:numId w:val="6"/>
        </w:numPr>
      </w:pPr>
      <w:r w:rsidRPr="00CA41EC">
        <w:t>Regular auditing of data access logs</w:t>
      </w:r>
    </w:p>
    <w:p w14:paraId="7E5A569F" w14:textId="77777777" w:rsidR="00CA41EC" w:rsidRPr="00CA41EC" w:rsidRDefault="00CA41EC" w:rsidP="00CA41EC">
      <w:pPr>
        <w:rPr>
          <w:b/>
          <w:bCs/>
        </w:rPr>
      </w:pPr>
      <w:r w:rsidRPr="00CA41EC">
        <w:rPr>
          <w:b/>
          <w:bCs/>
        </w:rPr>
        <w:t>4. DATA MANAGEMENT FRAMEWORK</w:t>
      </w:r>
    </w:p>
    <w:p w14:paraId="6ABA0E37" w14:textId="77777777" w:rsidR="00CA41EC" w:rsidRPr="00CA41EC" w:rsidRDefault="00CA41EC" w:rsidP="00CA41EC">
      <w:pPr>
        <w:rPr>
          <w:b/>
          <w:bCs/>
        </w:rPr>
      </w:pPr>
      <w:r w:rsidRPr="00CA41EC">
        <w:rPr>
          <w:b/>
          <w:bCs/>
        </w:rPr>
        <w:t>4.1 Data Access and Extraction</w:t>
      </w:r>
    </w:p>
    <w:p w14:paraId="7EC048F1" w14:textId="77777777" w:rsidR="00CA41EC" w:rsidRPr="00CA41EC" w:rsidRDefault="00CA41EC" w:rsidP="00CA41EC">
      <w:r w:rsidRPr="00CA41EC">
        <w:t>All data extraction requests must follow a structured approval process:</w:t>
      </w:r>
    </w:p>
    <w:p w14:paraId="31BB3425" w14:textId="77777777" w:rsidR="00CA41EC" w:rsidRPr="00CA41EC" w:rsidRDefault="00CA41EC" w:rsidP="00CA41EC">
      <w:pPr>
        <w:numPr>
          <w:ilvl w:val="0"/>
          <w:numId w:val="7"/>
        </w:numPr>
      </w:pPr>
      <w:r w:rsidRPr="00CA41EC">
        <w:t>Submission Requirements:</w:t>
      </w:r>
    </w:p>
    <w:p w14:paraId="75CC4D2C" w14:textId="77777777" w:rsidR="00CA41EC" w:rsidRPr="00CA41EC" w:rsidRDefault="00CA41EC" w:rsidP="00CA41EC">
      <w:pPr>
        <w:numPr>
          <w:ilvl w:val="1"/>
          <w:numId w:val="7"/>
        </w:numPr>
      </w:pPr>
      <w:r w:rsidRPr="00CA41EC">
        <w:t>Detailed purpose statement</w:t>
      </w:r>
    </w:p>
    <w:p w14:paraId="39B99A1B" w14:textId="77777777" w:rsidR="00CA41EC" w:rsidRPr="00CA41EC" w:rsidRDefault="00CA41EC" w:rsidP="00CA41EC">
      <w:pPr>
        <w:numPr>
          <w:ilvl w:val="1"/>
          <w:numId w:val="7"/>
        </w:numPr>
      </w:pPr>
      <w:r w:rsidRPr="00CA41EC">
        <w:lastRenderedPageBreak/>
        <w:t>Scope of data needed</w:t>
      </w:r>
    </w:p>
    <w:p w14:paraId="2059C0DF" w14:textId="77777777" w:rsidR="00CA41EC" w:rsidRPr="00CA41EC" w:rsidRDefault="00CA41EC" w:rsidP="00CA41EC">
      <w:pPr>
        <w:numPr>
          <w:ilvl w:val="1"/>
          <w:numId w:val="7"/>
        </w:numPr>
      </w:pPr>
      <w:r w:rsidRPr="00CA41EC">
        <w:t>Intended use and storage plans</w:t>
      </w:r>
    </w:p>
    <w:p w14:paraId="2E48F44B" w14:textId="77777777" w:rsidR="00CA41EC" w:rsidRPr="00CA41EC" w:rsidRDefault="00CA41EC" w:rsidP="00CA41EC">
      <w:pPr>
        <w:numPr>
          <w:ilvl w:val="1"/>
          <w:numId w:val="7"/>
        </w:numPr>
      </w:pPr>
      <w:r w:rsidRPr="00CA41EC">
        <w:t>Security measures for extracted data</w:t>
      </w:r>
    </w:p>
    <w:p w14:paraId="3FD0AD73" w14:textId="77777777" w:rsidR="00CA41EC" w:rsidRPr="00CA41EC" w:rsidRDefault="00CA41EC" w:rsidP="00CA41EC">
      <w:pPr>
        <w:numPr>
          <w:ilvl w:val="0"/>
          <w:numId w:val="7"/>
        </w:numPr>
      </w:pPr>
      <w:r w:rsidRPr="00CA41EC">
        <w:t>Technical Requirements:</w:t>
      </w:r>
    </w:p>
    <w:p w14:paraId="439AE434" w14:textId="77777777" w:rsidR="00CA41EC" w:rsidRPr="00CA41EC" w:rsidRDefault="00CA41EC" w:rsidP="00CA41EC">
      <w:pPr>
        <w:numPr>
          <w:ilvl w:val="1"/>
          <w:numId w:val="7"/>
        </w:numPr>
      </w:pPr>
      <w:r w:rsidRPr="00CA41EC">
        <w:t>Use of authorized portable storage media only</w:t>
      </w:r>
    </w:p>
    <w:p w14:paraId="2831670C" w14:textId="77777777" w:rsidR="00CA41EC" w:rsidRPr="00CA41EC" w:rsidRDefault="00CA41EC" w:rsidP="00CA41EC">
      <w:pPr>
        <w:numPr>
          <w:ilvl w:val="1"/>
          <w:numId w:val="7"/>
        </w:numPr>
      </w:pPr>
      <w:r w:rsidRPr="00CA41EC">
        <w:t>Implementation of required encryption standards</w:t>
      </w:r>
    </w:p>
    <w:p w14:paraId="0A4B0E21" w14:textId="77777777" w:rsidR="00CA41EC" w:rsidRPr="00CA41EC" w:rsidRDefault="00CA41EC" w:rsidP="00CA41EC">
      <w:pPr>
        <w:numPr>
          <w:ilvl w:val="1"/>
          <w:numId w:val="7"/>
        </w:numPr>
      </w:pPr>
      <w:r w:rsidRPr="00CA41EC">
        <w:t>Proper documentation of all extractions</w:t>
      </w:r>
    </w:p>
    <w:p w14:paraId="7C69C880" w14:textId="77777777" w:rsidR="00CA41EC" w:rsidRPr="00CA41EC" w:rsidRDefault="00CA41EC" w:rsidP="00CA41EC">
      <w:pPr>
        <w:numPr>
          <w:ilvl w:val="1"/>
          <w:numId w:val="7"/>
        </w:numPr>
      </w:pPr>
      <w:r w:rsidRPr="00CA41EC">
        <w:t>Verification of data sensitivity levels</w:t>
      </w:r>
    </w:p>
    <w:p w14:paraId="013DBF67" w14:textId="77777777" w:rsidR="00CA41EC" w:rsidRPr="00CA41EC" w:rsidRDefault="00CA41EC" w:rsidP="00CA41EC">
      <w:pPr>
        <w:numPr>
          <w:ilvl w:val="0"/>
          <w:numId w:val="7"/>
        </w:numPr>
      </w:pPr>
      <w:r w:rsidRPr="00CA41EC">
        <w:t>File Management:</w:t>
      </w:r>
    </w:p>
    <w:p w14:paraId="38E49149" w14:textId="77777777" w:rsidR="00CA41EC" w:rsidRPr="00CA41EC" w:rsidRDefault="00CA41EC" w:rsidP="00CA41EC">
      <w:pPr>
        <w:numPr>
          <w:ilvl w:val="1"/>
          <w:numId w:val="7"/>
        </w:numPr>
      </w:pPr>
      <w:r w:rsidRPr="00CA41EC">
        <w:t>Mandatory use of approved file formats</w:t>
      </w:r>
    </w:p>
    <w:p w14:paraId="33A66035" w14:textId="77777777" w:rsidR="00CA41EC" w:rsidRPr="00CA41EC" w:rsidRDefault="00CA41EC" w:rsidP="00CA41EC">
      <w:pPr>
        <w:numPr>
          <w:ilvl w:val="1"/>
          <w:numId w:val="7"/>
        </w:numPr>
      </w:pPr>
      <w:r w:rsidRPr="00CA41EC">
        <w:t>Implementation of access controls</w:t>
      </w:r>
    </w:p>
    <w:p w14:paraId="10C5A986" w14:textId="77777777" w:rsidR="00CA41EC" w:rsidRPr="00CA41EC" w:rsidRDefault="00CA41EC" w:rsidP="00CA41EC">
      <w:pPr>
        <w:numPr>
          <w:ilvl w:val="1"/>
          <w:numId w:val="7"/>
        </w:numPr>
      </w:pPr>
      <w:r w:rsidRPr="00CA41EC">
        <w:t>Regular review of stored data</w:t>
      </w:r>
    </w:p>
    <w:p w14:paraId="0A052C1C" w14:textId="77777777" w:rsidR="00CA41EC" w:rsidRPr="00CA41EC" w:rsidRDefault="00CA41EC" w:rsidP="00CA41EC">
      <w:pPr>
        <w:numPr>
          <w:ilvl w:val="1"/>
          <w:numId w:val="7"/>
        </w:numPr>
      </w:pPr>
      <w:r w:rsidRPr="00CA41EC">
        <w:t>Secure deletion procedures</w:t>
      </w:r>
    </w:p>
    <w:p w14:paraId="0379EB05" w14:textId="77777777" w:rsidR="00CA41EC" w:rsidRPr="00CA41EC" w:rsidRDefault="00CA41EC" w:rsidP="00CA41EC">
      <w:pPr>
        <w:rPr>
          <w:b/>
          <w:bCs/>
        </w:rPr>
      </w:pPr>
      <w:r w:rsidRPr="00CA41EC">
        <w:rPr>
          <w:b/>
          <w:bCs/>
        </w:rPr>
        <w:t>4.2 Data Archiving and Retention</w:t>
      </w:r>
    </w:p>
    <w:p w14:paraId="7739BECF" w14:textId="77777777" w:rsidR="00CA41EC" w:rsidRPr="00CA41EC" w:rsidRDefault="00CA41EC" w:rsidP="00CA41EC">
      <w:r w:rsidRPr="00CA41EC">
        <w:t>The laboratory maintains strict data lifecycle management:</w:t>
      </w:r>
    </w:p>
    <w:p w14:paraId="7D59FA8A" w14:textId="77777777" w:rsidR="00CA41EC" w:rsidRPr="00CA41EC" w:rsidRDefault="00CA41EC" w:rsidP="00CA41EC">
      <w:pPr>
        <w:numPr>
          <w:ilvl w:val="0"/>
          <w:numId w:val="8"/>
        </w:numPr>
      </w:pPr>
      <w:r w:rsidRPr="00CA41EC">
        <w:t>Storage Guidelines:</w:t>
      </w:r>
    </w:p>
    <w:p w14:paraId="7FED7D56" w14:textId="77777777" w:rsidR="00CA41EC" w:rsidRPr="00CA41EC" w:rsidRDefault="00CA41EC" w:rsidP="00CA41EC">
      <w:pPr>
        <w:numPr>
          <w:ilvl w:val="1"/>
          <w:numId w:val="8"/>
        </w:numPr>
      </w:pPr>
      <w:r w:rsidRPr="00CA41EC">
        <w:t>Five-year retention period for archived data</w:t>
      </w:r>
    </w:p>
    <w:p w14:paraId="54EE3A29" w14:textId="77777777" w:rsidR="00CA41EC" w:rsidRPr="00CA41EC" w:rsidRDefault="00CA41EC" w:rsidP="00CA41EC">
      <w:pPr>
        <w:numPr>
          <w:ilvl w:val="1"/>
          <w:numId w:val="8"/>
        </w:numPr>
      </w:pPr>
      <w:r w:rsidRPr="00CA41EC">
        <w:t>Regular assessment of storage requirements</w:t>
      </w:r>
    </w:p>
    <w:p w14:paraId="523A22B7" w14:textId="77777777" w:rsidR="00CA41EC" w:rsidRPr="00CA41EC" w:rsidRDefault="00CA41EC" w:rsidP="00CA41EC">
      <w:pPr>
        <w:numPr>
          <w:ilvl w:val="1"/>
          <w:numId w:val="8"/>
        </w:numPr>
      </w:pPr>
      <w:r w:rsidRPr="00CA41EC">
        <w:t>Automated cleanup of inactive files</w:t>
      </w:r>
    </w:p>
    <w:p w14:paraId="1B52AEEF" w14:textId="77777777" w:rsidR="00CA41EC" w:rsidRPr="00CA41EC" w:rsidRDefault="00CA41EC" w:rsidP="00CA41EC">
      <w:pPr>
        <w:numPr>
          <w:ilvl w:val="1"/>
          <w:numId w:val="8"/>
        </w:numPr>
      </w:pPr>
      <w:r w:rsidRPr="00CA41EC">
        <w:t>Structured migration of large datasets</w:t>
      </w:r>
    </w:p>
    <w:p w14:paraId="4E0DC23E" w14:textId="77777777" w:rsidR="00CA41EC" w:rsidRPr="00CA41EC" w:rsidRDefault="00CA41EC" w:rsidP="00CA41EC">
      <w:pPr>
        <w:numPr>
          <w:ilvl w:val="0"/>
          <w:numId w:val="8"/>
        </w:numPr>
      </w:pPr>
      <w:r w:rsidRPr="00CA41EC">
        <w:t>File Classification:</w:t>
      </w:r>
    </w:p>
    <w:p w14:paraId="00E19FF1" w14:textId="77777777" w:rsidR="00CA41EC" w:rsidRPr="00CA41EC" w:rsidRDefault="00CA41EC" w:rsidP="00CA41EC">
      <w:pPr>
        <w:numPr>
          <w:ilvl w:val="1"/>
          <w:numId w:val="8"/>
        </w:numPr>
      </w:pPr>
      <w:r w:rsidRPr="00CA41EC">
        <w:t>Large files (exceeding 1GB) managed separately</w:t>
      </w:r>
    </w:p>
    <w:p w14:paraId="6AC184BD" w14:textId="77777777" w:rsidR="00CA41EC" w:rsidRPr="00CA41EC" w:rsidRDefault="00CA41EC" w:rsidP="00CA41EC">
      <w:pPr>
        <w:numPr>
          <w:ilvl w:val="1"/>
          <w:numId w:val="8"/>
        </w:numPr>
      </w:pPr>
      <w:r w:rsidRPr="00CA41EC">
        <w:t>Automated movement to secondary storage after 12 months</w:t>
      </w:r>
    </w:p>
    <w:p w14:paraId="1D0E3C9A" w14:textId="77777777" w:rsidR="00CA41EC" w:rsidRPr="00CA41EC" w:rsidRDefault="00CA41EC" w:rsidP="00CA41EC">
      <w:pPr>
        <w:numPr>
          <w:ilvl w:val="1"/>
          <w:numId w:val="8"/>
        </w:numPr>
      </w:pPr>
      <w:r w:rsidRPr="00CA41EC">
        <w:t>Regular review of storage utilization</w:t>
      </w:r>
    </w:p>
    <w:p w14:paraId="46379B23" w14:textId="77777777" w:rsidR="00CA41EC" w:rsidRPr="00CA41EC" w:rsidRDefault="00CA41EC" w:rsidP="00CA41EC">
      <w:pPr>
        <w:numPr>
          <w:ilvl w:val="1"/>
          <w:numId w:val="8"/>
        </w:numPr>
      </w:pPr>
      <w:r w:rsidRPr="00CA41EC">
        <w:t>Clear deletion protocols</w:t>
      </w:r>
    </w:p>
    <w:p w14:paraId="5E477A96" w14:textId="77777777" w:rsidR="00CA41EC" w:rsidRPr="00CA41EC" w:rsidRDefault="00CA41EC" w:rsidP="00CA41EC">
      <w:pPr>
        <w:rPr>
          <w:b/>
          <w:bCs/>
        </w:rPr>
      </w:pPr>
      <w:r w:rsidRPr="00CA41EC">
        <w:rPr>
          <w:b/>
          <w:bCs/>
        </w:rPr>
        <w:t>5. INCIDENT MANAGEMENT</w:t>
      </w:r>
    </w:p>
    <w:p w14:paraId="7736A368" w14:textId="77777777" w:rsidR="00CA41EC" w:rsidRPr="00CA41EC" w:rsidRDefault="00CA41EC" w:rsidP="00CA41EC">
      <w:pPr>
        <w:rPr>
          <w:b/>
          <w:bCs/>
        </w:rPr>
      </w:pPr>
      <w:r w:rsidRPr="00CA41EC">
        <w:rPr>
          <w:b/>
          <w:bCs/>
        </w:rPr>
        <w:t>5.1 Incident Response Protocol</w:t>
      </w:r>
    </w:p>
    <w:p w14:paraId="0627C199" w14:textId="77777777" w:rsidR="00CA41EC" w:rsidRPr="00CA41EC" w:rsidRDefault="00CA41EC" w:rsidP="00CA41EC">
      <w:r w:rsidRPr="00CA41EC">
        <w:t>In the event of a security incident:</w:t>
      </w:r>
    </w:p>
    <w:p w14:paraId="3E3AC4F4" w14:textId="77777777" w:rsidR="00CA41EC" w:rsidRPr="00CA41EC" w:rsidRDefault="00CA41EC" w:rsidP="00CA41EC">
      <w:pPr>
        <w:numPr>
          <w:ilvl w:val="0"/>
          <w:numId w:val="9"/>
        </w:numPr>
      </w:pPr>
      <w:r w:rsidRPr="00CA41EC">
        <w:lastRenderedPageBreak/>
        <w:t>Immediate Actions:</w:t>
      </w:r>
    </w:p>
    <w:p w14:paraId="6FA28B38" w14:textId="77777777" w:rsidR="00CA41EC" w:rsidRPr="00CA41EC" w:rsidRDefault="00CA41EC" w:rsidP="00CA41EC">
      <w:pPr>
        <w:numPr>
          <w:ilvl w:val="1"/>
          <w:numId w:val="9"/>
        </w:numPr>
      </w:pPr>
      <w:r w:rsidRPr="00CA41EC">
        <w:t>Contain the incident to prevent further exposure</w:t>
      </w:r>
    </w:p>
    <w:p w14:paraId="49C3E798" w14:textId="77777777" w:rsidR="00CA41EC" w:rsidRPr="00CA41EC" w:rsidRDefault="00CA41EC" w:rsidP="00CA41EC">
      <w:pPr>
        <w:numPr>
          <w:ilvl w:val="1"/>
          <w:numId w:val="9"/>
        </w:numPr>
      </w:pPr>
      <w:r w:rsidRPr="00CA41EC">
        <w:t>Document all relevant details</w:t>
      </w:r>
    </w:p>
    <w:p w14:paraId="7B987C9F" w14:textId="77777777" w:rsidR="00CA41EC" w:rsidRPr="00CA41EC" w:rsidRDefault="00CA41EC" w:rsidP="00CA41EC">
      <w:pPr>
        <w:numPr>
          <w:ilvl w:val="1"/>
          <w:numId w:val="9"/>
        </w:numPr>
      </w:pPr>
      <w:r w:rsidRPr="00CA41EC">
        <w:t>Notify appropriate authorities</w:t>
      </w:r>
    </w:p>
    <w:p w14:paraId="23F1C7C4" w14:textId="77777777" w:rsidR="00CA41EC" w:rsidRPr="00CA41EC" w:rsidRDefault="00CA41EC" w:rsidP="00CA41EC">
      <w:pPr>
        <w:numPr>
          <w:ilvl w:val="1"/>
          <w:numId w:val="9"/>
        </w:numPr>
      </w:pPr>
      <w:r w:rsidRPr="00CA41EC">
        <w:t>Implement emergency security measures</w:t>
      </w:r>
    </w:p>
    <w:p w14:paraId="0D89622E" w14:textId="77777777" w:rsidR="00CA41EC" w:rsidRPr="00CA41EC" w:rsidRDefault="00CA41EC" w:rsidP="00CA41EC">
      <w:pPr>
        <w:numPr>
          <w:ilvl w:val="0"/>
          <w:numId w:val="9"/>
        </w:numPr>
      </w:pPr>
      <w:r w:rsidRPr="00CA41EC">
        <w:t>Investigation Process:</w:t>
      </w:r>
    </w:p>
    <w:p w14:paraId="6A88261F" w14:textId="77777777" w:rsidR="00CA41EC" w:rsidRPr="00CA41EC" w:rsidRDefault="00CA41EC" w:rsidP="00CA41EC">
      <w:pPr>
        <w:numPr>
          <w:ilvl w:val="1"/>
          <w:numId w:val="9"/>
        </w:numPr>
      </w:pPr>
      <w:r w:rsidRPr="00CA41EC">
        <w:t>Gather all relevant evidence</w:t>
      </w:r>
    </w:p>
    <w:p w14:paraId="042B61EF" w14:textId="77777777" w:rsidR="00CA41EC" w:rsidRPr="00CA41EC" w:rsidRDefault="00CA41EC" w:rsidP="00CA41EC">
      <w:pPr>
        <w:numPr>
          <w:ilvl w:val="1"/>
          <w:numId w:val="9"/>
        </w:numPr>
      </w:pPr>
      <w:r w:rsidRPr="00CA41EC">
        <w:t>Interview involved parties</w:t>
      </w:r>
    </w:p>
    <w:p w14:paraId="0F58CC2B" w14:textId="77777777" w:rsidR="00CA41EC" w:rsidRPr="00CA41EC" w:rsidRDefault="00CA41EC" w:rsidP="00CA41EC">
      <w:pPr>
        <w:numPr>
          <w:ilvl w:val="1"/>
          <w:numId w:val="9"/>
        </w:numPr>
      </w:pPr>
      <w:r w:rsidRPr="00CA41EC">
        <w:t>Document the incident timeline</w:t>
      </w:r>
    </w:p>
    <w:p w14:paraId="5C9D45E4" w14:textId="77777777" w:rsidR="00CA41EC" w:rsidRPr="00CA41EC" w:rsidRDefault="00CA41EC" w:rsidP="00CA41EC">
      <w:pPr>
        <w:numPr>
          <w:ilvl w:val="1"/>
          <w:numId w:val="9"/>
        </w:numPr>
      </w:pPr>
      <w:r w:rsidRPr="00CA41EC">
        <w:t>Assess the impact and scope</w:t>
      </w:r>
    </w:p>
    <w:p w14:paraId="188F257B" w14:textId="77777777" w:rsidR="00CA41EC" w:rsidRPr="00CA41EC" w:rsidRDefault="00CA41EC" w:rsidP="00CA41EC">
      <w:pPr>
        <w:numPr>
          <w:ilvl w:val="0"/>
          <w:numId w:val="9"/>
        </w:numPr>
      </w:pPr>
      <w:r w:rsidRPr="00CA41EC">
        <w:t>Remediation Steps:</w:t>
      </w:r>
    </w:p>
    <w:p w14:paraId="469D9781" w14:textId="77777777" w:rsidR="00CA41EC" w:rsidRPr="00CA41EC" w:rsidRDefault="00CA41EC" w:rsidP="00CA41EC">
      <w:pPr>
        <w:numPr>
          <w:ilvl w:val="1"/>
          <w:numId w:val="9"/>
        </w:numPr>
      </w:pPr>
      <w:r w:rsidRPr="00CA41EC">
        <w:t>Implement corrective measures</w:t>
      </w:r>
    </w:p>
    <w:p w14:paraId="26CA1611" w14:textId="77777777" w:rsidR="00CA41EC" w:rsidRPr="00CA41EC" w:rsidRDefault="00CA41EC" w:rsidP="00CA41EC">
      <w:pPr>
        <w:numPr>
          <w:ilvl w:val="1"/>
          <w:numId w:val="9"/>
        </w:numPr>
      </w:pPr>
      <w:r w:rsidRPr="00CA41EC">
        <w:t>Update security protocols as needed</w:t>
      </w:r>
    </w:p>
    <w:p w14:paraId="31BD5ABA" w14:textId="77777777" w:rsidR="00CA41EC" w:rsidRPr="00CA41EC" w:rsidRDefault="00CA41EC" w:rsidP="00CA41EC">
      <w:pPr>
        <w:numPr>
          <w:ilvl w:val="1"/>
          <w:numId w:val="9"/>
        </w:numPr>
      </w:pPr>
      <w:r w:rsidRPr="00CA41EC">
        <w:t>Provide additional training if required</w:t>
      </w:r>
    </w:p>
    <w:p w14:paraId="484E4F29" w14:textId="77777777" w:rsidR="00CA41EC" w:rsidRPr="00CA41EC" w:rsidRDefault="00CA41EC" w:rsidP="00CA41EC">
      <w:pPr>
        <w:numPr>
          <w:ilvl w:val="1"/>
          <w:numId w:val="9"/>
        </w:numPr>
      </w:pPr>
      <w:r w:rsidRPr="00CA41EC">
        <w:t>Monitor for similar incidents</w:t>
      </w:r>
    </w:p>
    <w:p w14:paraId="7F3FBD92" w14:textId="77777777" w:rsidR="00CA41EC" w:rsidRPr="00CA41EC" w:rsidRDefault="00CA41EC" w:rsidP="00CA41EC">
      <w:pPr>
        <w:rPr>
          <w:b/>
          <w:bCs/>
        </w:rPr>
      </w:pPr>
      <w:r w:rsidRPr="00CA41EC">
        <w:rPr>
          <w:b/>
          <w:bCs/>
        </w:rPr>
        <w:t>5.2 Documentation and Reporting</w:t>
      </w:r>
    </w:p>
    <w:p w14:paraId="4B587689" w14:textId="77777777" w:rsidR="00CA41EC" w:rsidRPr="00CA41EC" w:rsidRDefault="00CA41EC" w:rsidP="00CA41EC">
      <w:r w:rsidRPr="00CA41EC">
        <w:t>All incidents require comprehensive documentation:</w:t>
      </w:r>
    </w:p>
    <w:p w14:paraId="1BC84036" w14:textId="77777777" w:rsidR="00CA41EC" w:rsidRPr="00CA41EC" w:rsidRDefault="00CA41EC" w:rsidP="00CA41EC">
      <w:pPr>
        <w:numPr>
          <w:ilvl w:val="0"/>
          <w:numId w:val="10"/>
        </w:numPr>
      </w:pPr>
      <w:r w:rsidRPr="00CA41EC">
        <w:t>Incident Reports Must Include:</w:t>
      </w:r>
    </w:p>
    <w:p w14:paraId="6C54144F" w14:textId="77777777" w:rsidR="00CA41EC" w:rsidRPr="00CA41EC" w:rsidRDefault="00CA41EC" w:rsidP="00CA41EC">
      <w:pPr>
        <w:numPr>
          <w:ilvl w:val="1"/>
          <w:numId w:val="10"/>
        </w:numPr>
      </w:pPr>
      <w:r w:rsidRPr="00CA41EC">
        <w:t>Detailed description of the incident</w:t>
      </w:r>
    </w:p>
    <w:p w14:paraId="709BF97B" w14:textId="77777777" w:rsidR="00CA41EC" w:rsidRPr="00CA41EC" w:rsidRDefault="00CA41EC" w:rsidP="00CA41EC">
      <w:pPr>
        <w:numPr>
          <w:ilvl w:val="1"/>
          <w:numId w:val="10"/>
        </w:numPr>
      </w:pPr>
      <w:r w:rsidRPr="00CA41EC">
        <w:t>Timeline of events and discoveries</w:t>
      </w:r>
    </w:p>
    <w:p w14:paraId="2ABEDB59" w14:textId="77777777" w:rsidR="00CA41EC" w:rsidRPr="00CA41EC" w:rsidRDefault="00CA41EC" w:rsidP="00CA41EC">
      <w:pPr>
        <w:numPr>
          <w:ilvl w:val="1"/>
          <w:numId w:val="10"/>
        </w:numPr>
      </w:pPr>
      <w:r w:rsidRPr="00CA41EC">
        <w:t>Impact assessment and scope</w:t>
      </w:r>
    </w:p>
    <w:p w14:paraId="76F19BF4" w14:textId="77777777" w:rsidR="00CA41EC" w:rsidRPr="00CA41EC" w:rsidRDefault="00CA41EC" w:rsidP="00CA41EC">
      <w:pPr>
        <w:numPr>
          <w:ilvl w:val="1"/>
          <w:numId w:val="10"/>
        </w:numPr>
      </w:pPr>
      <w:r w:rsidRPr="00CA41EC">
        <w:t>Actions taken and recommendations</w:t>
      </w:r>
    </w:p>
    <w:p w14:paraId="2DF8C971" w14:textId="77777777" w:rsidR="00CA41EC" w:rsidRPr="00CA41EC" w:rsidRDefault="00CA41EC" w:rsidP="00CA41EC">
      <w:pPr>
        <w:numPr>
          <w:ilvl w:val="1"/>
          <w:numId w:val="10"/>
        </w:numPr>
      </w:pPr>
      <w:r w:rsidRPr="00CA41EC">
        <w:t>Prevention measures for future incidents</w:t>
      </w:r>
    </w:p>
    <w:p w14:paraId="3C54B9CF" w14:textId="77777777" w:rsidR="00CA41EC" w:rsidRPr="00CA41EC" w:rsidRDefault="00CA41EC" w:rsidP="00CA41EC">
      <w:pPr>
        <w:numPr>
          <w:ilvl w:val="0"/>
          <w:numId w:val="10"/>
        </w:numPr>
      </w:pPr>
      <w:r w:rsidRPr="00CA41EC">
        <w:t>Follow-up Procedures:</w:t>
      </w:r>
    </w:p>
    <w:p w14:paraId="19691829" w14:textId="77777777" w:rsidR="00CA41EC" w:rsidRPr="00CA41EC" w:rsidRDefault="00CA41EC" w:rsidP="00CA41EC">
      <w:pPr>
        <w:numPr>
          <w:ilvl w:val="1"/>
          <w:numId w:val="10"/>
        </w:numPr>
      </w:pPr>
      <w:r w:rsidRPr="00CA41EC">
        <w:t>Regular status updates</w:t>
      </w:r>
    </w:p>
    <w:p w14:paraId="6FD0AE30" w14:textId="77777777" w:rsidR="00CA41EC" w:rsidRPr="00CA41EC" w:rsidRDefault="00CA41EC" w:rsidP="00CA41EC">
      <w:pPr>
        <w:numPr>
          <w:ilvl w:val="1"/>
          <w:numId w:val="10"/>
        </w:numPr>
      </w:pPr>
      <w:r w:rsidRPr="00CA41EC">
        <w:t>Implementation tracking</w:t>
      </w:r>
    </w:p>
    <w:p w14:paraId="33B76AB7" w14:textId="77777777" w:rsidR="00CA41EC" w:rsidRPr="00CA41EC" w:rsidRDefault="00CA41EC" w:rsidP="00CA41EC">
      <w:pPr>
        <w:numPr>
          <w:ilvl w:val="1"/>
          <w:numId w:val="10"/>
        </w:numPr>
      </w:pPr>
      <w:r w:rsidRPr="00CA41EC">
        <w:t>Effectiveness assessment</w:t>
      </w:r>
    </w:p>
    <w:p w14:paraId="1E85AAF3" w14:textId="77777777" w:rsidR="00CA41EC" w:rsidRPr="00CA41EC" w:rsidRDefault="00CA41EC" w:rsidP="00CA41EC">
      <w:pPr>
        <w:numPr>
          <w:ilvl w:val="1"/>
          <w:numId w:val="10"/>
        </w:numPr>
      </w:pPr>
      <w:r w:rsidRPr="00CA41EC">
        <w:t>Long-term monitoring</w:t>
      </w:r>
    </w:p>
    <w:p w14:paraId="08FBF629" w14:textId="77777777" w:rsidR="00CA41EC" w:rsidRPr="00CA41EC" w:rsidRDefault="00CA41EC" w:rsidP="00CA41EC">
      <w:pPr>
        <w:rPr>
          <w:b/>
          <w:bCs/>
        </w:rPr>
      </w:pPr>
      <w:r w:rsidRPr="00CA41EC">
        <w:rPr>
          <w:b/>
          <w:bCs/>
        </w:rPr>
        <w:lastRenderedPageBreak/>
        <w:t>6. COMPLIANCE AND ENFORCEMENT</w:t>
      </w:r>
    </w:p>
    <w:p w14:paraId="451F3A1E" w14:textId="77777777" w:rsidR="00CA41EC" w:rsidRPr="00CA41EC" w:rsidRDefault="00CA41EC" w:rsidP="00CA41EC">
      <w:pPr>
        <w:rPr>
          <w:b/>
          <w:bCs/>
        </w:rPr>
      </w:pPr>
      <w:r w:rsidRPr="00CA41EC">
        <w:rPr>
          <w:b/>
          <w:bCs/>
        </w:rPr>
        <w:t>6.1 Violation Framework</w:t>
      </w:r>
    </w:p>
    <w:p w14:paraId="5A0565B7" w14:textId="77777777" w:rsidR="00CA41EC" w:rsidRPr="00CA41EC" w:rsidRDefault="00CA41EC" w:rsidP="00CA41EC">
      <w:r w:rsidRPr="00CA41EC">
        <w:t>The laboratory implements a structured approach to handling violations:</w:t>
      </w:r>
    </w:p>
    <w:p w14:paraId="1C1C0F00" w14:textId="77777777" w:rsidR="00CA41EC" w:rsidRPr="00CA41EC" w:rsidRDefault="00CA41EC" w:rsidP="00CA41EC">
      <w:pPr>
        <w:numPr>
          <w:ilvl w:val="0"/>
          <w:numId w:val="11"/>
        </w:numPr>
      </w:pPr>
      <w:r w:rsidRPr="00CA41EC">
        <w:t>Minor Violations:</w:t>
      </w:r>
    </w:p>
    <w:p w14:paraId="7B782D97" w14:textId="77777777" w:rsidR="00CA41EC" w:rsidRPr="00CA41EC" w:rsidRDefault="00CA41EC" w:rsidP="00CA41EC">
      <w:pPr>
        <w:numPr>
          <w:ilvl w:val="1"/>
          <w:numId w:val="11"/>
        </w:numPr>
      </w:pPr>
      <w:r w:rsidRPr="00CA41EC">
        <w:t>First occurrence: Written warning</w:t>
      </w:r>
    </w:p>
    <w:p w14:paraId="4C79FBB5" w14:textId="77777777" w:rsidR="00CA41EC" w:rsidRPr="00CA41EC" w:rsidRDefault="00CA41EC" w:rsidP="00CA41EC">
      <w:pPr>
        <w:numPr>
          <w:ilvl w:val="1"/>
          <w:numId w:val="11"/>
        </w:numPr>
      </w:pPr>
      <w:r w:rsidRPr="00CA41EC">
        <w:t>Documentation in user record</w:t>
      </w:r>
    </w:p>
    <w:p w14:paraId="7EBA2059" w14:textId="77777777" w:rsidR="00CA41EC" w:rsidRPr="00CA41EC" w:rsidRDefault="00CA41EC" w:rsidP="00CA41EC">
      <w:pPr>
        <w:numPr>
          <w:ilvl w:val="1"/>
          <w:numId w:val="11"/>
        </w:numPr>
      </w:pPr>
      <w:r w:rsidRPr="00CA41EC">
        <w:t>Mandatory security refresher</w:t>
      </w:r>
    </w:p>
    <w:p w14:paraId="4577EF1E" w14:textId="77777777" w:rsidR="00CA41EC" w:rsidRPr="00CA41EC" w:rsidRDefault="00CA41EC" w:rsidP="00CA41EC">
      <w:pPr>
        <w:numPr>
          <w:ilvl w:val="0"/>
          <w:numId w:val="11"/>
        </w:numPr>
      </w:pPr>
      <w:r w:rsidRPr="00CA41EC">
        <w:t>Moderate Violations:</w:t>
      </w:r>
    </w:p>
    <w:p w14:paraId="251D243F" w14:textId="77777777" w:rsidR="00CA41EC" w:rsidRPr="00CA41EC" w:rsidRDefault="00CA41EC" w:rsidP="00CA41EC">
      <w:pPr>
        <w:numPr>
          <w:ilvl w:val="1"/>
          <w:numId w:val="11"/>
        </w:numPr>
      </w:pPr>
      <w:r w:rsidRPr="00CA41EC">
        <w:t>One to two month suspension of access</w:t>
      </w:r>
    </w:p>
    <w:p w14:paraId="6A045043" w14:textId="77777777" w:rsidR="00CA41EC" w:rsidRPr="00CA41EC" w:rsidRDefault="00CA41EC" w:rsidP="00CA41EC">
      <w:pPr>
        <w:numPr>
          <w:ilvl w:val="1"/>
          <w:numId w:val="11"/>
        </w:numPr>
      </w:pPr>
      <w:r w:rsidRPr="00CA41EC">
        <w:t>Incident report to department head</w:t>
      </w:r>
    </w:p>
    <w:p w14:paraId="42881034" w14:textId="77777777" w:rsidR="00CA41EC" w:rsidRPr="00CA41EC" w:rsidRDefault="00CA41EC" w:rsidP="00CA41EC">
      <w:pPr>
        <w:numPr>
          <w:ilvl w:val="1"/>
          <w:numId w:val="11"/>
        </w:numPr>
      </w:pPr>
      <w:r w:rsidRPr="00CA41EC">
        <w:t>Mandatory retraining before reinstatement</w:t>
      </w:r>
    </w:p>
    <w:p w14:paraId="78E26A03" w14:textId="77777777" w:rsidR="00CA41EC" w:rsidRPr="00CA41EC" w:rsidRDefault="00CA41EC" w:rsidP="00CA41EC">
      <w:pPr>
        <w:numPr>
          <w:ilvl w:val="0"/>
          <w:numId w:val="11"/>
        </w:numPr>
      </w:pPr>
      <w:r w:rsidRPr="00CA41EC">
        <w:t>Serious Violations:</w:t>
      </w:r>
    </w:p>
    <w:p w14:paraId="2109EE1A" w14:textId="77777777" w:rsidR="00CA41EC" w:rsidRPr="00CA41EC" w:rsidRDefault="00CA41EC" w:rsidP="00CA41EC">
      <w:pPr>
        <w:numPr>
          <w:ilvl w:val="1"/>
          <w:numId w:val="11"/>
        </w:numPr>
      </w:pPr>
      <w:r w:rsidRPr="00CA41EC">
        <w:t>Permanent revocation of access</w:t>
      </w:r>
    </w:p>
    <w:p w14:paraId="15001C69" w14:textId="77777777" w:rsidR="00CA41EC" w:rsidRPr="00CA41EC" w:rsidRDefault="00CA41EC" w:rsidP="00CA41EC">
      <w:pPr>
        <w:numPr>
          <w:ilvl w:val="1"/>
          <w:numId w:val="11"/>
        </w:numPr>
      </w:pPr>
      <w:r w:rsidRPr="00CA41EC">
        <w:t>Formal notification to all relevant authorities</w:t>
      </w:r>
    </w:p>
    <w:p w14:paraId="404EAE21" w14:textId="77777777" w:rsidR="00CA41EC" w:rsidRPr="00CA41EC" w:rsidRDefault="00CA41EC" w:rsidP="00CA41EC">
      <w:pPr>
        <w:numPr>
          <w:ilvl w:val="1"/>
          <w:numId w:val="11"/>
        </w:numPr>
      </w:pPr>
      <w:r w:rsidRPr="00CA41EC">
        <w:t>Possible disciplinary action</w:t>
      </w:r>
    </w:p>
    <w:p w14:paraId="257AF47E" w14:textId="77777777" w:rsidR="00CA41EC" w:rsidRPr="00CA41EC" w:rsidRDefault="00CA41EC" w:rsidP="00CA41EC">
      <w:pPr>
        <w:numPr>
          <w:ilvl w:val="1"/>
          <w:numId w:val="11"/>
        </w:numPr>
      </w:pPr>
      <w:r w:rsidRPr="00CA41EC">
        <w:t>Review of associated projects and data access</w:t>
      </w:r>
    </w:p>
    <w:p w14:paraId="79024AB4" w14:textId="77777777" w:rsidR="00CA41EC" w:rsidRPr="00CA41EC" w:rsidRDefault="00CA41EC" w:rsidP="00CA41EC">
      <w:pPr>
        <w:rPr>
          <w:b/>
          <w:bCs/>
        </w:rPr>
      </w:pPr>
      <w:r w:rsidRPr="00CA41EC">
        <w:rPr>
          <w:b/>
          <w:bCs/>
        </w:rPr>
        <w:t>6.2 Continuous Improvement</w:t>
      </w:r>
    </w:p>
    <w:p w14:paraId="67F8DFC9" w14:textId="77777777" w:rsidR="00CA41EC" w:rsidRPr="00CA41EC" w:rsidRDefault="00CA41EC" w:rsidP="00CA41EC">
      <w:r w:rsidRPr="00CA41EC">
        <w:t>The laboratory maintains ongoing enhancement of security measures:</w:t>
      </w:r>
    </w:p>
    <w:p w14:paraId="51AE20B9" w14:textId="77777777" w:rsidR="00CA41EC" w:rsidRPr="00CA41EC" w:rsidRDefault="00CA41EC" w:rsidP="00CA41EC">
      <w:pPr>
        <w:numPr>
          <w:ilvl w:val="0"/>
          <w:numId w:val="12"/>
        </w:numPr>
      </w:pPr>
      <w:r w:rsidRPr="00CA41EC">
        <w:t>Regular review of procedures</w:t>
      </w:r>
    </w:p>
    <w:p w14:paraId="202A38F8" w14:textId="77777777" w:rsidR="00CA41EC" w:rsidRPr="00CA41EC" w:rsidRDefault="00CA41EC" w:rsidP="00CA41EC">
      <w:pPr>
        <w:numPr>
          <w:ilvl w:val="0"/>
          <w:numId w:val="12"/>
        </w:numPr>
      </w:pPr>
      <w:r w:rsidRPr="00CA41EC">
        <w:t>Updates based on incident lessons</w:t>
      </w:r>
    </w:p>
    <w:p w14:paraId="0ED83AD1" w14:textId="77777777" w:rsidR="00CA41EC" w:rsidRPr="00CA41EC" w:rsidRDefault="00CA41EC" w:rsidP="00CA41EC">
      <w:pPr>
        <w:numPr>
          <w:ilvl w:val="0"/>
          <w:numId w:val="12"/>
        </w:numPr>
      </w:pPr>
      <w:r w:rsidRPr="00CA41EC">
        <w:t>Integration of new security technologies</w:t>
      </w:r>
    </w:p>
    <w:p w14:paraId="18552AA9" w14:textId="77777777" w:rsidR="00CA41EC" w:rsidRPr="00CA41EC" w:rsidRDefault="00CA41EC" w:rsidP="00CA41EC">
      <w:pPr>
        <w:numPr>
          <w:ilvl w:val="0"/>
          <w:numId w:val="12"/>
        </w:numPr>
      </w:pPr>
      <w:r w:rsidRPr="00CA41EC">
        <w:t>Adaptation to emerging threats</w:t>
      </w:r>
    </w:p>
    <w:p w14:paraId="65CBBAF5" w14:textId="77777777" w:rsidR="00171D15" w:rsidRDefault="00171D15"/>
    <w:sectPr w:rsidR="00171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7E5C"/>
    <w:multiLevelType w:val="multilevel"/>
    <w:tmpl w:val="D5CC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C4B9E"/>
    <w:multiLevelType w:val="multilevel"/>
    <w:tmpl w:val="468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7D0"/>
    <w:multiLevelType w:val="multilevel"/>
    <w:tmpl w:val="30B4E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023FE"/>
    <w:multiLevelType w:val="multilevel"/>
    <w:tmpl w:val="FA9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C04E3"/>
    <w:multiLevelType w:val="multilevel"/>
    <w:tmpl w:val="30267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D2793"/>
    <w:multiLevelType w:val="multilevel"/>
    <w:tmpl w:val="B58AF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F1F25"/>
    <w:multiLevelType w:val="multilevel"/>
    <w:tmpl w:val="E9AA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46EE4"/>
    <w:multiLevelType w:val="multilevel"/>
    <w:tmpl w:val="D57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F48B5"/>
    <w:multiLevelType w:val="multilevel"/>
    <w:tmpl w:val="15025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7602B"/>
    <w:multiLevelType w:val="multilevel"/>
    <w:tmpl w:val="41280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004F17"/>
    <w:multiLevelType w:val="multilevel"/>
    <w:tmpl w:val="EF08B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8616B0"/>
    <w:multiLevelType w:val="multilevel"/>
    <w:tmpl w:val="12F8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261148">
    <w:abstractNumId w:val="6"/>
  </w:num>
  <w:num w:numId="2" w16cid:durableId="233704194">
    <w:abstractNumId w:val="7"/>
  </w:num>
  <w:num w:numId="3" w16cid:durableId="1510828272">
    <w:abstractNumId w:val="0"/>
  </w:num>
  <w:num w:numId="4" w16cid:durableId="598493350">
    <w:abstractNumId w:val="11"/>
  </w:num>
  <w:num w:numId="5" w16cid:durableId="1924298306">
    <w:abstractNumId w:val="4"/>
  </w:num>
  <w:num w:numId="6" w16cid:durableId="499081622">
    <w:abstractNumId w:val="1"/>
  </w:num>
  <w:num w:numId="7" w16cid:durableId="33972239">
    <w:abstractNumId w:val="10"/>
  </w:num>
  <w:num w:numId="8" w16cid:durableId="122159257">
    <w:abstractNumId w:val="9"/>
  </w:num>
  <w:num w:numId="9" w16cid:durableId="1753089056">
    <w:abstractNumId w:val="2"/>
  </w:num>
  <w:num w:numId="10" w16cid:durableId="1864712204">
    <w:abstractNumId w:val="8"/>
  </w:num>
  <w:num w:numId="11" w16cid:durableId="1578055113">
    <w:abstractNumId w:val="5"/>
  </w:num>
  <w:num w:numId="12" w16cid:durableId="22631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EC"/>
    <w:rsid w:val="00171D15"/>
    <w:rsid w:val="0030241F"/>
    <w:rsid w:val="006A6CBD"/>
    <w:rsid w:val="00703F91"/>
    <w:rsid w:val="00CA41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C59F"/>
  <w15:chartTrackingRefBased/>
  <w15:docId w15:val="{B6ABA656-6DBF-427B-B57A-0F9D375E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1EC"/>
    <w:rPr>
      <w:rFonts w:eastAsiaTheme="majorEastAsia" w:cstheme="majorBidi"/>
      <w:color w:val="272727" w:themeColor="text1" w:themeTint="D8"/>
    </w:rPr>
  </w:style>
  <w:style w:type="paragraph" w:styleId="Title">
    <w:name w:val="Title"/>
    <w:basedOn w:val="Normal"/>
    <w:next w:val="Normal"/>
    <w:link w:val="TitleChar"/>
    <w:uiPriority w:val="10"/>
    <w:qFormat/>
    <w:rsid w:val="00CA4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1EC"/>
    <w:pPr>
      <w:spacing w:before="160"/>
      <w:jc w:val="center"/>
    </w:pPr>
    <w:rPr>
      <w:i/>
      <w:iCs/>
      <w:color w:val="404040" w:themeColor="text1" w:themeTint="BF"/>
    </w:rPr>
  </w:style>
  <w:style w:type="character" w:customStyle="1" w:styleId="QuoteChar">
    <w:name w:val="Quote Char"/>
    <w:basedOn w:val="DefaultParagraphFont"/>
    <w:link w:val="Quote"/>
    <w:uiPriority w:val="29"/>
    <w:rsid w:val="00CA41EC"/>
    <w:rPr>
      <w:i/>
      <w:iCs/>
      <w:color w:val="404040" w:themeColor="text1" w:themeTint="BF"/>
    </w:rPr>
  </w:style>
  <w:style w:type="paragraph" w:styleId="ListParagraph">
    <w:name w:val="List Paragraph"/>
    <w:basedOn w:val="Normal"/>
    <w:uiPriority w:val="34"/>
    <w:qFormat/>
    <w:rsid w:val="00CA41EC"/>
    <w:pPr>
      <w:ind w:left="720"/>
      <w:contextualSpacing/>
    </w:pPr>
  </w:style>
  <w:style w:type="character" w:styleId="IntenseEmphasis">
    <w:name w:val="Intense Emphasis"/>
    <w:basedOn w:val="DefaultParagraphFont"/>
    <w:uiPriority w:val="21"/>
    <w:qFormat/>
    <w:rsid w:val="00CA41EC"/>
    <w:rPr>
      <w:i/>
      <w:iCs/>
      <w:color w:val="0F4761" w:themeColor="accent1" w:themeShade="BF"/>
    </w:rPr>
  </w:style>
  <w:style w:type="paragraph" w:styleId="IntenseQuote">
    <w:name w:val="Intense Quote"/>
    <w:basedOn w:val="Normal"/>
    <w:next w:val="Normal"/>
    <w:link w:val="IntenseQuoteChar"/>
    <w:uiPriority w:val="30"/>
    <w:qFormat/>
    <w:rsid w:val="00CA4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1EC"/>
    <w:rPr>
      <w:i/>
      <w:iCs/>
      <w:color w:val="0F4761" w:themeColor="accent1" w:themeShade="BF"/>
    </w:rPr>
  </w:style>
  <w:style w:type="character" w:styleId="IntenseReference">
    <w:name w:val="Intense Reference"/>
    <w:basedOn w:val="DefaultParagraphFont"/>
    <w:uiPriority w:val="32"/>
    <w:qFormat/>
    <w:rsid w:val="00CA4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593129">
      <w:bodyDiv w:val="1"/>
      <w:marLeft w:val="0"/>
      <w:marRight w:val="0"/>
      <w:marTop w:val="0"/>
      <w:marBottom w:val="0"/>
      <w:divBdr>
        <w:top w:val="none" w:sz="0" w:space="0" w:color="auto"/>
        <w:left w:val="none" w:sz="0" w:space="0" w:color="auto"/>
        <w:bottom w:val="none" w:sz="0" w:space="0" w:color="auto"/>
        <w:right w:val="none" w:sz="0" w:space="0" w:color="auto"/>
      </w:divBdr>
    </w:div>
    <w:div w:id="130523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148A17AF27143BFFB0EA426FA6593" ma:contentTypeVersion="19" ma:contentTypeDescription="Create a new document." ma:contentTypeScope="" ma:versionID="0876ae54a9e9bc559b76bca0bcb5fd8e">
  <xsd:schema xmlns:xsd="http://www.w3.org/2001/XMLSchema" xmlns:xs="http://www.w3.org/2001/XMLSchema" xmlns:p="http://schemas.microsoft.com/office/2006/metadata/properties" xmlns:ns2="d8afcbc8-ed4c-444f-a99f-dc4f4585cc9c" targetNamespace="http://schemas.microsoft.com/office/2006/metadata/properties" ma:root="true" ma:fieldsID="55cf849dea61f1a25f85c0397b46b7b6" ns2:_="">
    <xsd:import namespace="d8afcbc8-ed4c-444f-a99f-dc4f4585cc9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fcbc8-ed4c-444f-a99f-dc4f4585cc9c"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AA862B-6A60-4052-9076-B9AAE9E29413}"/>
</file>

<file path=customXml/itemProps2.xml><?xml version="1.0" encoding="utf-8"?>
<ds:datastoreItem xmlns:ds="http://schemas.openxmlformats.org/officeDocument/2006/customXml" ds:itemID="{ED7F0E80-1F66-42AB-9BFA-E27030D68B52}"/>
</file>

<file path=customXml/itemProps3.xml><?xml version="1.0" encoding="utf-8"?>
<ds:datastoreItem xmlns:ds="http://schemas.openxmlformats.org/officeDocument/2006/customXml" ds:itemID="{CDF68951-C9F1-4517-8E6A-7902A72AEFCA}"/>
</file>

<file path=customXml/itemProps4.xml><?xml version="1.0" encoding="utf-8"?>
<ds:datastoreItem xmlns:ds="http://schemas.openxmlformats.org/officeDocument/2006/customXml" ds:itemID="{61C4D74F-8FA5-4732-948A-4F2233979771}"/>
</file>

<file path=docProps/app.xml><?xml version="1.0" encoding="utf-8"?>
<Properties xmlns="http://schemas.openxmlformats.org/officeDocument/2006/extended-properties" xmlns:vt="http://schemas.openxmlformats.org/officeDocument/2006/docPropsVTypes">
  <Template>Normal</Template>
  <TotalTime>1</TotalTime>
  <Pages>5</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Yong NEO (MOM)</dc:creator>
  <cp:keywords/>
  <dc:description/>
  <cp:lastModifiedBy>Teng Yong NEO (MOM)</cp:lastModifiedBy>
  <cp:revision>1</cp:revision>
  <dcterms:created xsi:type="dcterms:W3CDTF">2025-03-04T09:34:00Z</dcterms:created>
  <dcterms:modified xsi:type="dcterms:W3CDTF">2025-03-04T09:35:00Z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2025-03-04T09:35:15Z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d0b47002-dd39-4884-9fed-d13d102fea5b</vt:lpwstr>
  </property>
  <property fmtid="{D5CDD505-2E9C-101B-9397-08002B2CF9AE}" pid="8" name="MSIP_Label_5434c4c7-833e-41e4-b0ab-cdb227a2f6f7_ContentBits">
    <vt:lpwstr>0</vt:lpwstr>
  </property>
  <property fmtid="{D5CDD505-2E9C-101B-9397-08002B2CF9AE}" pid="9" name="ContentTypeId">
    <vt:lpwstr>0x010100F07148A17AF27143BFFB0EA426FA6593</vt:lpwstr>
  </property>
</Properties>
</file>