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2E74B5"/>
          <w:sz w:val="20"/>
        </w:rPr>
        <w:t>PILOT TRAINING PROPOSAL</w:t>
      </w:r>
    </w:p>
    <w:p>
      <w:pPr>
        <w:spacing w:after="40"/>
        <w:jc w:val="center"/>
      </w:pPr>
      <w:r>
        <w:rPr>
          <w:rFonts w:ascii="Calibri" w:hAnsi="Calibri"/>
          <w:b/>
          <w:color w:val="0B2545"/>
          <w:sz w:val="40"/>
        </w:rPr>
        <w:t>Windows Malware Triage for First Responders</w:t>
      </w:r>
    </w:p>
    <w:p>
      <w:pPr>
        <w:spacing w:after="160"/>
        <w:jc w:val="center"/>
      </w:pPr>
      <w:r>
        <w:rPr>
          <w:rFonts w:ascii="Calibri" w:hAnsi="Calibri"/>
          <w:b w:val="0"/>
          <w:color w:val="555555"/>
          <w:sz w:val="21"/>
        </w:rPr>
        <w:t>A safe, practical introduction to recognising, preserving and escalating suspected malware incidents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Live online pilot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Duration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90 minutes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Audience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Law-enforcement trainers and Windows first responders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Level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Introductory to intermediate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Delivery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English with concise Arabic support where appropriate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Class size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Up to 20 participants</w:t>
            </w:r>
          </w:p>
        </w:tc>
      </w:tr>
    </w:tbl>
    <w:p>
      <w:pPr>
        <w:pStyle w:val="Heading1"/>
      </w:pPr>
      <w:r>
        <w:t>Purpose</w:t>
      </w:r>
    </w:p>
    <w:p>
      <w:r>
        <w:t>Build a consistent first-response workflow for suspected malware on Windows endpoints. The session focuses on safe triage, evidence preservation and timely escalation. It does not teach offensive exploitation or uncontrolled malware execution.</w:t>
      </w:r>
    </w:p>
    <w:p>
      <w:pPr>
        <w:pStyle w:val="Heading1"/>
      </w:pPr>
      <w:r>
        <w:t>Learning outcomes</w:t>
      </w:r>
    </w:p>
    <w:p>
      <w:pPr>
        <w:pStyle w:val="ListBullet"/>
        <w:spacing w:after="30"/>
      </w:pPr>
      <w:r>
        <w:t>Recognise common indicators of a potentially compromised Windows endpoint.</w:t>
      </w:r>
    </w:p>
    <w:p>
      <w:pPr>
        <w:pStyle w:val="ListBullet"/>
        <w:spacing w:after="30"/>
      </w:pPr>
      <w:r>
        <w:t>Apply a safe first-response sequence without unnecessarily altering evidence.</w:t>
      </w:r>
    </w:p>
    <w:p>
      <w:pPr>
        <w:pStyle w:val="ListBullet"/>
        <w:spacing w:after="30"/>
      </w:pPr>
      <w:r>
        <w:t>Record essential technical and contextual information for escalation.</w:t>
      </w:r>
    </w:p>
    <w:p>
      <w:pPr>
        <w:pStyle w:val="ListBullet"/>
        <w:spacing w:after="30"/>
      </w:pPr>
      <w:r>
        <w:t>Distinguish between immediate containment, further analysis and specialist referral.</w:t>
      </w:r>
    </w:p>
    <w:p>
      <w:pPr>
        <w:pStyle w:val="Heading1"/>
      </w:pPr>
      <w:r>
        <w:t>Session flow and practical exercises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Participant task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10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Context and safety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Identify actions that could destroy evidence or increase risk.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20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Recognition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Review a fictional incident card and identify observable warning signs.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25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Guided triage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Complete a structured triage worksheet using sanitised screenshots and simulated data.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20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Containment decision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Choose and justify an appropriate response using a decision scenario.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10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Reporting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Draft a concise escalation note with facts, actions taken and remaining questions.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5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Knowledge check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Answer five questions and record one action for workplace application.</w:t>
            </w:r>
          </w:p>
        </w:tc>
      </w:tr>
    </w:tbl>
    <w:p>
      <w:pPr>
        <w:pStyle w:val="Heading1"/>
      </w:pPr>
      <w:r>
        <w:t>Evaluation and quality assurance</w:t>
      </w:r>
    </w:p>
    <w:p>
      <w:r>
        <w:t>Success will be measured through the five-question knowledge check, completion of the triage worksheet and a brief participant feedback form. As this is a first pilot delivery, the materials should be peer-reviewed by an experienced network trainer before use and revised after participant feedback.</w:t>
      </w:r>
    </w:p>
    <w:p>
      <w:pPr>
        <w:pStyle w:val="Heading1"/>
      </w:pPr>
      <w:r>
        <w:t>Resources and safeguards</w:t>
      </w:r>
    </w:p>
    <w:p>
      <w:r>
        <w:t>Required resources: presentation slides, fictional incident cards, sanitised screenshots, a triage worksheet and a facilitator guide. No live malware, operational police data, personal data, credentials or classified material will be used. Any demonstration will run only in a controlled and authorised environment.</w:t>
      </w:r>
    </w:p>
    <w:p>
      <w:pPr>
        <w:pStyle w:val="Heading1"/>
      </w:pPr>
      <w:r>
        <w:t>Proposed contribution</w:t>
      </w:r>
    </w:p>
    <w:p>
      <w:pPr>
        <w:spacing w:after="0"/>
      </w:pPr>
      <w:r>
        <w:t>Wajdi Salloul proposes to develop and pilot this module with guidance from the Alumni Network. His relevant background includes completion of the EUROMED Police Train-the-Trainers programme in Malware Analysis and professional work in cybersecurity, Windows endpoint protection and security-focused software development.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55555"/>
        <w:sz w:val="16"/>
      </w:rPr>
      <w:t>Prepared by Wajdi Salloul | Palestinian Civil Police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55555"/>
        <w:sz w:val="17"/>
      </w:rPr>
      <w:t>EUROMED Police Trainers Alumni Network | Pilot Training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