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228" w:type="dxa"/>
        <w:tblLook w:val="04A0"/>
      </w:tblPr>
      <w:tblGrid>
        <w:gridCol w:w="2434"/>
        <w:gridCol w:w="2430"/>
        <w:gridCol w:w="2114"/>
        <w:gridCol w:w="2114"/>
        <w:gridCol w:w="2114"/>
        <w:gridCol w:w="2022"/>
      </w:tblGrid>
      <w:tr w:rsidR="00524EAE" w:rsidTr="00937953">
        <w:trPr>
          <w:trHeight w:val="1358"/>
        </w:trPr>
        <w:tc>
          <w:tcPr>
            <w:tcW w:w="2434" w:type="dxa"/>
          </w:tcPr>
          <w:p w:rsidR="00524EAE" w:rsidRDefault="00B80D2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Differentiation</w:t>
            </w:r>
          </w:p>
          <w:p w:rsidR="00524EAE" w:rsidRDefault="00B80D2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Factor</w:t>
            </w:r>
          </w:p>
        </w:tc>
        <w:tc>
          <w:tcPr>
            <w:tcW w:w="2430" w:type="dxa"/>
          </w:tcPr>
          <w:p w:rsidR="00524EAE" w:rsidRDefault="00B80D2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Collection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Set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Sorted </w:t>
            </w:r>
            <w:r>
              <w:rPr>
                <w:b/>
                <w:bCs/>
                <w:sz w:val="36"/>
                <w:szCs w:val="36"/>
              </w:rPr>
              <w:t>set</w:t>
            </w:r>
          </w:p>
        </w:tc>
        <w:tc>
          <w:tcPr>
            <w:tcW w:w="2022" w:type="dxa"/>
          </w:tcPr>
          <w:p w:rsidR="00524EAE" w:rsidRDefault="00B80D2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Map</w:t>
            </w:r>
          </w:p>
        </w:tc>
      </w:tr>
      <w:tr w:rsidR="00524EAE" w:rsidTr="00937953">
        <w:trPr>
          <w:trHeight w:val="1844"/>
        </w:trPr>
        <w:tc>
          <w:tcPr>
            <w:tcW w:w="2434" w:type="dxa"/>
          </w:tcPr>
          <w:p w:rsidR="00524EAE" w:rsidRDefault="00B80D26">
            <w:pPr>
              <w:spacing w:after="0" w:line="240" w:lineRule="auto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Hierarchy</w:t>
            </w:r>
          </w:p>
        </w:tc>
        <w:tc>
          <w:tcPr>
            <w:tcW w:w="2430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4472C4" w:themeColor="accent1"/>
                <w:sz w:val="34"/>
                <w:szCs w:val="34"/>
              </w:rPr>
              <w:t>It’s one of the pre-defined I/Fs available on top of the hierarchy.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4472C4" w:themeColor="accent1"/>
                <w:sz w:val="34"/>
                <w:szCs w:val="34"/>
              </w:rPr>
              <w:t>It’s a sub I/F of collection.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4472C4" w:themeColor="accent1"/>
                <w:sz w:val="34"/>
                <w:szCs w:val="34"/>
              </w:rPr>
              <w:t>It’s a sub I/F of collection.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4472C4" w:themeColor="accent1"/>
                <w:sz w:val="34"/>
                <w:szCs w:val="34"/>
              </w:rPr>
              <w:t>It’s a sub I/F of set.</w:t>
            </w:r>
          </w:p>
        </w:tc>
        <w:tc>
          <w:tcPr>
            <w:tcW w:w="2022" w:type="dxa"/>
          </w:tcPr>
          <w:p w:rsidR="00524EAE" w:rsidRDefault="00524EAE">
            <w:pPr>
              <w:spacing w:after="0" w:line="240" w:lineRule="auto"/>
              <w:rPr>
                <w:color w:val="4472C4" w:themeColor="accent1"/>
                <w:sz w:val="34"/>
                <w:szCs w:val="34"/>
              </w:rPr>
            </w:pPr>
          </w:p>
        </w:tc>
      </w:tr>
      <w:tr w:rsidR="00524EAE" w:rsidTr="00937953">
        <w:trPr>
          <w:trHeight w:val="1944"/>
        </w:trPr>
        <w:tc>
          <w:tcPr>
            <w:tcW w:w="2434" w:type="dxa"/>
          </w:tcPr>
          <w:p w:rsidR="00524EAE" w:rsidRDefault="00B80D26" w:rsidP="00937953">
            <w:pPr>
              <w:spacing w:after="0" w:line="240" w:lineRule="auto"/>
              <w:ind w:firstLineChars="50" w:firstLine="181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Functionaliy</w:t>
            </w:r>
            <w:proofErr w:type="spellEnd"/>
          </w:p>
        </w:tc>
        <w:tc>
          <w:tcPr>
            <w:tcW w:w="2430" w:type="dxa"/>
          </w:tcPr>
          <w:p w:rsidR="00524EAE" w:rsidRDefault="00B80D26">
            <w:pPr>
              <w:spacing w:after="0" w:line="240" w:lineRule="auto"/>
              <w:rPr>
                <w:color w:val="7030A0"/>
              </w:rPr>
            </w:pPr>
            <w:r>
              <w:rPr>
                <w:color w:val="7030A0"/>
                <w:sz w:val="34"/>
                <w:szCs w:val="34"/>
              </w:rPr>
              <w:t xml:space="preserve">An object of </w:t>
            </w:r>
            <w:r>
              <w:rPr>
                <w:color w:val="7030A0"/>
                <w:sz w:val="34"/>
                <w:szCs w:val="34"/>
              </w:rPr>
              <w:t>collection allow</w:t>
            </w:r>
            <w:bookmarkStart w:id="0" w:name="_GoBack"/>
            <w:bookmarkEnd w:id="0"/>
            <w:r>
              <w:rPr>
                <w:color w:val="7030A0"/>
                <w:sz w:val="34"/>
                <w:szCs w:val="34"/>
              </w:rPr>
              <w:t>s duplicate elements.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color w:val="7030A0"/>
              </w:rPr>
            </w:pPr>
            <w:r>
              <w:rPr>
                <w:color w:val="7030A0"/>
                <w:sz w:val="34"/>
                <w:szCs w:val="34"/>
              </w:rPr>
              <w:t>An object of list allows duplicate elements.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7030A0"/>
                <w:sz w:val="34"/>
                <w:szCs w:val="34"/>
              </w:rPr>
              <w:t>An object of set allows unique elements.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7030A0"/>
                <w:sz w:val="34"/>
                <w:szCs w:val="34"/>
              </w:rPr>
              <w:t>An object of Sorted List allows unique elements.</w:t>
            </w:r>
          </w:p>
        </w:tc>
        <w:tc>
          <w:tcPr>
            <w:tcW w:w="2022" w:type="dxa"/>
          </w:tcPr>
          <w:p w:rsidR="00524EAE" w:rsidRDefault="00524EAE">
            <w:pPr>
              <w:spacing w:after="0" w:line="240" w:lineRule="auto"/>
              <w:rPr>
                <w:color w:val="7030A0"/>
                <w:sz w:val="34"/>
                <w:szCs w:val="34"/>
              </w:rPr>
            </w:pPr>
          </w:p>
        </w:tc>
      </w:tr>
      <w:tr w:rsidR="00524EAE" w:rsidTr="00937953">
        <w:trPr>
          <w:trHeight w:val="1299"/>
        </w:trPr>
        <w:tc>
          <w:tcPr>
            <w:tcW w:w="2434" w:type="dxa"/>
          </w:tcPr>
          <w:p w:rsidR="00524EAE" w:rsidRDefault="00B80D26">
            <w:pPr>
              <w:spacing w:after="0" w:line="240" w:lineRule="auto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Display</w:t>
            </w:r>
          </w:p>
        </w:tc>
        <w:tc>
          <w:tcPr>
            <w:tcW w:w="2430" w:type="dxa"/>
          </w:tcPr>
          <w:p w:rsidR="00524EAE" w:rsidRDefault="00B80D26">
            <w:pPr>
              <w:spacing w:after="0" w:line="240" w:lineRule="auto"/>
              <w:rPr>
                <w:color w:val="C00000"/>
              </w:rPr>
            </w:pPr>
            <w:r>
              <w:rPr>
                <w:color w:val="FF0000"/>
                <w:sz w:val="34"/>
                <w:szCs w:val="34"/>
              </w:rPr>
              <w:t>I/F object displays the data in random order.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FF0000"/>
                <w:sz w:val="34"/>
                <w:szCs w:val="34"/>
              </w:rPr>
              <w:t xml:space="preserve">I/F object displays the </w:t>
            </w:r>
            <w:r>
              <w:rPr>
                <w:color w:val="FF0000"/>
                <w:sz w:val="34"/>
                <w:szCs w:val="34"/>
              </w:rPr>
              <w:t>data in sorted order.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FF0000"/>
                <w:sz w:val="34"/>
                <w:szCs w:val="34"/>
              </w:rPr>
              <w:t>I/F object displays the data in random order.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FF0000"/>
                <w:sz w:val="34"/>
                <w:szCs w:val="34"/>
              </w:rPr>
              <w:t>I/F object displays the data in sorted order.</w:t>
            </w:r>
          </w:p>
        </w:tc>
        <w:tc>
          <w:tcPr>
            <w:tcW w:w="2022" w:type="dxa"/>
          </w:tcPr>
          <w:p w:rsidR="00524EAE" w:rsidRDefault="00524EAE">
            <w:pPr>
              <w:spacing w:after="0" w:line="240" w:lineRule="auto"/>
              <w:rPr>
                <w:color w:val="FF0000"/>
                <w:sz w:val="34"/>
                <w:szCs w:val="34"/>
              </w:rPr>
            </w:pPr>
          </w:p>
        </w:tc>
      </w:tr>
      <w:tr w:rsidR="00524EAE" w:rsidTr="00937953">
        <w:trPr>
          <w:trHeight w:val="2086"/>
        </w:trPr>
        <w:tc>
          <w:tcPr>
            <w:tcW w:w="2434" w:type="dxa"/>
          </w:tcPr>
          <w:p w:rsidR="00524EAE" w:rsidRDefault="00B80D26">
            <w:pPr>
              <w:spacing w:after="0" w:line="240" w:lineRule="auto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lastRenderedPageBreak/>
              <w:t>Data Organization</w:t>
            </w:r>
          </w:p>
        </w:tc>
        <w:tc>
          <w:tcPr>
            <w:tcW w:w="2430" w:type="dxa"/>
          </w:tcPr>
          <w:p w:rsidR="00524EAE" w:rsidRDefault="00B80D26">
            <w:pPr>
              <w:spacing w:after="0" w:line="240" w:lineRule="auto"/>
            </w:pPr>
            <w:r>
              <w:rPr>
                <w:color w:val="00B050"/>
                <w:sz w:val="34"/>
                <w:szCs w:val="34"/>
              </w:rPr>
              <w:t xml:space="preserve">An object of collection allows us to add the data only at the end.          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  <w:sz w:val="34"/>
                <w:szCs w:val="34"/>
              </w:rPr>
              <w:t xml:space="preserve">An object of list allows us to add the data </w:t>
            </w:r>
            <w:r>
              <w:rPr>
                <w:color w:val="00B050"/>
                <w:sz w:val="34"/>
                <w:szCs w:val="34"/>
              </w:rPr>
              <w:t>either in the beginning or at the end.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  <w:sz w:val="34"/>
                <w:szCs w:val="34"/>
              </w:rPr>
              <w:t>An object allows us to add the data only at the end.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  <w:sz w:val="34"/>
                <w:szCs w:val="34"/>
              </w:rPr>
              <w:t>An object of Sorted List allows us to add the data either in the beginning or in the middle or at the end.</w:t>
            </w:r>
          </w:p>
        </w:tc>
        <w:tc>
          <w:tcPr>
            <w:tcW w:w="2022" w:type="dxa"/>
          </w:tcPr>
          <w:p w:rsidR="00524EAE" w:rsidRDefault="00524EAE">
            <w:pPr>
              <w:spacing w:after="0" w:line="240" w:lineRule="auto"/>
              <w:rPr>
                <w:color w:val="00B050"/>
                <w:sz w:val="34"/>
                <w:szCs w:val="34"/>
              </w:rPr>
            </w:pPr>
          </w:p>
        </w:tc>
      </w:tr>
      <w:tr w:rsidR="00524EAE" w:rsidTr="00937953">
        <w:trPr>
          <w:trHeight w:val="2927"/>
        </w:trPr>
        <w:tc>
          <w:tcPr>
            <w:tcW w:w="2434" w:type="dxa"/>
          </w:tcPr>
          <w:p w:rsidR="00524EAE" w:rsidRDefault="00B80D26">
            <w:pPr>
              <w:spacing w:after="0" w:line="240" w:lineRule="auto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Retrieval</w:t>
            </w:r>
          </w:p>
        </w:tc>
        <w:tc>
          <w:tcPr>
            <w:tcW w:w="2430" w:type="dxa"/>
          </w:tcPr>
          <w:p w:rsidR="00524EAE" w:rsidRDefault="00B80D26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  <w:sz w:val="34"/>
                <w:szCs w:val="34"/>
              </w:rPr>
              <w:t xml:space="preserve">Collection I/F </w:t>
            </w:r>
            <w:proofErr w:type="spellStart"/>
            <w:r>
              <w:rPr>
                <w:color w:val="0070C0"/>
                <w:sz w:val="34"/>
                <w:szCs w:val="34"/>
              </w:rPr>
              <w:t>obj</w:t>
            </w:r>
            <w:proofErr w:type="spellEnd"/>
            <w:r>
              <w:rPr>
                <w:color w:val="0070C0"/>
                <w:sz w:val="34"/>
                <w:szCs w:val="34"/>
              </w:rPr>
              <w:t xml:space="preserve"> allows us to determine the</w:t>
            </w:r>
            <w:r>
              <w:rPr>
                <w:color w:val="0070C0"/>
                <w:sz w:val="34"/>
                <w:szCs w:val="34"/>
              </w:rPr>
              <w:t xml:space="preserve"> data only in forward direction but not in other direction.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  <w:sz w:val="34"/>
                <w:szCs w:val="34"/>
              </w:rPr>
              <w:t xml:space="preserve">List </w:t>
            </w:r>
            <w:proofErr w:type="gramStart"/>
            <w:r>
              <w:rPr>
                <w:color w:val="0070C0"/>
                <w:sz w:val="34"/>
                <w:szCs w:val="34"/>
              </w:rPr>
              <w:t>I/</w:t>
            </w:r>
            <w:proofErr w:type="gramEnd"/>
            <w:r>
              <w:rPr>
                <w:color w:val="0070C0"/>
                <w:sz w:val="34"/>
                <w:szCs w:val="34"/>
              </w:rPr>
              <w:t xml:space="preserve">F </w:t>
            </w:r>
            <w:proofErr w:type="spellStart"/>
            <w:r>
              <w:rPr>
                <w:color w:val="0070C0"/>
                <w:sz w:val="34"/>
                <w:szCs w:val="34"/>
              </w:rPr>
              <w:t>obj</w:t>
            </w:r>
            <w:proofErr w:type="spellEnd"/>
            <w:r>
              <w:rPr>
                <w:color w:val="0070C0"/>
                <w:sz w:val="34"/>
                <w:szCs w:val="34"/>
              </w:rPr>
              <w:t xml:space="preserve"> allows us to determine the data in forward and backward direction.          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  <w:sz w:val="34"/>
                <w:szCs w:val="34"/>
              </w:rPr>
              <w:t xml:space="preserve">Set </w:t>
            </w:r>
            <w:proofErr w:type="gramStart"/>
            <w:r>
              <w:rPr>
                <w:color w:val="0070C0"/>
                <w:sz w:val="34"/>
                <w:szCs w:val="34"/>
              </w:rPr>
              <w:t>I/</w:t>
            </w:r>
            <w:proofErr w:type="gramEnd"/>
            <w:r>
              <w:rPr>
                <w:color w:val="0070C0"/>
                <w:sz w:val="34"/>
                <w:szCs w:val="34"/>
              </w:rPr>
              <w:t xml:space="preserve">F </w:t>
            </w:r>
            <w:proofErr w:type="spellStart"/>
            <w:r>
              <w:rPr>
                <w:color w:val="0070C0"/>
                <w:sz w:val="34"/>
                <w:szCs w:val="34"/>
              </w:rPr>
              <w:t>obj</w:t>
            </w:r>
            <w:proofErr w:type="spellEnd"/>
            <w:r>
              <w:rPr>
                <w:color w:val="0070C0"/>
                <w:sz w:val="34"/>
                <w:szCs w:val="34"/>
              </w:rPr>
              <w:t xml:space="preserve"> allows us to determine the data only in forward direction but not in other direction.         </w:t>
            </w:r>
            <w:r>
              <w:rPr>
                <w:color w:val="0070C0"/>
                <w:sz w:val="34"/>
                <w:szCs w:val="34"/>
              </w:rPr>
              <w:t xml:space="preserve"> </w:t>
            </w:r>
          </w:p>
        </w:tc>
        <w:tc>
          <w:tcPr>
            <w:tcW w:w="2114" w:type="dxa"/>
          </w:tcPr>
          <w:p w:rsidR="00524EAE" w:rsidRDefault="00B80D26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  <w:sz w:val="34"/>
                <w:szCs w:val="34"/>
              </w:rPr>
              <w:t xml:space="preserve">Sorted List I/F </w:t>
            </w:r>
            <w:proofErr w:type="spellStart"/>
            <w:r>
              <w:rPr>
                <w:color w:val="0070C0"/>
                <w:sz w:val="34"/>
                <w:szCs w:val="34"/>
              </w:rPr>
              <w:t>obj</w:t>
            </w:r>
            <w:proofErr w:type="spellEnd"/>
            <w:r>
              <w:rPr>
                <w:color w:val="0070C0"/>
                <w:sz w:val="34"/>
                <w:szCs w:val="34"/>
              </w:rPr>
              <w:t xml:space="preserve"> allows us to determine the data in forward, backward and random direction.          </w:t>
            </w:r>
          </w:p>
        </w:tc>
        <w:tc>
          <w:tcPr>
            <w:tcW w:w="2022" w:type="dxa"/>
          </w:tcPr>
          <w:p w:rsidR="00524EAE" w:rsidRDefault="00524EAE">
            <w:pPr>
              <w:spacing w:after="0" w:line="240" w:lineRule="auto"/>
              <w:rPr>
                <w:color w:val="0070C0"/>
                <w:sz w:val="34"/>
                <w:szCs w:val="34"/>
              </w:rPr>
            </w:pPr>
          </w:p>
        </w:tc>
      </w:tr>
    </w:tbl>
    <w:p w:rsidR="00524EAE" w:rsidRDefault="00524EAE"/>
    <w:sectPr w:rsidR="00524EAE" w:rsidSect="00524E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D26" w:rsidRDefault="00B80D26">
      <w:pPr>
        <w:spacing w:line="240" w:lineRule="auto"/>
      </w:pPr>
      <w:r>
        <w:separator/>
      </w:r>
    </w:p>
  </w:endnote>
  <w:endnote w:type="continuationSeparator" w:id="0">
    <w:p w:rsidR="00B80D26" w:rsidRDefault="00B80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D26" w:rsidRDefault="00B80D26">
      <w:pPr>
        <w:spacing w:after="0" w:line="240" w:lineRule="auto"/>
      </w:pPr>
      <w:r>
        <w:separator/>
      </w:r>
    </w:p>
  </w:footnote>
  <w:footnote w:type="continuationSeparator" w:id="0">
    <w:p w:rsidR="00B80D26" w:rsidRDefault="00B80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F5D"/>
    <w:rsid w:val="00212D38"/>
    <w:rsid w:val="003F2399"/>
    <w:rsid w:val="004959EB"/>
    <w:rsid w:val="00524EAE"/>
    <w:rsid w:val="00565861"/>
    <w:rsid w:val="00570F5D"/>
    <w:rsid w:val="006201E1"/>
    <w:rsid w:val="008A3803"/>
    <w:rsid w:val="00937953"/>
    <w:rsid w:val="00A71CF2"/>
    <w:rsid w:val="00B80D26"/>
    <w:rsid w:val="1FB80CC5"/>
    <w:rsid w:val="2B9E7163"/>
    <w:rsid w:val="2FEE31DA"/>
    <w:rsid w:val="4775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A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524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Cyberaegis</cp:lastModifiedBy>
  <cp:revision>5</cp:revision>
  <dcterms:created xsi:type="dcterms:W3CDTF">2021-03-14T13:08:00Z</dcterms:created>
  <dcterms:modified xsi:type="dcterms:W3CDTF">2021-08-13T14:29:00Z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