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3E926"/>
    <w:p w14:paraId="4F103D65">
      <w:pPr>
        <w:spacing w:after="80"/>
        <w:jc w:val="center"/>
        <w:rPr>
          <w:rFonts w:ascii="Times New Roman" w:hAnsi="Times New Roman" w:eastAsia="MS Mincho" w:cs="Times New Roman"/>
          <w:color w:val="333333"/>
          <w:sz w:val="24"/>
        </w:rPr>
      </w:pPr>
      <w:r>
        <w:rPr>
          <w:rFonts w:ascii="Times New Roman" w:hAnsi="Times New Roman" w:eastAsia="MS Mincho" w:cs="Times New Roman"/>
          <w:b/>
          <w:color w:val="003366"/>
          <w:sz w:val="36"/>
        </w:rPr>
        <w:t xml:space="preserve">THE UNIVERSITY OF AZAD JAMMU &amp; </w:t>
      </w:r>
      <w:bookmarkStart w:id="0" w:name="_GoBack"/>
      <w:bookmarkEnd w:id="0"/>
      <w:r>
        <w:rPr>
          <w:rFonts w:ascii="Times New Roman" w:hAnsi="Times New Roman" w:eastAsia="MS Mincho" w:cs="Times New Roman"/>
          <w:b/>
          <w:color w:val="003366"/>
          <w:sz w:val="36"/>
        </w:rPr>
        <w:t>KASHMIR</w:t>
      </w:r>
    </w:p>
    <w:p w14:paraId="3D102994">
      <w:pPr>
        <w:spacing w:after="360"/>
        <w:jc w:val="center"/>
        <w:rPr>
          <w:rFonts w:ascii="Times New Roman" w:hAnsi="Times New Roman" w:eastAsia="MS Mincho" w:cs="Times New Roman"/>
          <w:b/>
          <w:color w:val="708090"/>
          <w:sz w:val="28"/>
        </w:rPr>
      </w:pPr>
      <w:r>
        <w:rPr>
          <w:rFonts w:ascii="Times New Roman" w:hAnsi="Times New Roman" w:eastAsia="MS Mincho" w:cs="Times New Roman"/>
          <w:b/>
          <w:color w:val="708090"/>
          <w:sz w:val="28"/>
        </w:rPr>
        <w:t>DEPARTMENT OF SOFTWARE ENGINEERING</w:t>
      </w:r>
    </w:p>
    <w:p w14:paraId="148A18A8">
      <w:pPr>
        <w:spacing w:after="360"/>
        <w:rPr>
          <w:rFonts w:ascii="Times New Roman" w:hAnsi="Times New Roman" w:eastAsia="MS Mincho" w:cs="Times New Roman"/>
          <w:b/>
          <w:color w:val="708090"/>
          <w:sz w:val="28"/>
        </w:rPr>
      </w:pPr>
    </w:p>
    <w:p w14:paraId="10E0B0DD">
      <w:pPr>
        <w:spacing w:after="360"/>
        <w:jc w:val="center"/>
        <w:rPr>
          <w:rFonts w:ascii="Times New Roman" w:hAnsi="Times New Roman" w:eastAsia="MS Mincho" w:cs="Times New Roman"/>
          <w:color w:val="333333"/>
          <w:sz w:val="24"/>
        </w:rPr>
      </w:pPr>
    </w:p>
    <w:tbl>
      <w:tblPr>
        <w:tblStyle w:val="3"/>
        <w:tblW w:w="0" w:type="auto"/>
        <w:jc w:val="center"/>
        <w:tblLayout w:type="autofit"/>
        <w:tblCellMar>
          <w:top w:w="0" w:type="dxa"/>
          <w:left w:w="108" w:type="dxa"/>
          <w:bottom w:w="0" w:type="dxa"/>
          <w:right w:w="108" w:type="dxa"/>
        </w:tblCellMar>
      </w:tblPr>
      <w:tblGrid>
        <w:gridCol w:w="2466"/>
        <w:gridCol w:w="3010"/>
        <w:gridCol w:w="3090"/>
      </w:tblGrid>
      <w:tr w14:paraId="307E89C1">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16EDBADF">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Student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3926B369">
            <w:pPr>
              <w:spacing w:after="0"/>
              <w:rPr>
                <w:rFonts w:hint="default" w:ascii="Times New Roman" w:hAnsi="Times New Roman" w:eastAsia="MS Mincho" w:cs="Times New Roman"/>
                <w:color w:val="333333"/>
                <w:sz w:val="24"/>
                <w:lang w:val="en-US"/>
              </w:rPr>
            </w:pPr>
            <w:r>
              <w:rPr>
                <w:rFonts w:hint="default" w:ascii="Times New Roman" w:hAnsi="Times New Roman" w:eastAsia="MS Mincho" w:cs="Times New Roman"/>
                <w:color w:val="333333"/>
                <w:sz w:val="24"/>
                <w:lang w:val="en-US"/>
              </w:rPr>
              <w:t>Raja WajihUllah khan</w:t>
            </w:r>
          </w:p>
        </w:tc>
        <w:tc>
          <w:tcPr>
            <w:tcW w:w="3090" w:type="dxa"/>
            <w:vMerge w:val="restart"/>
            <w:tcBorders>
              <w:top w:val="single" w:color="003366" w:sz="12" w:space="0"/>
              <w:left w:val="single" w:color="003366" w:sz="12" w:space="0"/>
              <w:bottom w:val="nil"/>
              <w:right w:val="single" w:color="003366" w:sz="12" w:space="0"/>
            </w:tcBorders>
            <w:shd w:val="clear" w:color="auto" w:fill="FFFFFF"/>
            <w:tcMar>
              <w:top w:w="180" w:type="dxa"/>
              <w:left w:w="120" w:type="dxa"/>
              <w:bottom w:w="180" w:type="dxa"/>
              <w:right w:w="120" w:type="dxa"/>
            </w:tcMar>
            <w:vAlign w:val="center"/>
          </w:tcPr>
          <w:p w14:paraId="1CBD980A">
            <w:pPr>
              <w:spacing w:after="0"/>
              <w:jc w:val="center"/>
              <w:rPr>
                <w:rFonts w:ascii="Times New Roman" w:hAnsi="Times New Roman" w:eastAsia="MS Mincho" w:cs="Times New Roman"/>
                <w:color w:val="333333"/>
                <w:sz w:val="24"/>
              </w:rPr>
            </w:pPr>
            <w:r>
              <w:rPr>
                <w:rFonts w:ascii="Times New Roman" w:hAnsi="Times New Roman" w:eastAsia="MS Mincho" w:cs="Times New Roman"/>
                <w:color w:val="333333"/>
                <w:sz w:val="24"/>
              </w:rPr>
              <w:drawing>
                <wp:inline distT="0" distB="0" distL="0" distR="0">
                  <wp:extent cx="1803400" cy="1746250"/>
                  <wp:effectExtent l="0" t="0" r="6350" b="6350"/>
                  <wp:docPr id="1915573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3544"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3400" cy="1746250"/>
                          </a:xfrm>
                          <a:prstGeom prst="rect">
                            <a:avLst/>
                          </a:prstGeom>
                          <a:noFill/>
                          <a:ln>
                            <a:noFill/>
                          </a:ln>
                        </pic:spPr>
                      </pic:pic>
                    </a:graphicData>
                  </a:graphic>
                </wp:inline>
              </w:drawing>
            </w:r>
          </w:p>
        </w:tc>
      </w:tr>
      <w:tr w14:paraId="3D1A25F1">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01778DF4">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Roll Number</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628D7F23">
            <w:pPr>
              <w:spacing w:after="0"/>
              <w:rPr>
                <w:rFonts w:hint="default" w:ascii="Times New Roman" w:hAnsi="Times New Roman" w:eastAsia="MS Mincho" w:cs="Times New Roman"/>
                <w:color w:val="333333"/>
                <w:sz w:val="24"/>
                <w:lang w:val="en-US"/>
              </w:rPr>
            </w:pPr>
            <w:r>
              <w:rPr>
                <w:rFonts w:ascii="Times New Roman" w:hAnsi="Times New Roman" w:eastAsia="MS Mincho" w:cs="Times New Roman"/>
                <w:color w:val="333333"/>
              </w:rPr>
              <w:t>2024-SE-</w:t>
            </w:r>
            <w:r>
              <w:rPr>
                <w:rFonts w:hint="default" w:ascii="Times New Roman" w:hAnsi="Times New Roman" w:eastAsia="MS Mincho" w:cs="Times New Roman"/>
                <w:color w:val="333333"/>
                <w:lang w:val="en-US"/>
              </w:rPr>
              <w:t>28</w:t>
            </w:r>
          </w:p>
        </w:tc>
        <w:tc>
          <w:tcPr>
            <w:tcW w:w="0" w:type="auto"/>
            <w:vMerge w:val="continue"/>
            <w:tcBorders>
              <w:top w:val="single" w:color="003366" w:sz="12" w:space="0"/>
              <w:left w:val="single" w:color="003366" w:sz="12" w:space="0"/>
              <w:bottom w:val="nil"/>
              <w:right w:val="single" w:color="003366" w:sz="12" w:space="0"/>
            </w:tcBorders>
            <w:vAlign w:val="center"/>
          </w:tcPr>
          <w:p w14:paraId="69535614">
            <w:pPr>
              <w:spacing w:after="0"/>
              <w:rPr>
                <w:rFonts w:ascii="Times New Roman" w:hAnsi="Times New Roman" w:eastAsia="MS Mincho" w:cs="Times New Roman"/>
                <w:color w:val="333333"/>
                <w:sz w:val="24"/>
              </w:rPr>
            </w:pPr>
          </w:p>
        </w:tc>
      </w:tr>
      <w:tr w14:paraId="1B339BCE">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2F2E5EE0">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Course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20FA866D">
            <w:pPr>
              <w:spacing w:after="0"/>
              <w:rPr>
                <w:rFonts w:ascii="Times New Roman" w:hAnsi="Times New Roman" w:eastAsia="MS Mincho" w:cs="Times New Roman"/>
                <w:color w:val="333333"/>
                <w:sz w:val="24"/>
              </w:rPr>
            </w:pPr>
            <w:r>
              <w:rPr>
                <w:rFonts w:ascii="Times New Roman" w:hAnsi="Times New Roman" w:eastAsia="MS Mincho" w:cs="Times New Roman"/>
                <w:color w:val="333333"/>
                <w:sz w:val="24"/>
              </w:rPr>
              <w:t>Software Construction &amp; Development</w:t>
            </w:r>
          </w:p>
        </w:tc>
        <w:tc>
          <w:tcPr>
            <w:tcW w:w="0" w:type="auto"/>
            <w:vMerge w:val="continue"/>
            <w:tcBorders>
              <w:top w:val="single" w:color="003366" w:sz="12" w:space="0"/>
              <w:left w:val="single" w:color="003366" w:sz="12" w:space="0"/>
              <w:bottom w:val="nil"/>
              <w:right w:val="single" w:color="003366" w:sz="12" w:space="0"/>
            </w:tcBorders>
            <w:vAlign w:val="center"/>
          </w:tcPr>
          <w:p w14:paraId="4603CF46">
            <w:pPr>
              <w:spacing w:after="0"/>
              <w:rPr>
                <w:rFonts w:ascii="Times New Roman" w:hAnsi="Times New Roman" w:eastAsia="MS Mincho" w:cs="Times New Roman"/>
                <w:color w:val="333333"/>
                <w:sz w:val="24"/>
              </w:rPr>
            </w:pPr>
          </w:p>
        </w:tc>
      </w:tr>
      <w:tr w14:paraId="042ED061">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25ECEC7A">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Course Code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0D38D878">
            <w:pPr>
              <w:spacing w:after="0"/>
              <w:rPr>
                <w:rFonts w:ascii="Times New Roman" w:hAnsi="Times New Roman" w:eastAsia="MS Mincho" w:cs="Times New Roman"/>
                <w:color w:val="333333"/>
                <w:sz w:val="24"/>
              </w:rPr>
            </w:pPr>
            <w:r>
              <w:rPr>
                <w:rFonts w:ascii="Times New Roman" w:hAnsi="Times New Roman" w:eastAsia="MS Mincho" w:cs="Times New Roman"/>
                <w:color w:val="333333"/>
              </w:rPr>
              <w:t>SE-3101</w:t>
            </w:r>
          </w:p>
        </w:tc>
        <w:tc>
          <w:tcPr>
            <w:tcW w:w="0" w:type="auto"/>
            <w:vMerge w:val="continue"/>
            <w:tcBorders>
              <w:top w:val="single" w:color="003366" w:sz="12" w:space="0"/>
              <w:left w:val="single" w:color="003366" w:sz="12" w:space="0"/>
              <w:bottom w:val="nil"/>
              <w:right w:val="single" w:color="003366" w:sz="12" w:space="0"/>
            </w:tcBorders>
            <w:vAlign w:val="center"/>
          </w:tcPr>
          <w:p w14:paraId="58D52665">
            <w:pPr>
              <w:spacing w:after="0"/>
              <w:rPr>
                <w:rFonts w:ascii="Times New Roman" w:hAnsi="Times New Roman" w:eastAsia="MS Mincho" w:cs="Times New Roman"/>
                <w:color w:val="333333"/>
                <w:sz w:val="24"/>
              </w:rPr>
            </w:pPr>
          </w:p>
        </w:tc>
      </w:tr>
      <w:tr w14:paraId="3805FE83">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12FCCAFE">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Session</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07043D21">
            <w:pPr>
              <w:spacing w:after="0"/>
              <w:rPr>
                <w:rFonts w:ascii="Times New Roman" w:hAnsi="Times New Roman" w:eastAsia="MS Mincho" w:cs="Times New Roman"/>
                <w:color w:val="333333"/>
                <w:sz w:val="24"/>
              </w:rPr>
            </w:pPr>
            <w:r>
              <w:rPr>
                <w:rFonts w:ascii="Times New Roman" w:hAnsi="Times New Roman" w:eastAsia="MS Mincho" w:cs="Times New Roman"/>
                <w:color w:val="333333"/>
              </w:rPr>
              <w:t>2024-2028 (BS SE - 5th Sem)</w:t>
            </w:r>
          </w:p>
        </w:tc>
        <w:tc>
          <w:tcPr>
            <w:tcW w:w="0" w:type="auto"/>
            <w:vMerge w:val="continue"/>
            <w:tcBorders>
              <w:top w:val="single" w:color="003366" w:sz="12" w:space="0"/>
              <w:left w:val="single" w:color="003366" w:sz="12" w:space="0"/>
              <w:bottom w:val="nil"/>
              <w:right w:val="single" w:color="003366" w:sz="12" w:space="0"/>
            </w:tcBorders>
            <w:vAlign w:val="center"/>
          </w:tcPr>
          <w:p w14:paraId="48A9E012">
            <w:pPr>
              <w:spacing w:after="0"/>
              <w:rPr>
                <w:rFonts w:ascii="Times New Roman" w:hAnsi="Times New Roman" w:eastAsia="MS Mincho" w:cs="Times New Roman"/>
                <w:color w:val="333333"/>
                <w:sz w:val="24"/>
              </w:rPr>
            </w:pPr>
          </w:p>
        </w:tc>
      </w:tr>
      <w:tr w14:paraId="57F0E82F">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5901B79D">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Department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31EDDB93">
            <w:pPr>
              <w:spacing w:after="0"/>
              <w:rPr>
                <w:rFonts w:ascii="Times New Roman" w:hAnsi="Times New Roman" w:eastAsia="MS Mincho" w:cs="Times New Roman"/>
                <w:color w:val="333333"/>
                <w:sz w:val="24"/>
              </w:rPr>
            </w:pPr>
            <w:r>
              <w:rPr>
                <w:rFonts w:ascii="Times New Roman" w:hAnsi="Times New Roman" w:eastAsia="MS Mincho" w:cs="Times New Roman"/>
                <w:color w:val="333333"/>
              </w:rPr>
              <w:t>Department of Software Engineering</w:t>
            </w:r>
          </w:p>
        </w:tc>
        <w:tc>
          <w:tcPr>
            <w:tcW w:w="0" w:type="auto"/>
            <w:vMerge w:val="continue"/>
            <w:tcBorders>
              <w:top w:val="single" w:color="003366" w:sz="12" w:space="0"/>
              <w:left w:val="single" w:color="003366" w:sz="12" w:space="0"/>
              <w:bottom w:val="nil"/>
              <w:right w:val="single" w:color="003366" w:sz="12" w:space="0"/>
            </w:tcBorders>
            <w:vAlign w:val="center"/>
          </w:tcPr>
          <w:p w14:paraId="0D0D7291">
            <w:pPr>
              <w:spacing w:after="0"/>
              <w:rPr>
                <w:rFonts w:ascii="Times New Roman" w:hAnsi="Times New Roman" w:eastAsia="MS Mincho" w:cs="Times New Roman"/>
                <w:color w:val="333333"/>
                <w:sz w:val="24"/>
              </w:rPr>
            </w:pPr>
          </w:p>
        </w:tc>
      </w:tr>
      <w:tr w14:paraId="1DC08081">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5008462A">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Task / Assignment No.</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68789318">
            <w:pPr>
              <w:spacing w:after="0"/>
              <w:rPr>
                <w:rFonts w:ascii="Times New Roman" w:hAnsi="Times New Roman" w:eastAsia="MS Mincho" w:cs="Times New Roman"/>
                <w:color w:val="333333"/>
                <w:sz w:val="24"/>
              </w:rPr>
            </w:pPr>
            <w:r>
              <w:rPr>
                <w:rFonts w:ascii="Times New Roman" w:hAnsi="Times New Roman" w:eastAsia="MS Mincho" w:cs="Times New Roman"/>
                <w:color w:val="333333"/>
              </w:rPr>
              <w:t>Lab Task #02</w:t>
            </w:r>
          </w:p>
        </w:tc>
        <w:tc>
          <w:tcPr>
            <w:tcW w:w="0" w:type="auto"/>
            <w:vMerge w:val="continue"/>
            <w:tcBorders>
              <w:top w:val="single" w:color="003366" w:sz="12" w:space="0"/>
              <w:left w:val="single" w:color="003366" w:sz="12" w:space="0"/>
              <w:bottom w:val="nil"/>
              <w:right w:val="single" w:color="003366" w:sz="12" w:space="0"/>
            </w:tcBorders>
            <w:vAlign w:val="center"/>
          </w:tcPr>
          <w:p w14:paraId="74AFF7C0">
            <w:pPr>
              <w:spacing w:after="0"/>
              <w:rPr>
                <w:rFonts w:ascii="Times New Roman" w:hAnsi="Times New Roman" w:eastAsia="MS Mincho" w:cs="Times New Roman"/>
                <w:color w:val="333333"/>
                <w:sz w:val="24"/>
              </w:rPr>
            </w:pPr>
          </w:p>
        </w:tc>
      </w:tr>
      <w:tr w14:paraId="326705E4">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7D0EA329">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Instructor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359654FB">
            <w:pPr>
              <w:spacing w:after="0"/>
              <w:rPr>
                <w:rFonts w:ascii="Times New Roman" w:hAnsi="Times New Roman" w:eastAsia="MS Mincho" w:cs="Times New Roman"/>
                <w:color w:val="333333"/>
                <w:sz w:val="24"/>
              </w:rPr>
            </w:pPr>
            <w:r>
              <w:rPr>
                <w:rFonts w:ascii="Times New Roman" w:hAnsi="Times New Roman" w:eastAsia="MS Mincho" w:cs="Times New Roman"/>
                <w:color w:val="333333"/>
              </w:rPr>
              <w:t>Engr. Dr Asma Javed</w:t>
            </w:r>
          </w:p>
        </w:tc>
        <w:tc>
          <w:tcPr>
            <w:tcW w:w="0" w:type="auto"/>
            <w:vMerge w:val="continue"/>
            <w:tcBorders>
              <w:top w:val="single" w:color="003366" w:sz="12" w:space="0"/>
              <w:left w:val="single" w:color="003366" w:sz="12" w:space="0"/>
              <w:bottom w:val="nil"/>
              <w:right w:val="single" w:color="003366" w:sz="12" w:space="0"/>
            </w:tcBorders>
            <w:vAlign w:val="center"/>
          </w:tcPr>
          <w:p w14:paraId="6346E90A">
            <w:pPr>
              <w:spacing w:after="0"/>
              <w:rPr>
                <w:rFonts w:ascii="Times New Roman" w:hAnsi="Times New Roman" w:eastAsia="MS Mincho" w:cs="Times New Roman"/>
                <w:color w:val="333333"/>
                <w:sz w:val="24"/>
              </w:rPr>
            </w:pPr>
          </w:p>
        </w:tc>
      </w:tr>
      <w:tr w14:paraId="2AA00804">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3559CCD4">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Submission Date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5113A20D">
            <w:pPr>
              <w:spacing w:after="0"/>
              <w:rPr>
                <w:rFonts w:ascii="Times New Roman" w:hAnsi="Times New Roman" w:eastAsia="MS Mincho" w:cs="Times New Roman"/>
                <w:color w:val="333333"/>
                <w:sz w:val="24"/>
              </w:rPr>
            </w:pPr>
            <w:r>
              <w:rPr>
                <w:rFonts w:ascii="Times New Roman" w:hAnsi="Times New Roman" w:eastAsia="MS Mincho" w:cs="Times New Roman"/>
                <w:color w:val="333333"/>
              </w:rPr>
              <w:t>October 2</w:t>
            </w:r>
            <w:r>
              <w:rPr>
                <w:rFonts w:hint="default" w:ascii="Times New Roman" w:hAnsi="Times New Roman" w:eastAsia="MS Mincho" w:cs="Times New Roman"/>
                <w:color w:val="333333"/>
                <w:lang w:val="en-US"/>
              </w:rPr>
              <w:t>7</w:t>
            </w:r>
            <w:r>
              <w:rPr>
                <w:rFonts w:ascii="Times New Roman" w:hAnsi="Times New Roman" w:eastAsia="MS Mincho" w:cs="Times New Roman"/>
                <w:color w:val="333333"/>
              </w:rPr>
              <w:t>, 2026</w:t>
            </w:r>
          </w:p>
        </w:tc>
        <w:tc>
          <w:tcPr>
            <w:tcW w:w="0" w:type="auto"/>
            <w:vMerge w:val="continue"/>
            <w:tcBorders>
              <w:top w:val="single" w:color="003366" w:sz="12" w:space="0"/>
              <w:left w:val="single" w:color="003366" w:sz="12" w:space="0"/>
              <w:bottom w:val="nil"/>
              <w:right w:val="single" w:color="003366" w:sz="12" w:space="0"/>
            </w:tcBorders>
            <w:vAlign w:val="center"/>
          </w:tcPr>
          <w:p w14:paraId="793CC009">
            <w:pPr>
              <w:spacing w:after="0"/>
              <w:rPr>
                <w:rFonts w:ascii="Times New Roman" w:hAnsi="Times New Roman" w:eastAsia="MS Mincho" w:cs="Times New Roman"/>
                <w:color w:val="333333"/>
                <w:sz w:val="24"/>
              </w:rPr>
            </w:pPr>
          </w:p>
        </w:tc>
      </w:tr>
      <w:tr w14:paraId="191D64EB">
        <w:tblPrEx>
          <w:tblCellMar>
            <w:top w:w="0" w:type="dxa"/>
            <w:left w:w="108" w:type="dxa"/>
            <w:bottom w:w="0" w:type="dxa"/>
            <w:right w:w="108" w:type="dxa"/>
          </w:tblCellMar>
        </w:tblPrEx>
        <w:trPr>
          <w:trHeight w:val="2308" w:hRule="atLeast"/>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586046E9">
            <w:pPr>
              <w:spacing w:after="0"/>
              <w:rPr>
                <w:rFonts w:ascii="Times New Roman" w:hAnsi="Times New Roman" w:eastAsia="MS Mincho" w:cs="Times New Roman"/>
                <w:color w:val="333333"/>
                <w:sz w:val="24"/>
              </w:rPr>
            </w:pPr>
            <w:r>
              <w:rPr>
                <w:rFonts w:ascii="Times New Roman" w:hAnsi="Times New Roman" w:eastAsia="MS Mincho" w:cs="Times New Roman"/>
                <w:b/>
                <w:color w:val="FFFFFF"/>
              </w:rPr>
              <w:t>Topic / Title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008D4119">
            <w:pPr>
              <w:spacing w:after="0"/>
              <w:rPr>
                <w:rFonts w:ascii="Times New Roman" w:hAnsi="Times New Roman" w:eastAsia="MS Mincho" w:cs="Times New Roman"/>
                <w:color w:val="333333"/>
                <w:sz w:val="24"/>
              </w:rPr>
            </w:pPr>
            <w:r>
              <w:rPr>
                <w:rFonts w:ascii="Times New Roman" w:hAnsi="Times New Roman" w:eastAsia="MS Mincho" w:cs="Times New Roman"/>
                <w:color w:val="333333"/>
                <w:sz w:val="24"/>
              </w:rPr>
              <w:t>Food Panda Activity Diagram, Toaster Diagram, Elevator/Lift Machine Diagram</w:t>
            </w:r>
          </w:p>
        </w:tc>
        <w:tc>
          <w:tcPr>
            <w:tcW w:w="0" w:type="auto"/>
            <w:vMerge w:val="continue"/>
            <w:tcBorders>
              <w:top w:val="single" w:color="003366" w:sz="12" w:space="0"/>
              <w:left w:val="single" w:color="003366" w:sz="12" w:space="0"/>
              <w:bottom w:val="nil"/>
              <w:right w:val="single" w:color="003366" w:sz="12" w:space="0"/>
            </w:tcBorders>
            <w:vAlign w:val="center"/>
          </w:tcPr>
          <w:p w14:paraId="46071780">
            <w:pPr>
              <w:spacing w:after="0"/>
              <w:rPr>
                <w:rFonts w:ascii="Times New Roman" w:hAnsi="Times New Roman" w:eastAsia="MS Mincho" w:cs="Times New Roman"/>
                <w:color w:val="333333"/>
                <w:sz w:val="24"/>
              </w:rPr>
            </w:pPr>
          </w:p>
        </w:tc>
      </w:tr>
    </w:tbl>
    <w:p w14:paraId="1F03118A"/>
    <w:p w14:paraId="66DD906B"/>
    <w:p w14:paraId="649E87C2"/>
    <w:p w14:paraId="2287E3B7"/>
    <w:p w14:paraId="018EEF33"/>
    <w:p w14:paraId="7C9E5C21">
      <w:pPr>
        <w:rPr>
          <w:rFonts w:ascii="Arial" w:hAnsi="Arial"/>
          <w:b/>
          <w:color w:val="182B49"/>
          <w:sz w:val="32"/>
        </w:rPr>
      </w:pPr>
      <w:r>
        <w:rPr>
          <w:rFonts w:ascii="Arial" w:hAnsi="Arial"/>
          <w:b/>
          <w:color w:val="182B49"/>
          <w:sz w:val="32"/>
        </w:rPr>
        <w:t>LAB TASK 2: DIAGRAM ANALYSIS &amp; EXPLANATION</w:t>
      </w:r>
    </w:p>
    <w:p w14:paraId="2187E28C">
      <w:pPr>
        <w:keepNext/>
        <w:spacing w:before="320" w:after="120"/>
      </w:pPr>
      <w:r>
        <w:rPr>
          <w:rFonts w:ascii="Calibri" w:hAnsi="Calibri"/>
          <w:b/>
          <w:color w:val="1E3A8A"/>
          <w:sz w:val="32"/>
        </w:rPr>
        <w:t>Question 1: FoodPanda Activity Diagram with Swimlanes</w:t>
      </w:r>
    </w:p>
    <w:p w14:paraId="44D387A1">
      <w:r>
        <w:rPr>
          <w:color w:val="334155"/>
        </w:rPr>
        <w:t xml:space="preserve">An </w:t>
      </w:r>
      <w:r>
        <w:rPr>
          <w:b/>
        </w:rPr>
        <w:t>Activity Diagram using Swimlanes</w:t>
      </w:r>
      <w:r>
        <w:t xml:space="preserve"> partitions activities into separate columns representing organizational units or system roles responsible for performing specific actions. Below is the multi-swimlane workflow breakdown for the FoodPanda application.</w:t>
      </w:r>
    </w:p>
    <w:tbl>
      <w:tblPr>
        <w:tblStyle w:val="3"/>
        <w:tblW w:w="0" w:type="auto"/>
        <w:jc w:val="center"/>
        <w:tblLayout w:type="autofit"/>
        <w:tblCellMar>
          <w:top w:w="0" w:type="dxa"/>
          <w:left w:w="108" w:type="dxa"/>
          <w:bottom w:w="0" w:type="dxa"/>
          <w:right w:w="108" w:type="dxa"/>
        </w:tblCellMar>
      </w:tblPr>
      <w:tblGrid>
        <w:gridCol w:w="4264"/>
        <w:gridCol w:w="4342"/>
      </w:tblGrid>
      <w:tr w14:paraId="1CDB0138">
        <w:tblPrEx>
          <w:tblCellMar>
            <w:top w:w="0" w:type="dxa"/>
            <w:left w:w="108" w:type="dxa"/>
            <w:bottom w:w="0" w:type="dxa"/>
            <w:right w:w="108" w:type="dxa"/>
          </w:tblCellMar>
        </w:tblPrEx>
        <w:trPr>
          <w:jc w:val="center"/>
        </w:trPr>
        <w:tc>
          <w:tcPr>
            <w:tcW w:w="4968" w:type="dxa"/>
            <w:shd w:val="clear" w:color="auto" w:fill="2563EB"/>
            <w:tcMar>
              <w:top w:w="120" w:type="dxa"/>
              <w:left w:w="150" w:type="dxa"/>
              <w:bottom w:w="120" w:type="dxa"/>
              <w:right w:w="150" w:type="dxa"/>
            </w:tcMar>
          </w:tcPr>
          <w:p w14:paraId="2D519DC8">
            <w:r>
              <w:rPr>
                <w:b/>
                <w:color w:val="FFFFFF"/>
              </w:rPr>
              <w:t>Swimlane Role / Partition</w:t>
            </w:r>
          </w:p>
        </w:tc>
        <w:tc>
          <w:tcPr>
            <w:tcW w:w="4968" w:type="dxa"/>
            <w:shd w:val="clear" w:color="auto" w:fill="2563EB"/>
            <w:tcMar>
              <w:top w:w="120" w:type="dxa"/>
              <w:left w:w="150" w:type="dxa"/>
              <w:bottom w:w="120" w:type="dxa"/>
              <w:right w:w="150" w:type="dxa"/>
            </w:tcMar>
          </w:tcPr>
          <w:p w14:paraId="49665352">
            <w:r>
              <w:rPr>
                <w:b/>
                <w:color w:val="FFFFFF"/>
              </w:rPr>
              <w:t>Responsibilities &amp; Key Activities</w:t>
            </w:r>
          </w:p>
        </w:tc>
      </w:tr>
      <w:tr w14:paraId="5B4332AD">
        <w:tblPrEx>
          <w:tblCellMar>
            <w:top w:w="0" w:type="dxa"/>
            <w:left w:w="108" w:type="dxa"/>
            <w:bottom w:w="0" w:type="dxa"/>
            <w:right w:w="108" w:type="dxa"/>
          </w:tblCellMar>
        </w:tblPrEx>
        <w:trPr>
          <w:jc w:val="center"/>
        </w:trPr>
        <w:tc>
          <w:tcPr>
            <w:tcW w:w="4968" w:type="dxa"/>
            <w:shd w:val="clear" w:color="auto" w:fill="F8FAFC"/>
            <w:tcMar>
              <w:top w:w="100" w:type="dxa"/>
              <w:left w:w="150" w:type="dxa"/>
              <w:bottom w:w="100" w:type="dxa"/>
              <w:right w:w="150" w:type="dxa"/>
            </w:tcMar>
          </w:tcPr>
          <w:p w14:paraId="71D7B4C5">
            <w:r>
              <w:rPr>
                <w:b/>
              </w:rPr>
              <w:t>Customer</w:t>
            </w:r>
          </w:p>
        </w:tc>
        <w:tc>
          <w:tcPr>
            <w:tcW w:w="4968" w:type="dxa"/>
            <w:shd w:val="clear" w:color="auto" w:fill="F8FAFC"/>
            <w:tcMar>
              <w:top w:w="100" w:type="dxa"/>
              <w:left w:w="150" w:type="dxa"/>
              <w:bottom w:w="100" w:type="dxa"/>
              <w:right w:w="150" w:type="dxa"/>
            </w:tcMar>
          </w:tcPr>
          <w:p w14:paraId="15D0107B">
            <w:r>
              <w:t>Browses restaurants, selects food items, inputs delivery address, places order, chooses payment method, tracks order status, receives delivery, and rates service.</w:t>
            </w:r>
          </w:p>
        </w:tc>
      </w:tr>
      <w:tr w14:paraId="758F9FF2">
        <w:tblPrEx>
          <w:tblCellMar>
            <w:top w:w="0" w:type="dxa"/>
            <w:left w:w="108" w:type="dxa"/>
            <w:bottom w:w="0" w:type="dxa"/>
            <w:right w:w="108" w:type="dxa"/>
          </w:tblCellMar>
        </w:tblPrEx>
        <w:trPr>
          <w:jc w:val="center"/>
        </w:trPr>
        <w:tc>
          <w:tcPr>
            <w:tcW w:w="4968" w:type="dxa"/>
            <w:tcMar>
              <w:top w:w="100" w:type="dxa"/>
              <w:left w:w="150" w:type="dxa"/>
              <w:bottom w:w="100" w:type="dxa"/>
              <w:right w:w="150" w:type="dxa"/>
            </w:tcMar>
          </w:tcPr>
          <w:p w14:paraId="439595A8">
            <w:r>
              <w:rPr>
                <w:b/>
              </w:rPr>
              <w:t>FoodPanda Platform</w:t>
            </w:r>
          </w:p>
        </w:tc>
        <w:tc>
          <w:tcPr>
            <w:tcW w:w="4968" w:type="dxa"/>
            <w:tcMar>
              <w:top w:w="100" w:type="dxa"/>
              <w:left w:w="150" w:type="dxa"/>
              <w:bottom w:w="100" w:type="dxa"/>
              <w:right w:w="150" w:type="dxa"/>
            </w:tcMar>
          </w:tcPr>
          <w:p w14:paraId="048E3883">
            <w:r>
              <w:t>Validates payment details, authenticates order, routes order to restaurant, assigns delivery rider, streams real-time GPS tracking data, and processes feedback.</w:t>
            </w:r>
          </w:p>
        </w:tc>
      </w:tr>
      <w:tr w14:paraId="769D4AA2">
        <w:tblPrEx>
          <w:tblCellMar>
            <w:top w:w="0" w:type="dxa"/>
            <w:left w:w="108" w:type="dxa"/>
            <w:bottom w:w="0" w:type="dxa"/>
            <w:right w:w="108" w:type="dxa"/>
          </w:tblCellMar>
        </w:tblPrEx>
        <w:trPr>
          <w:jc w:val="center"/>
        </w:trPr>
        <w:tc>
          <w:tcPr>
            <w:tcW w:w="4968" w:type="dxa"/>
            <w:shd w:val="clear" w:color="auto" w:fill="F8FAFC"/>
            <w:tcMar>
              <w:top w:w="100" w:type="dxa"/>
              <w:left w:w="150" w:type="dxa"/>
              <w:bottom w:w="100" w:type="dxa"/>
              <w:right w:w="150" w:type="dxa"/>
            </w:tcMar>
          </w:tcPr>
          <w:p w14:paraId="707F4490">
            <w:r>
              <w:rPr>
                <w:b/>
              </w:rPr>
              <w:t>Restaurant &amp; Delivery</w:t>
            </w:r>
          </w:p>
        </w:tc>
        <w:tc>
          <w:tcPr>
            <w:tcW w:w="4968" w:type="dxa"/>
            <w:shd w:val="clear" w:color="auto" w:fill="F8FAFC"/>
            <w:tcMar>
              <w:top w:w="100" w:type="dxa"/>
              <w:left w:w="150" w:type="dxa"/>
              <w:bottom w:w="100" w:type="dxa"/>
              <w:right w:w="150" w:type="dxa"/>
            </w:tcMar>
          </w:tcPr>
          <w:p w14:paraId="08F23B2E">
            <w:r>
              <w:t>Accepts order, prepares meal, packages order, hands over food to assigned rider, dispatches item, and completes final delivery to customer door.</w:t>
            </w:r>
          </w:p>
        </w:tc>
      </w:tr>
    </w:tbl>
    <w:p w14:paraId="06325834">
      <w:pPr>
        <w:spacing w:after="160"/>
      </w:pPr>
    </w:p>
    <w:tbl>
      <w:tblPr>
        <w:tblStyle w:val="3"/>
        <w:tblW w:w="0" w:type="auto"/>
        <w:jc w:val="center"/>
        <w:tblLayout w:type="fixed"/>
        <w:tblCellMar>
          <w:top w:w="0" w:type="dxa"/>
          <w:left w:w="108" w:type="dxa"/>
          <w:bottom w:w="0" w:type="dxa"/>
          <w:right w:w="108" w:type="dxa"/>
        </w:tblCellMar>
      </w:tblPr>
      <w:tblGrid>
        <w:gridCol w:w="9360"/>
      </w:tblGrid>
      <w:tr w14:paraId="23A1EA49">
        <w:tblPrEx>
          <w:tblCellMar>
            <w:top w:w="0" w:type="dxa"/>
            <w:left w:w="108" w:type="dxa"/>
            <w:bottom w:w="0" w:type="dxa"/>
            <w:right w:w="108" w:type="dxa"/>
          </w:tblCellMar>
        </w:tblPrEx>
        <w:trPr>
          <w:jc w:val="center"/>
        </w:trPr>
        <w:tc>
          <w:tcPr>
            <w:tcW w:w="9360" w:type="dxa"/>
            <w:tcBorders>
              <w:left w:val="single" w:color="182B49" w:sz="36" w:space="0"/>
            </w:tcBorders>
            <w:shd w:val="clear" w:color="auto" w:fill="F0F4F8"/>
            <w:tcMar>
              <w:top w:w="140" w:type="dxa"/>
              <w:left w:w="200" w:type="dxa"/>
              <w:bottom w:w="140" w:type="dxa"/>
              <w:right w:w="200" w:type="dxa"/>
            </w:tcMar>
          </w:tcPr>
          <w:p w14:paraId="40980919">
            <w:pPr>
              <w:spacing w:after="40"/>
            </w:pPr>
            <w:r>
              <w:rPr>
                <w:rFonts w:ascii="Arial" w:hAnsi="Arial"/>
                <w:b/>
                <w:color w:val="182B49"/>
                <w:sz w:val="20"/>
              </w:rPr>
              <w:t>SWIMLANE COLOR CODING PATTERN</w:t>
            </w:r>
            <w:r>
              <w:rPr>
                <w:rFonts w:ascii="Arial" w:hAnsi="Arial"/>
                <w:b/>
                <w:color w:val="182B49"/>
                <w:sz w:val="20"/>
              </w:rPr>
              <w:br w:type="textWrapping"/>
            </w:r>
            <w:r>
              <w:rPr>
                <w:rFonts w:ascii="Arial" w:hAnsi="Arial"/>
                <w:color w:val="333333"/>
                <w:sz w:val="20"/>
              </w:rPr>
              <w:t>Visual Design &amp; Color Pattern:</w:t>
            </w:r>
            <w:r>
              <w:rPr>
                <w:rFonts w:ascii="Arial" w:hAnsi="Arial"/>
                <w:color w:val="333333"/>
                <w:sz w:val="20"/>
              </w:rPr>
              <w:br w:type="textWrapping"/>
            </w:r>
            <w:r>
              <w:rPr>
                <w:rFonts w:ascii="Arial" w:hAnsi="Arial"/>
                <w:color w:val="333333"/>
                <w:sz w:val="20"/>
              </w:rPr>
              <w:t>• Customer Lane (Teal #008080): User-facing UI events.</w:t>
            </w:r>
            <w:r>
              <w:rPr>
                <w:rFonts w:ascii="Arial" w:hAnsi="Arial"/>
                <w:color w:val="333333"/>
                <w:sz w:val="20"/>
              </w:rPr>
              <w:br w:type="textWrapping"/>
            </w:r>
            <w:r>
              <w:rPr>
                <w:rFonts w:ascii="Arial" w:hAnsi="Arial"/>
                <w:color w:val="333333"/>
                <w:sz w:val="20"/>
              </w:rPr>
              <w:t>• System Lane (Navy #182B49): Backend processing and orchestration.</w:t>
            </w:r>
            <w:r>
              <w:rPr>
                <w:rFonts w:ascii="Arial" w:hAnsi="Arial"/>
                <w:color w:val="333333"/>
                <w:sz w:val="20"/>
              </w:rPr>
              <w:br w:type="textWrapping"/>
            </w:r>
            <w:r>
              <w:rPr>
                <w:rFonts w:ascii="Arial" w:hAnsi="Arial"/>
                <w:color w:val="333333"/>
                <w:sz w:val="20"/>
              </w:rPr>
              <w:t>• Restaurant Lane (Amber / Gold): Kitchen operations and prep milestones.</w:t>
            </w:r>
            <w:r>
              <w:rPr>
                <w:rFonts w:ascii="Arial" w:hAnsi="Arial"/>
                <w:color w:val="333333"/>
                <w:sz w:val="20"/>
              </w:rPr>
              <w:br w:type="textWrapping"/>
            </w:r>
            <w:r>
              <w:rPr>
                <w:rFonts w:ascii="Arial" w:hAnsi="Arial"/>
                <w:color w:val="333333"/>
                <w:sz w:val="20"/>
              </w:rPr>
              <w:t>• Rider Lane (Coral / Orange): Transit, GPS navigation, and physical handover.</w:t>
            </w:r>
          </w:p>
        </w:tc>
      </w:tr>
    </w:tbl>
    <w:p w14:paraId="1540C1A0">
      <w:pPr>
        <w:rPr>
          <w:rFonts w:ascii="Arial" w:hAnsi="Arial"/>
          <w:b/>
          <w:color w:val="182B49"/>
          <w:sz w:val="32"/>
        </w:rPr>
      </w:pPr>
    </w:p>
    <w:p w14:paraId="291EC817">
      <w:r>
        <w:drawing>
          <wp:inline distT="0" distB="0" distL="0" distR="0">
            <wp:extent cx="5937250" cy="3238500"/>
            <wp:effectExtent l="0" t="0" r="6350" b="0"/>
            <wp:docPr id="424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673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37250" cy="3238500"/>
                    </a:xfrm>
                    <a:prstGeom prst="rect">
                      <a:avLst/>
                    </a:prstGeom>
                    <a:noFill/>
                    <a:ln>
                      <a:noFill/>
                    </a:ln>
                  </pic:spPr>
                </pic:pic>
              </a:graphicData>
            </a:graphic>
          </wp:inline>
        </w:drawing>
      </w:r>
    </w:p>
    <w:p w14:paraId="43BECE06"/>
    <w:p w14:paraId="5AA17EB0">
      <w:pPr>
        <w:keepNext/>
        <w:spacing w:before="320" w:after="120"/>
      </w:pPr>
      <w:r>
        <w:rPr>
          <w:rFonts w:ascii="Calibri" w:hAnsi="Calibri"/>
          <w:b/>
          <w:color w:val="1E3A8A"/>
          <w:sz w:val="32"/>
        </w:rPr>
        <w:t>Question 2: State Machine Diagram for a Toaster</w:t>
      </w:r>
    </w:p>
    <w:p w14:paraId="0BD113B4">
      <w:r>
        <w:rPr>
          <w:color w:val="334155"/>
        </w:rPr>
        <w:t xml:space="preserve">A </w:t>
      </w:r>
      <w:r>
        <w:rPr>
          <w:b/>
        </w:rPr>
        <w:t>State Diagram</w:t>
      </w:r>
      <w:r>
        <w:t xml:space="preserve"> models the dynamic life cycle of a system by depicting its states, internal activities, and transitions triggered by external events or conditions.</w:t>
      </w:r>
    </w:p>
    <w:p w14:paraId="245EAAC5">
      <w:pPr>
        <w:keepNext/>
        <w:spacing w:before="240" w:after="80"/>
      </w:pPr>
      <w:r>
        <w:rPr>
          <w:rFonts w:ascii="Calibri" w:hAnsi="Calibri"/>
          <w:b/>
          <w:color w:val="2563EB"/>
          <w:sz w:val="26"/>
        </w:rPr>
        <w:t>1. Internal Activities within Each State (UML Notation)</w:t>
      </w:r>
    </w:p>
    <w:tbl>
      <w:tblPr>
        <w:tblStyle w:val="3"/>
        <w:tblW w:w="0" w:type="auto"/>
        <w:jc w:val="center"/>
        <w:tblLayout w:type="autofit"/>
        <w:tblCellMar>
          <w:top w:w="0" w:type="dxa"/>
          <w:left w:w="108" w:type="dxa"/>
          <w:bottom w:w="0" w:type="dxa"/>
          <w:right w:w="108" w:type="dxa"/>
        </w:tblCellMar>
      </w:tblPr>
      <w:tblGrid>
        <w:gridCol w:w="2844"/>
        <w:gridCol w:w="2815"/>
        <w:gridCol w:w="2947"/>
      </w:tblGrid>
      <w:tr w14:paraId="0EEF2C09">
        <w:tblPrEx>
          <w:tblCellMar>
            <w:top w:w="0" w:type="dxa"/>
            <w:left w:w="108" w:type="dxa"/>
            <w:bottom w:w="0" w:type="dxa"/>
            <w:right w:w="108" w:type="dxa"/>
          </w:tblCellMar>
        </w:tblPrEx>
        <w:trPr>
          <w:jc w:val="center"/>
        </w:trPr>
        <w:tc>
          <w:tcPr>
            <w:tcW w:w="3312" w:type="dxa"/>
            <w:shd w:val="clear" w:color="auto" w:fill="1E40AF"/>
            <w:tcMar>
              <w:top w:w="120" w:type="dxa"/>
              <w:left w:w="150" w:type="dxa"/>
              <w:bottom w:w="120" w:type="dxa"/>
              <w:right w:w="150" w:type="dxa"/>
            </w:tcMar>
          </w:tcPr>
          <w:p w14:paraId="77E934BD">
            <w:r>
              <w:rPr>
                <w:b/>
                <w:color w:val="FFFFFF"/>
              </w:rPr>
              <w:t>State</w:t>
            </w:r>
          </w:p>
        </w:tc>
        <w:tc>
          <w:tcPr>
            <w:tcW w:w="3312" w:type="dxa"/>
            <w:shd w:val="clear" w:color="auto" w:fill="1E40AF"/>
            <w:tcMar>
              <w:top w:w="120" w:type="dxa"/>
              <w:left w:w="150" w:type="dxa"/>
              <w:bottom w:w="120" w:type="dxa"/>
              <w:right w:w="150" w:type="dxa"/>
            </w:tcMar>
          </w:tcPr>
          <w:p w14:paraId="44C05C07">
            <w:r>
              <w:rPr>
                <w:b/>
                <w:color w:val="FFFFFF"/>
              </w:rPr>
              <w:t>UML Activity Type</w:t>
            </w:r>
          </w:p>
        </w:tc>
        <w:tc>
          <w:tcPr>
            <w:tcW w:w="3312" w:type="dxa"/>
            <w:shd w:val="clear" w:color="auto" w:fill="1E40AF"/>
            <w:tcMar>
              <w:top w:w="120" w:type="dxa"/>
              <w:left w:w="150" w:type="dxa"/>
              <w:bottom w:w="120" w:type="dxa"/>
              <w:right w:w="150" w:type="dxa"/>
            </w:tcMar>
          </w:tcPr>
          <w:p w14:paraId="6B929986">
            <w:r>
              <w:rPr>
                <w:b/>
                <w:color w:val="FFFFFF"/>
              </w:rPr>
              <w:t>Description / Executed Action</w:t>
            </w:r>
          </w:p>
        </w:tc>
      </w:tr>
      <w:tr w14:paraId="64541FEF">
        <w:tblPrEx>
          <w:tblCellMar>
            <w:top w:w="0" w:type="dxa"/>
            <w:left w:w="108" w:type="dxa"/>
            <w:bottom w:w="0" w:type="dxa"/>
            <w:right w:w="108" w:type="dxa"/>
          </w:tblCellMar>
        </w:tblPrEx>
        <w:trPr>
          <w:jc w:val="center"/>
        </w:trPr>
        <w:tc>
          <w:tcPr>
            <w:tcW w:w="3312" w:type="dxa"/>
            <w:shd w:val="clear" w:color="auto" w:fill="F8FAFC"/>
            <w:tcMar>
              <w:top w:w="100" w:type="dxa"/>
              <w:left w:w="150" w:type="dxa"/>
              <w:bottom w:w="100" w:type="dxa"/>
              <w:right w:w="150" w:type="dxa"/>
            </w:tcMar>
          </w:tcPr>
          <w:p w14:paraId="7932ECC8">
            <w:r>
              <w:rPr>
                <w:b/>
              </w:rPr>
              <w:t>IDLE</w:t>
            </w:r>
          </w:p>
        </w:tc>
        <w:tc>
          <w:tcPr>
            <w:tcW w:w="3312" w:type="dxa"/>
            <w:shd w:val="clear" w:color="auto" w:fill="F8FAFC"/>
            <w:tcMar>
              <w:top w:w="100" w:type="dxa"/>
              <w:left w:w="150" w:type="dxa"/>
              <w:bottom w:w="100" w:type="dxa"/>
              <w:right w:w="150" w:type="dxa"/>
            </w:tcMar>
          </w:tcPr>
          <w:p w14:paraId="3F420F28">
            <w:r>
              <w:t>entry /</w:t>
            </w:r>
            <w:r>
              <w:br w:type="textWrapping"/>
            </w:r>
            <w:r>
              <w:t>do /</w:t>
            </w:r>
            <w:r>
              <w:br w:type="textWrapping"/>
            </w:r>
            <w:r>
              <w:t>exit /</w:t>
            </w:r>
          </w:p>
        </w:tc>
        <w:tc>
          <w:tcPr>
            <w:tcW w:w="3312" w:type="dxa"/>
            <w:shd w:val="clear" w:color="auto" w:fill="F8FAFC"/>
            <w:tcMar>
              <w:top w:w="100" w:type="dxa"/>
              <w:left w:w="150" w:type="dxa"/>
              <w:bottom w:w="100" w:type="dxa"/>
              <w:right w:w="150" w:type="dxa"/>
            </w:tcMar>
          </w:tcPr>
          <w:p w14:paraId="21F2488F">
            <w:r>
              <w:t>display 'Ready'</w:t>
            </w:r>
            <w:r>
              <w:br w:type="textWrapping"/>
            </w:r>
            <w:r>
              <w:t>wait for lever push</w:t>
            </w:r>
            <w:r>
              <w:br w:type="textWrapping"/>
            </w:r>
            <w:r>
              <w:t>engage lever lock mechanism</w:t>
            </w:r>
          </w:p>
        </w:tc>
      </w:tr>
      <w:tr w14:paraId="6788F29B">
        <w:tblPrEx>
          <w:tblCellMar>
            <w:top w:w="0" w:type="dxa"/>
            <w:left w:w="108" w:type="dxa"/>
            <w:bottom w:w="0" w:type="dxa"/>
            <w:right w:w="108" w:type="dxa"/>
          </w:tblCellMar>
        </w:tblPrEx>
        <w:trPr>
          <w:jc w:val="center"/>
        </w:trPr>
        <w:tc>
          <w:tcPr>
            <w:tcW w:w="3312" w:type="dxa"/>
            <w:tcMar>
              <w:top w:w="100" w:type="dxa"/>
              <w:left w:w="150" w:type="dxa"/>
              <w:bottom w:w="100" w:type="dxa"/>
              <w:right w:w="150" w:type="dxa"/>
            </w:tcMar>
          </w:tcPr>
          <w:p w14:paraId="1578EF01">
            <w:r>
              <w:rPr>
                <w:b/>
              </w:rPr>
              <w:t>HEATING</w:t>
            </w:r>
          </w:p>
        </w:tc>
        <w:tc>
          <w:tcPr>
            <w:tcW w:w="3312" w:type="dxa"/>
            <w:tcMar>
              <w:top w:w="100" w:type="dxa"/>
              <w:left w:w="150" w:type="dxa"/>
              <w:bottom w:w="100" w:type="dxa"/>
              <w:right w:w="150" w:type="dxa"/>
            </w:tcMar>
          </w:tcPr>
          <w:p w14:paraId="4112246E">
            <w:r>
              <w:t>entry /</w:t>
            </w:r>
            <w:r>
              <w:br w:type="textWrapping"/>
            </w:r>
            <w:r>
              <w:t>do /</w:t>
            </w:r>
            <w:r>
              <w:br w:type="textWrapping"/>
            </w:r>
            <w:r>
              <w:t>exit /</w:t>
            </w:r>
          </w:p>
        </w:tc>
        <w:tc>
          <w:tcPr>
            <w:tcW w:w="3312" w:type="dxa"/>
            <w:tcMar>
              <w:top w:w="100" w:type="dxa"/>
              <w:left w:w="150" w:type="dxa"/>
              <w:bottom w:w="100" w:type="dxa"/>
              <w:right w:w="150" w:type="dxa"/>
            </w:tcMar>
          </w:tcPr>
          <w:p w14:paraId="7DA7E98C">
            <w:r>
              <w:t>energize electromagnet</w:t>
            </w:r>
            <w:r>
              <w:br w:type="textWrapping"/>
            </w:r>
            <w:r>
              <w:t>supply power to heating coils &amp; run timer countdown</w:t>
            </w:r>
            <w:r>
              <w:br w:type="textWrapping"/>
            </w:r>
            <w:r>
              <w:t>cut power to coils &amp; release spring lever</w:t>
            </w:r>
          </w:p>
        </w:tc>
      </w:tr>
    </w:tbl>
    <w:p w14:paraId="44ED08F6"/>
    <w:p w14:paraId="577C4C0E"/>
    <w:p w14:paraId="28F00086"/>
    <w:p w14:paraId="70EF4040">
      <w:pPr>
        <w:keepNext/>
        <w:spacing w:before="280" w:after="80"/>
      </w:pPr>
      <w:r>
        <w:rPr>
          <w:rFonts w:ascii="Arial" w:hAnsi="Arial"/>
          <w:b/>
          <w:color w:val="008080"/>
          <w:sz w:val="24"/>
        </w:rPr>
        <w:t>2.1 States and Internal Activities</w:t>
      </w:r>
    </w:p>
    <w:p w14:paraId="2580D80E">
      <w:pPr>
        <w:spacing w:before="80" w:after="40"/>
      </w:pPr>
      <w:r>
        <w:rPr>
          <w:b/>
          <w:color w:val="182B49"/>
        </w:rPr>
        <w:t>1. Idle (Off / Standby) State</w:t>
      </w:r>
      <w:r>
        <w:rPr>
          <w:b/>
          <w:color w:val="182B49"/>
        </w:rPr>
        <w:br w:type="textWrapping"/>
      </w:r>
      <w:r>
        <w:rPr>
          <w:color w:val="333333"/>
        </w:rPr>
        <w:t>The toaster is plugged in with the carriage lever in the up position and heating elements unpowered. Internal activities include monitoring electrical continuity and maintaining the mechanical latch unlatched.</w:t>
      </w:r>
    </w:p>
    <w:p w14:paraId="5AED4DDA">
      <w:pPr>
        <w:spacing w:before="80" w:after="40"/>
      </w:pPr>
      <w:r>
        <w:rPr>
          <w:b/>
          <w:color w:val="182B49"/>
        </w:rPr>
        <w:t>2. Bread Loaded (Ready) State</w:t>
      </w:r>
      <w:r>
        <w:rPr>
          <w:b/>
          <w:color w:val="182B49"/>
        </w:rPr>
        <w:br w:type="textWrapping"/>
      </w:r>
      <w:r>
        <w:rPr>
          <w:color w:val="333333"/>
        </w:rPr>
        <w:t>Bread slices are inserted into slots, resting on the wire carriage. Internal activities include optical/mechanical bread presence detection and browning dial level scanning (1 to 5).</w:t>
      </w:r>
    </w:p>
    <w:p w14:paraId="5CD089F2">
      <w:pPr>
        <w:spacing w:before="80" w:after="40"/>
      </w:pPr>
      <w:r>
        <w:rPr>
          <w:b/>
          <w:color w:val="182B49"/>
        </w:rPr>
        <w:t>3. Toasting (Active Heating) State</w:t>
      </w:r>
      <w:r>
        <w:rPr>
          <w:b/>
          <w:color w:val="182B49"/>
        </w:rPr>
        <w:br w:type="textWrapping"/>
      </w:r>
      <w:r>
        <w:rPr>
          <w:color w:val="333333"/>
        </w:rPr>
        <w:t>Carriage lever depressed, mechanical latch engaged, internal circuit closed, nichrome wire heating elements glowing red, and thermal timer counting down. Internal activities include radiant heat generation, timer countdown, and ambient chassis temperature monitoring.</w:t>
      </w:r>
    </w:p>
    <w:p w14:paraId="4748FC61">
      <w:pPr>
        <w:spacing w:before="80" w:after="40"/>
      </w:pPr>
      <w:r>
        <w:rPr>
          <w:b/>
          <w:color w:val="182B49"/>
        </w:rPr>
        <w:t>4. Completed / Popped-Up State</w:t>
      </w:r>
      <w:r>
        <w:rPr>
          <w:b/>
          <w:color w:val="182B49"/>
        </w:rPr>
        <w:br w:type="textWrapping"/>
      </w:r>
      <w:r>
        <w:rPr>
          <w:color w:val="333333"/>
        </w:rPr>
        <w:t>Timer expired or cancel button pressed, releasing the magnetic/mechanical latch, causing spring tension to push carriage upward. Internal activities include power cut-off to heating elements, mechanical release, and optional audio buzzer activation.</w:t>
      </w:r>
    </w:p>
    <w:p w14:paraId="373FBCD8"/>
    <w:p w14:paraId="58AE191D">
      <w:pPr>
        <w:keepNext/>
        <w:spacing w:before="240" w:after="80"/>
      </w:pPr>
      <w:r>
        <w:rPr>
          <w:rFonts w:ascii="Calibri" w:hAnsi="Calibri"/>
          <w:b/>
          <w:color w:val="2563EB"/>
          <w:sz w:val="26"/>
        </w:rPr>
        <w:t>2. Triggered vs. Triggerless Events &amp; Actions</w:t>
      </w:r>
    </w:p>
    <w:p w14:paraId="1FAA7A3B">
      <w:r>
        <w:rPr>
          <w:b/>
        </w:rPr>
        <w:t xml:space="preserve">• Triggered Events: </w:t>
      </w:r>
      <w:r>
        <w:t>Explicitly initiated by an external user or sensor input.</w:t>
      </w:r>
      <w:r>
        <w:br w:type="textWrapping"/>
      </w:r>
      <w:r>
        <w:rPr>
          <w:b/>
        </w:rPr>
        <w:t xml:space="preserve">   - push_lever_down: </w:t>
      </w:r>
      <w:r>
        <w:t>User manually presses the handle down (Triggers transition from IDLE to HEATING).</w:t>
      </w:r>
      <w:r>
        <w:br w:type="textWrapping"/>
      </w:r>
      <w:r>
        <w:rPr>
          <w:b/>
        </w:rPr>
        <w:t xml:space="preserve">   - press_cancel_button: </w:t>
      </w:r>
      <w:r>
        <w:t>User interrupts the cycle (Triggers immediate pop up).</w:t>
      </w:r>
      <w:r>
        <w:br w:type="textWrapping"/>
      </w:r>
      <w:r>
        <w:br w:type="textWrapping"/>
      </w:r>
      <w:r>
        <w:rPr>
          <w:b/>
        </w:rPr>
        <w:t xml:space="preserve">• Triggerless Events / Actions: </w:t>
      </w:r>
      <w:r>
        <w:t>Automatic completion transitions executed internally when condition/timer expires.</w:t>
      </w:r>
      <w:r>
        <w:br w:type="textWrapping"/>
      </w:r>
      <w:r>
        <w:rPr>
          <w:b/>
        </w:rPr>
        <w:t xml:space="preserve">   - timer_expired: </w:t>
      </w:r>
      <w:r>
        <w:t>System automatically transitions from HEATING back to IDLE without external intervention.</w:t>
      </w:r>
      <w:r>
        <w:br w:type="textWrapping"/>
      </w:r>
      <w:r>
        <w:rPr>
          <w:b/>
        </w:rPr>
        <w:t xml:space="preserve">   - pop_up_toast &amp; sound_beep: </w:t>
      </w:r>
      <w:r>
        <w:t>Automatic actions executed upon completing heating.</w:t>
      </w:r>
    </w:p>
    <w:p w14:paraId="37644F9C"/>
    <w:p w14:paraId="64637A07"/>
    <w:p w14:paraId="6E45F101">
      <w:r>
        <w:drawing>
          <wp:inline distT="0" distB="0" distL="114300" distR="114300">
            <wp:extent cx="5669280" cy="343916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439788"/>
                    </a:xfrm>
                    <a:prstGeom prst="rect">
                      <a:avLst/>
                    </a:prstGeom>
                  </pic:spPr>
                </pic:pic>
              </a:graphicData>
            </a:graphic>
          </wp:inline>
        </w:drawing>
      </w:r>
    </w:p>
    <w:p w14:paraId="0F0032A8"/>
    <w:p w14:paraId="18FA5AEB"/>
    <w:p w14:paraId="565399E3">
      <w:pPr>
        <w:keepNext/>
        <w:spacing w:before="320" w:after="120"/>
      </w:pPr>
      <w:r>
        <w:rPr>
          <w:rFonts w:ascii="Calibri" w:hAnsi="Calibri"/>
          <w:b/>
          <w:color w:val="1E3A8A"/>
          <w:sz w:val="32"/>
        </w:rPr>
        <w:t>Question 3: State Machine Diagram of Elevator / Lift System</w:t>
      </w:r>
    </w:p>
    <w:p w14:paraId="2C75F542">
      <w:r>
        <w:t>The elevator system coordinates movement across multiple floors based on user floor selection and hall calls. It operates through distinct state transitions governed by directional control logic.</w:t>
      </w:r>
    </w:p>
    <w:p w14:paraId="78F31B91">
      <w:pPr>
        <w:keepNext/>
        <w:spacing w:before="240" w:after="80"/>
      </w:pPr>
      <w:r>
        <w:rPr>
          <w:rFonts w:ascii="Calibri" w:hAnsi="Calibri"/>
          <w:b/>
          <w:color w:val="2563EB"/>
          <w:sz w:val="26"/>
        </w:rPr>
        <w:t>Elevator System States Description</w:t>
      </w:r>
    </w:p>
    <w:tbl>
      <w:tblPr>
        <w:tblStyle w:val="3"/>
        <w:tblW w:w="0" w:type="auto"/>
        <w:jc w:val="center"/>
        <w:tblLayout w:type="autofit"/>
        <w:tblCellMar>
          <w:top w:w="0" w:type="dxa"/>
          <w:left w:w="108" w:type="dxa"/>
          <w:bottom w:w="0" w:type="dxa"/>
          <w:right w:w="108" w:type="dxa"/>
        </w:tblCellMar>
      </w:tblPr>
      <w:tblGrid>
        <w:gridCol w:w="4260"/>
        <w:gridCol w:w="4346"/>
      </w:tblGrid>
      <w:tr w14:paraId="4C80A54C">
        <w:tblPrEx>
          <w:tblCellMar>
            <w:top w:w="0" w:type="dxa"/>
            <w:left w:w="108" w:type="dxa"/>
            <w:bottom w:w="0" w:type="dxa"/>
            <w:right w:w="108" w:type="dxa"/>
          </w:tblCellMar>
        </w:tblPrEx>
        <w:trPr>
          <w:jc w:val="center"/>
        </w:trPr>
        <w:tc>
          <w:tcPr>
            <w:tcW w:w="4968" w:type="dxa"/>
            <w:shd w:val="clear" w:color="auto" w:fill="16A34A"/>
            <w:tcMar>
              <w:top w:w="120" w:type="dxa"/>
              <w:left w:w="150" w:type="dxa"/>
              <w:bottom w:w="120" w:type="dxa"/>
              <w:right w:w="150" w:type="dxa"/>
            </w:tcMar>
          </w:tcPr>
          <w:p w14:paraId="04B77673">
            <w:r>
              <w:rPr>
                <w:b/>
                <w:color w:val="FFFFFF"/>
              </w:rPr>
              <w:t>Elevator State</w:t>
            </w:r>
          </w:p>
        </w:tc>
        <w:tc>
          <w:tcPr>
            <w:tcW w:w="4968" w:type="dxa"/>
            <w:shd w:val="clear" w:color="auto" w:fill="16A34A"/>
            <w:tcMar>
              <w:top w:w="120" w:type="dxa"/>
              <w:left w:w="150" w:type="dxa"/>
              <w:bottom w:w="120" w:type="dxa"/>
              <w:right w:w="150" w:type="dxa"/>
            </w:tcMar>
          </w:tcPr>
          <w:p w14:paraId="44B6BA05">
            <w:r>
              <w:rPr>
                <w:b/>
                <w:color w:val="FFFFFF"/>
              </w:rPr>
              <w:t>Description &amp; State Behavior</w:t>
            </w:r>
          </w:p>
        </w:tc>
      </w:tr>
      <w:tr w14:paraId="59B9C2FC">
        <w:tblPrEx>
          <w:tblCellMar>
            <w:top w:w="0" w:type="dxa"/>
            <w:left w:w="108" w:type="dxa"/>
            <w:bottom w:w="0" w:type="dxa"/>
            <w:right w:w="108" w:type="dxa"/>
          </w:tblCellMar>
        </w:tblPrEx>
        <w:trPr>
          <w:jc w:val="center"/>
        </w:trPr>
        <w:tc>
          <w:tcPr>
            <w:tcW w:w="4968" w:type="dxa"/>
            <w:shd w:val="clear" w:color="auto" w:fill="F0FDF4"/>
            <w:tcMar>
              <w:top w:w="100" w:type="dxa"/>
              <w:left w:w="150" w:type="dxa"/>
              <w:bottom w:w="100" w:type="dxa"/>
              <w:right w:w="150" w:type="dxa"/>
            </w:tcMar>
          </w:tcPr>
          <w:p w14:paraId="54CB0C0D">
            <w:r>
              <w:rPr>
                <w:b/>
              </w:rPr>
              <w:t>IDLE</w:t>
            </w:r>
          </w:p>
        </w:tc>
        <w:tc>
          <w:tcPr>
            <w:tcW w:w="4968" w:type="dxa"/>
            <w:shd w:val="clear" w:color="auto" w:fill="F0FDF4"/>
            <w:tcMar>
              <w:top w:w="100" w:type="dxa"/>
              <w:left w:w="150" w:type="dxa"/>
              <w:bottom w:w="100" w:type="dxa"/>
              <w:right w:w="150" w:type="dxa"/>
            </w:tcMar>
          </w:tcPr>
          <w:p w14:paraId="7AD48363">
            <w:r>
              <w:t>The lift is stationary at a floor with doors closed, waiting for floor call requests.</w:t>
            </w:r>
          </w:p>
        </w:tc>
      </w:tr>
      <w:tr w14:paraId="699ED49C">
        <w:tblPrEx>
          <w:tblCellMar>
            <w:top w:w="0" w:type="dxa"/>
            <w:left w:w="108" w:type="dxa"/>
            <w:bottom w:w="0" w:type="dxa"/>
            <w:right w:w="108" w:type="dxa"/>
          </w:tblCellMar>
        </w:tblPrEx>
        <w:trPr>
          <w:jc w:val="center"/>
        </w:trPr>
        <w:tc>
          <w:tcPr>
            <w:tcW w:w="4968" w:type="dxa"/>
            <w:tcMar>
              <w:top w:w="100" w:type="dxa"/>
              <w:left w:w="150" w:type="dxa"/>
              <w:bottom w:w="100" w:type="dxa"/>
              <w:right w:w="150" w:type="dxa"/>
            </w:tcMar>
          </w:tcPr>
          <w:p w14:paraId="36E8497C">
            <w:r>
              <w:rPr>
                <w:b/>
              </w:rPr>
              <w:t>MOVING UP</w:t>
            </w:r>
          </w:p>
        </w:tc>
        <w:tc>
          <w:tcPr>
            <w:tcW w:w="4968" w:type="dxa"/>
            <w:tcMar>
              <w:top w:w="100" w:type="dxa"/>
              <w:left w:w="150" w:type="dxa"/>
              <w:bottom w:w="100" w:type="dxa"/>
              <w:right w:w="150" w:type="dxa"/>
            </w:tcMar>
          </w:tcPr>
          <w:p w14:paraId="6CF6DD6D">
            <w:r>
              <w:t>The motor drives the car upward towards higher target floors, continuously updating floor position indicators.</w:t>
            </w:r>
          </w:p>
        </w:tc>
      </w:tr>
      <w:tr w14:paraId="67F1C8E9">
        <w:tblPrEx>
          <w:tblCellMar>
            <w:top w:w="0" w:type="dxa"/>
            <w:left w:w="108" w:type="dxa"/>
            <w:bottom w:w="0" w:type="dxa"/>
            <w:right w:w="108" w:type="dxa"/>
          </w:tblCellMar>
        </w:tblPrEx>
        <w:trPr>
          <w:jc w:val="center"/>
        </w:trPr>
        <w:tc>
          <w:tcPr>
            <w:tcW w:w="4968" w:type="dxa"/>
            <w:shd w:val="clear" w:color="auto" w:fill="F0FDF4"/>
            <w:tcMar>
              <w:top w:w="100" w:type="dxa"/>
              <w:left w:w="150" w:type="dxa"/>
              <w:bottom w:w="100" w:type="dxa"/>
              <w:right w:w="150" w:type="dxa"/>
            </w:tcMar>
          </w:tcPr>
          <w:p w14:paraId="2898F943">
            <w:r>
              <w:rPr>
                <w:b/>
              </w:rPr>
              <w:t>MOVING DOWN</w:t>
            </w:r>
          </w:p>
        </w:tc>
        <w:tc>
          <w:tcPr>
            <w:tcW w:w="4968" w:type="dxa"/>
            <w:shd w:val="clear" w:color="auto" w:fill="F0FDF4"/>
            <w:tcMar>
              <w:top w:w="100" w:type="dxa"/>
              <w:left w:w="150" w:type="dxa"/>
              <w:bottom w:w="100" w:type="dxa"/>
              <w:right w:w="150" w:type="dxa"/>
            </w:tcMar>
          </w:tcPr>
          <w:p w14:paraId="6ABCF335">
            <w:r>
              <w:t>The motor drives the car downward towards lower target floors, continuously updating position metrics.</w:t>
            </w:r>
          </w:p>
        </w:tc>
      </w:tr>
      <w:tr w14:paraId="64BCF17E">
        <w:tblPrEx>
          <w:tblCellMar>
            <w:top w:w="0" w:type="dxa"/>
            <w:left w:w="108" w:type="dxa"/>
            <w:bottom w:w="0" w:type="dxa"/>
            <w:right w:w="108" w:type="dxa"/>
          </w:tblCellMar>
        </w:tblPrEx>
        <w:trPr>
          <w:jc w:val="center"/>
        </w:trPr>
        <w:tc>
          <w:tcPr>
            <w:tcW w:w="4968" w:type="dxa"/>
            <w:tcMar>
              <w:top w:w="100" w:type="dxa"/>
              <w:left w:w="150" w:type="dxa"/>
              <w:bottom w:w="100" w:type="dxa"/>
              <w:right w:w="150" w:type="dxa"/>
            </w:tcMar>
          </w:tcPr>
          <w:p w14:paraId="7E7119C7">
            <w:r>
              <w:rPr>
                <w:b/>
              </w:rPr>
              <w:t>DOORS OPEN</w:t>
            </w:r>
          </w:p>
        </w:tc>
        <w:tc>
          <w:tcPr>
            <w:tcW w:w="4968" w:type="dxa"/>
            <w:tcMar>
              <w:top w:w="100" w:type="dxa"/>
              <w:left w:w="150" w:type="dxa"/>
              <w:bottom w:w="100" w:type="dxa"/>
              <w:right w:w="150" w:type="dxa"/>
            </w:tcMar>
          </w:tcPr>
          <w:p w14:paraId="206E3755">
            <w:r>
              <w:t>The lift has reached the destination floor; doors open for passenger ingress/egress for a set duration (e.g., 5 seconds) before closing automatically.</w:t>
            </w:r>
          </w:p>
        </w:tc>
      </w:tr>
    </w:tbl>
    <w:p w14:paraId="4A3B19A0"/>
    <w:p w14:paraId="6F165B3C"/>
    <w:p w14:paraId="11B6F1E6">
      <w:r>
        <w:drawing>
          <wp:inline distT="0" distB="0" distL="0" distR="0">
            <wp:extent cx="5937250" cy="2857500"/>
            <wp:effectExtent l="0" t="0" r="6350" b="0"/>
            <wp:docPr id="1152055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534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37250" cy="285750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759C5"/>
    <w:rsid w:val="6FF75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2026-10-27T13:47:00Z</dcterms:created>
  <dc:creator>ahmed</dc:creator>
  <cp:lastModifiedBy>ahmed</cp:lastModifiedBy>
  <dcterms:modified xsi:type="dcterms:W3CDTF">2026-10-27T13:59:51Z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B7E6D83188914EB5A6978977F2BDDFB6_11</vt:lpwstr>
  </property>
  <property fmtid="{D5CDD505-2E9C-101B-9397-08002B2CF9AE}" pid="4" name="KSOTemplateDocerSaveRecord">
    <vt:lpwstr>eyJoZGlkIjoiZTg5NWMzNDI4MTY0ZGFjMjRlOGExMjg0YWQwNDg3NjMifQ==</vt:lpwstr>
  </property>
</Properties>
</file>