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 Ticket Classification Using Flow Designer</w:t>
      </w:r>
    </w:p>
    <w:p>
      <w:pPr>
        <w:pStyle w:val="Heading1"/>
      </w:pPr>
      <w:r>
        <w:t>10. Traceability to Supplied Templates</w:t>
      </w:r>
    </w:p>
    <w:p>
      <w:r>
        <w:t>The deliverable follows the supplied templates: the journey map uses the provided stages such as steps, interactions, touchpoints, goals/motivations, positive/negative moments and opportunities; the DFD follows the definition of showing data entry/exit, transformation and storage; user stories use the specified columns; solution requirements use Functional and Non-functional Requirements; and the technology section follows the Components &amp; Technologies and Application Characteristics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