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drawing>
          <wp:inline distT="0" distB="0" distL="0" distR="0">
            <wp:extent cx="13335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33500" cy="1219200"/>
                    </a:xfrm>
                    <a:prstGeom prst="rect">
                      <a:avLst/>
                    </a:prstGeom>
                  </pic:spPr>
                </pic:pic>
              </a:graphicData>
            </a:graphic>
          </wp:inline>
        </w:drawing>
      </w:r>
    </w:p>
    <w:p>
      <w:pPr>
        <w:spacing w:after="100"/>
        <w:jc w:val="center"/>
      </w:pPr>
      <w:r>
        <w:rPr>
          <w:b/>
          <w:bCs/>
          <w:color w:val="0064B4"/>
          <w:sz w:val="56"/>
          <w:szCs w:val="56"/>
        </w:rPr>
        <w:t xml:space="preserve">ACCBCF</w:t>
      </w:r>
    </w:p>
    <w:p>
      <w:pPr>
        <w:spacing w:after="200"/>
        <w:jc w:val="center"/>
      </w:pPr>
      <w:r>
        <w:rPr>
          <w:color w:val="1A1A1A"/>
          <w:sz w:val="28"/>
          <w:szCs w:val="28"/>
        </w:rPr>
        <w:t xml:space="preserve">Africa China Chairmen of Business Forum</w:t>
      </w:r>
    </w:p>
    <w:p>
      <w:pPr>
        <w:spacing w:after="100"/>
        <w:jc w:val="center"/>
      </w:pPr>
      <w:r>
        <w:rPr>
          <w:b/>
          <w:bCs/>
          <w:color w:val="F0B428"/>
          <w:sz w:val="32"/>
          <w:szCs w:val="32"/>
        </w:rPr>
        <w:t xml:space="preserve">Website Product Bible</w:t>
      </w:r>
    </w:p>
    <w:p>
      <w:pPr>
        <w:spacing w:after="400"/>
        <w:jc w:val="center"/>
      </w:pPr>
      <w:r>
        <w:rPr>
          <w:i/>
          <w:iCs/>
          <w:color w:val="6B7280"/>
          <w:sz w:val="22"/>
          <w:szCs w:val="22"/>
        </w:rPr>
        <w:t xml:space="preserve">Brand System · Site Structure · Content Spec · Technical Blueprint (Next.js Edition)</w:t>
      </w:r>
    </w:p>
    <w:p>
      <w:pPr>
        <w:jc w:val="center"/>
      </w:pPr>
      <w:r>
        <w:rPr>
          <w:i/>
          <w:iCs/>
          <w:color w:val="1A1A1A"/>
          <w:sz w:val="20"/>
          <w:szCs w:val="20"/>
        </w:rPr>
        <w:t xml:space="preserve">Connecting Governments · Empowering Business · Creating Shared Prosperity</w:t>
      </w:r>
    </w:p>
    <w:p>
      <w:r>
        <w:br w:type="page"/>
      </w:r>
    </w:p>
    <w:p>
      <w:pPr>
        <w:pStyle w:val="Heading1"/>
        <w:spacing w:after="200" w:before="400"/>
      </w:pPr>
      <w:r>
        <w:t xml:space="preserve">1. Organization Overview</w:t>
      </w:r>
    </w:p>
    <w:p>
      <w:pPr>
        <w:pStyle w:val="Heading2"/>
        <w:spacing w:after="150" w:before="300"/>
      </w:pPr>
      <w:r>
        <w:t xml:space="preserve">1.1 About ACCBCF</w:t>
      </w:r>
    </w:p>
    <w:p>
      <w:pPr>
        <w:spacing w:after="120"/>
      </w:pPr>
      <w:r>
        <w:t xml:space="preserve">The Africa China Chairmen of Business Forum (ACCBCF) is an international business cooperation platform headquartered in Abuja, Nigeria — serving West Africa, covering the African continent, connecting China, and engaging with the global business community.</w:t>
      </w:r>
    </w:p>
    <w:p>
      <w:pPr>
        <w:spacing w:after="120"/>
      </w:pPr>
      <w:r>
        <w:t xml:space="preserve">ACCBCF is committed to promoting China–Africa economic cooperation and industrial development by building a high-level collaboration platform connecting governments, enterprises, chambers of commerce, financial institutions, international organizations, and investment partners.</w:t>
      </w:r>
    </w:p>
    <w:p>
      <w:pPr>
        <w:spacing w:after="120"/>
      </w:pPr>
      <w:r>
        <w:t xml:space="preserve">Established on 30 March 2026 in Abuja, the Federal Capital Territory of Nigeria, ACCBCF represents a new milestone in institutionalized, professional, and international China–Africa business cooperation.</w:t>
      </w:r>
    </w:p>
    <w:p>
      <w:pPr>
        <w:spacing w:after="120"/>
      </w:pPr>
      <w:r>
        <w:rPr>
          <w:b/>
          <w:bCs/>
        </w:rPr>
        <w:t xml:space="preserve">Guiding principles: Government Guidance, Chamber Collaboration, Enterprise Leadership, Market Orientation, and Win-Win Cooperation.</w:t>
      </w:r>
    </w:p>
    <w:p>
      <w:pPr>
        <w:pStyle w:val="Heading2"/>
        <w:spacing w:after="150" w:before="300"/>
      </w:pPr>
      <w:r>
        <w:t xml:space="preserve">1.2 Vision</w:t>
      </w:r>
    </w:p>
    <w:p>
      <w:pPr>
        <w:spacing w:after="120"/>
      </w:pPr>
      <w:r>
        <w:t xml:space="preserve">To become a leading Africa–China business cooperation platform connecting governments, business communities, financial institutions, and international organizations — with global influence, credibility, and strong project implementation capability.</w:t>
      </w:r>
    </w:p>
    <w:p>
      <w:pPr>
        <w:pStyle w:val="Heading2"/>
        <w:spacing w:after="150" w:before="300"/>
      </w:pPr>
      <w:r>
        <w:t xml:space="preserve">1.3 Mission</w:t>
      </w:r>
    </w:p>
    <w:p>
      <w:pPr>
        <w:spacing w:after="120"/>
      </w:pPr>
      <w:r>
        <w:t xml:space="preserve">To promote practical cooperation between Africa and China in policy dialogue, trade and investment, industrial cooperation, innovation, financial connectivity, cultural exchange, and sustainable development — contributing to a closer China–Africa community with a shared future.</w:t>
      </w:r>
    </w:p>
    <w:p>
      <w:pPr>
        <w:pStyle w:val="Heading2"/>
        <w:spacing w:after="150" w:before="300"/>
      </w:pPr>
      <w:r>
        <w:t xml:space="preserve">1.4 Core Values</w:t>
      </w:r>
    </w:p>
    <w:p>
      <w:pPr>
        <w:pStyle w:val="ListParagraph"/>
        <w:numPr>
          <w:ilvl w:val="0"/>
          <w:numId w:val="1"/>
        </w:numPr>
        <w:spacing w:after="60"/>
      </w:pPr>
      <w:r>
        <w:t xml:space="preserve">Integrity</w:t>
      </w:r>
    </w:p>
    <w:p>
      <w:pPr>
        <w:pStyle w:val="ListParagraph"/>
        <w:numPr>
          <w:ilvl w:val="0"/>
          <w:numId w:val="1"/>
        </w:numPr>
        <w:spacing w:after="60"/>
      </w:pPr>
      <w:r>
        <w:t xml:space="preserve">Professionalism</w:t>
      </w:r>
    </w:p>
    <w:p>
      <w:pPr>
        <w:pStyle w:val="ListParagraph"/>
        <w:numPr>
          <w:ilvl w:val="0"/>
          <w:numId w:val="1"/>
        </w:numPr>
        <w:spacing w:after="60"/>
      </w:pPr>
      <w:r>
        <w:t xml:space="preserve">Cooperation</w:t>
      </w:r>
    </w:p>
    <w:p>
      <w:pPr>
        <w:pStyle w:val="ListParagraph"/>
        <w:numPr>
          <w:ilvl w:val="0"/>
          <w:numId w:val="1"/>
        </w:numPr>
        <w:spacing w:after="60"/>
      </w:pPr>
      <w:r>
        <w:t xml:space="preserve">Innovation</w:t>
      </w:r>
    </w:p>
    <w:p>
      <w:pPr>
        <w:pStyle w:val="ListParagraph"/>
        <w:numPr>
          <w:ilvl w:val="0"/>
          <w:numId w:val="1"/>
        </w:numPr>
        <w:spacing w:after="60"/>
      </w:pPr>
      <w:r>
        <w:t xml:space="preserve">Sustainability</w:t>
      </w:r>
    </w:p>
    <w:p>
      <w:pPr>
        <w:pStyle w:val="ListParagraph"/>
        <w:numPr>
          <w:ilvl w:val="0"/>
          <w:numId w:val="1"/>
        </w:numPr>
        <w:spacing w:after="60"/>
      </w:pPr>
      <w:r>
        <w:t xml:space="preserve">Mutual Benefit</w:t>
      </w:r>
    </w:p>
    <w:p>
      <w:pPr>
        <w:pStyle w:val="Heading2"/>
        <w:spacing w:after="150" w:before="300"/>
      </w:pPr>
      <w:r>
        <w:t xml:space="preserve">1.5 Official Slogan</w:t>
      </w:r>
    </w:p>
    <w:p>
      <w:pPr>
        <w:spacing w:after="120"/>
      </w:pPr>
      <w:r>
        <w:rPr>
          <w:b/>
          <w:bCs/>
          <w:color w:val="0064B4"/>
        </w:rPr>
        <w:t xml:space="preserve">Connecting Governments · Empowering Business · Creating Shared Prosperity</w:t>
      </w:r>
    </w:p>
    <w:p>
      <w:pPr>
        <w:pStyle w:val="Heading2"/>
        <w:spacing w:after="150" w:before="300"/>
      </w:pPr>
      <w:r>
        <w:t xml:space="preserve">1.6 Strategic Positioning</w:t>
      </w:r>
    </w:p>
    <w:p>
      <w:pPr>
        <w:spacing w:after="120"/>
      </w:pPr>
      <w:r>
        <w:t xml:space="preserve">Based in Nigeria, serving West Africa, covering Africa, connecting China, and engaging globally. ACCBCF focuses on four strategic cooperation models:</w:t>
      </w:r>
    </w:p>
    <w:p>
      <w:pPr>
        <w:pStyle w:val="ListParagraph"/>
        <w:numPr>
          <w:ilvl w:val="0"/>
          <w:numId w:val="1"/>
        </w:numPr>
        <w:spacing w:after="60"/>
      </w:pPr>
      <w:r>
        <w:t xml:space="preserve">Government to Government (G2G)</w:t>
      </w:r>
    </w:p>
    <w:p>
      <w:pPr>
        <w:pStyle w:val="ListParagraph"/>
        <w:numPr>
          <w:ilvl w:val="0"/>
          <w:numId w:val="1"/>
        </w:numPr>
        <w:spacing w:after="60"/>
      </w:pPr>
      <w:r>
        <w:t xml:space="preserve">Government to Business (G2B)</w:t>
      </w:r>
    </w:p>
    <w:p>
      <w:pPr>
        <w:pStyle w:val="ListParagraph"/>
        <w:numPr>
          <w:ilvl w:val="0"/>
          <w:numId w:val="1"/>
        </w:numPr>
        <w:spacing w:after="60"/>
      </w:pPr>
      <w:r>
        <w:t xml:space="preserve">Business to Business (B2B)</w:t>
      </w:r>
    </w:p>
    <w:p>
      <w:pPr>
        <w:pStyle w:val="ListParagraph"/>
        <w:numPr>
          <w:ilvl w:val="0"/>
          <w:numId w:val="1"/>
        </w:numPr>
        <w:spacing w:after="60"/>
      </w:pPr>
      <w:r>
        <w:t xml:space="preserve">Business to Capital (B2C)</w:t>
      </w:r>
    </w:p>
    <w:p>
      <w:pPr>
        <w:spacing w:after="120"/>
      </w:pPr>
      <w:r>
        <w:t xml:space="preserve">Providing integrated services covering policy dialogue, resource integration, investment promotion, project incubation, industrial implementation, international communication, and financial services.</w:t>
      </w:r>
    </w:p>
    <w:p>
      <w:pPr>
        <w:pStyle w:val="Heading2"/>
        <w:spacing w:after="150" w:before="300"/>
      </w:pPr>
      <w:r>
        <w:t xml:space="preserve">1.7 Platform Advantages</w:t>
      </w:r>
    </w:p>
    <w:p>
      <w:pPr>
        <w:pStyle w:val="ListParagraph"/>
        <w:numPr>
          <w:ilvl w:val="0"/>
          <w:numId w:val="1"/>
        </w:numPr>
        <w:spacing w:after="60"/>
      </w:pPr>
      <w:r>
        <w:t xml:space="preserve">Government Connectivity — facilitating policy dialogue and government cooperation</w:t>
      </w:r>
    </w:p>
    <w:p>
      <w:pPr>
        <w:pStyle w:val="ListParagraph"/>
        <w:numPr>
          <w:ilvl w:val="0"/>
          <w:numId w:val="1"/>
        </w:numPr>
        <w:spacing w:after="60"/>
      </w:pPr>
      <w:r>
        <w:t xml:space="preserve">Industrial Collaboration — supporting industrial cooperation and value-chain development</w:t>
      </w:r>
    </w:p>
    <w:p>
      <w:pPr>
        <w:pStyle w:val="ListParagraph"/>
        <w:numPr>
          <w:ilvl w:val="0"/>
          <w:numId w:val="1"/>
        </w:numPr>
        <w:spacing w:after="60"/>
      </w:pPr>
      <w:r>
        <w:t xml:space="preserve">Investment Promotion — promoting investment and project implementation</w:t>
      </w:r>
    </w:p>
    <w:p>
      <w:pPr>
        <w:pStyle w:val="ListParagraph"/>
        <w:numPr>
          <w:ilvl w:val="0"/>
          <w:numId w:val="1"/>
        </w:numPr>
        <w:spacing w:after="60"/>
      </w:pPr>
      <w:r>
        <w:t xml:space="preserve">International Resource Network — integrating global resources and building partnerships</w:t>
      </w:r>
    </w:p>
    <w:p>
      <w:pPr>
        <w:pStyle w:val="ListParagraph"/>
        <w:numPr>
          <w:ilvl w:val="0"/>
          <w:numId w:val="1"/>
        </w:numPr>
        <w:spacing w:after="60"/>
      </w:pPr>
      <w:r>
        <w:t xml:space="preserve">Financial Services — providing financing solutions and investment facilitation</w:t>
      </w:r>
    </w:p>
    <w:p>
      <w:pPr>
        <w:pStyle w:val="ListParagraph"/>
        <w:numPr>
          <w:ilvl w:val="0"/>
          <w:numId w:val="1"/>
        </w:numPr>
        <w:spacing w:after="60"/>
      </w:pPr>
      <w:r>
        <w:t xml:space="preserve">International Communication — enhancing global visibility</w:t>
      </w:r>
    </w:p>
    <w:p>
      <w:pPr>
        <w:pStyle w:val="Heading2"/>
        <w:spacing w:after="150" w:before="300"/>
      </w:pPr>
      <w:r>
        <w:t xml:space="preserve">1.8 Priority Sectors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c>
          <w:tcPr>
            <w:tcW w:type="dxa" w:w="4750"/>
            <w:shd w:fill="0064B4" w:val="clear"/>
          </w:tcPr>
          <w:p>
            <w:r>
              <w:rPr>
                <w:b/>
                <w:bCs/>
                <w:color w:val="FFFFFF"/>
                <w:sz w:val="20"/>
                <w:szCs w:val="20"/>
              </w:rPr>
              <w:t xml:space="preserve">Sector</w:t>
            </w:r>
          </w:p>
        </w:tc>
        <w:tc>
          <w:tcPr>
            <w:tcW w:type="dxa" w:w="4750"/>
            <w:shd w:fill="0064B4" w:val="clear"/>
          </w:tcPr>
          <w:p>
            <w:r>
              <w:rPr>
                <w:b/>
                <w:bCs/>
                <w:color w:val="FFFFFF"/>
                <w:sz w:val="20"/>
                <w:szCs w:val="20"/>
              </w:rPr>
              <w:t xml:space="preserve">Sector</w:t>
            </w:r>
          </w:p>
        </w:tc>
      </w:tr>
      <w:tr>
        <w:tc>
          <w:tcPr>
            <w:tcW w:type="dxa" w:w="4750"/>
          </w:tcPr>
          <w:p>
            <w:r>
              <w:rPr>
                <w:b w:val="false"/>
                <w:bCs w:val="false"/>
                <w:color w:val="1A1A1A"/>
                <w:sz w:val="20"/>
                <w:szCs w:val="20"/>
              </w:rPr>
              <w:t xml:space="preserve">Agriculture</w:t>
            </w:r>
          </w:p>
        </w:tc>
        <w:tc>
          <w:tcPr>
            <w:tcW w:type="dxa" w:w="4750"/>
          </w:tcPr>
          <w:p>
            <w:r>
              <w:rPr>
                <w:b w:val="false"/>
                <w:bCs w:val="false"/>
                <w:color w:val="1A1A1A"/>
                <w:sz w:val="20"/>
                <w:szCs w:val="20"/>
              </w:rPr>
              <w:t xml:space="preserve">Financial Services</w:t>
            </w:r>
          </w:p>
        </w:tc>
      </w:tr>
      <w:tr>
        <w:tc>
          <w:tcPr>
            <w:tcW w:type="dxa" w:w="4750"/>
          </w:tcPr>
          <w:p>
            <w:r>
              <w:rPr>
                <w:b w:val="false"/>
                <w:bCs w:val="false"/>
                <w:color w:val="1A1A1A"/>
                <w:sz w:val="20"/>
                <w:szCs w:val="20"/>
              </w:rPr>
              <w:t xml:space="preserve">Mining</w:t>
            </w:r>
          </w:p>
        </w:tc>
        <w:tc>
          <w:tcPr>
            <w:tcW w:type="dxa" w:w="4750"/>
          </w:tcPr>
          <w:p>
            <w:r>
              <w:rPr>
                <w:b w:val="false"/>
                <w:bCs w:val="false"/>
                <w:color w:val="1A1A1A"/>
                <w:sz w:val="20"/>
                <w:szCs w:val="20"/>
              </w:rPr>
              <w:t xml:space="preserve">Digital Economy</w:t>
            </w:r>
          </w:p>
        </w:tc>
      </w:tr>
      <w:tr>
        <w:tc>
          <w:tcPr>
            <w:tcW w:type="dxa" w:w="4750"/>
          </w:tcPr>
          <w:p>
            <w:r>
              <w:rPr>
                <w:b w:val="false"/>
                <w:bCs w:val="false"/>
                <w:color w:val="1A1A1A"/>
                <w:sz w:val="20"/>
                <w:szCs w:val="20"/>
              </w:rPr>
              <w:t xml:space="preserve">Energy</w:t>
            </w:r>
          </w:p>
        </w:tc>
        <w:tc>
          <w:tcPr>
            <w:tcW w:type="dxa" w:w="4750"/>
          </w:tcPr>
          <w:p>
            <w:r>
              <w:rPr>
                <w:b w:val="false"/>
                <w:bCs w:val="false"/>
                <w:color w:val="1A1A1A"/>
                <w:sz w:val="20"/>
                <w:szCs w:val="20"/>
              </w:rPr>
              <w:t xml:space="preserve">Logistics</w:t>
            </w:r>
          </w:p>
        </w:tc>
      </w:tr>
      <w:tr>
        <w:tc>
          <w:tcPr>
            <w:tcW w:type="dxa" w:w="4750"/>
          </w:tcPr>
          <w:p>
            <w:r>
              <w:rPr>
                <w:b w:val="false"/>
                <w:bCs w:val="false"/>
                <w:color w:val="1A1A1A"/>
                <w:sz w:val="20"/>
                <w:szCs w:val="20"/>
              </w:rPr>
              <w:t xml:space="preserve">Manufacturing</w:t>
            </w:r>
          </w:p>
        </w:tc>
        <w:tc>
          <w:tcPr>
            <w:tcW w:type="dxa" w:w="4750"/>
          </w:tcPr>
          <w:p>
            <w:r>
              <w:rPr>
                <w:b w:val="false"/>
                <w:bCs w:val="false"/>
                <w:color w:val="1A1A1A"/>
                <w:sz w:val="20"/>
                <w:szCs w:val="20"/>
              </w:rPr>
              <w:t xml:space="preserve">Industrial Parks</w:t>
            </w:r>
          </w:p>
        </w:tc>
      </w:tr>
      <w:tr>
        <w:tc>
          <w:tcPr>
            <w:tcW w:type="dxa" w:w="4750"/>
          </w:tcPr>
          <w:p>
            <w:r>
              <w:rPr>
                <w:b w:val="false"/>
                <w:bCs w:val="false"/>
                <w:color w:val="1A1A1A"/>
                <w:sz w:val="20"/>
                <w:szCs w:val="20"/>
              </w:rPr>
              <w:t xml:space="preserve">Infrastructure</w:t>
            </w:r>
          </w:p>
        </w:tc>
        <w:tc>
          <w:tcPr>
            <w:tcW w:type="dxa" w:w="4750"/>
          </w:tcPr>
          <w:p>
            <w:r>
              <w:rPr>
                <w:b w:val="false"/>
                <w:bCs w:val="false"/>
                <w:color w:val="1A1A1A"/>
                <w:sz w:val="20"/>
                <w:szCs w:val="20"/>
              </w:rPr>
              <w:t xml:space="preserve">Green Economy</w:t>
            </w:r>
          </w:p>
        </w:tc>
      </w:tr>
      <w:tr>
        <w:tc>
          <w:tcPr>
            <w:tcW w:type="dxa" w:w="4750"/>
          </w:tcPr>
          <w:p>
            <w:r>
              <w:rPr>
                <w:b w:val="false"/>
                <w:bCs w:val="false"/>
                <w:color w:val="1A1A1A"/>
                <w:sz w:val="20"/>
                <w:szCs w:val="20"/>
              </w:rPr>
              <w:t xml:space="preserve">Healthcare</w:t>
            </w:r>
          </w:p>
        </w:tc>
        <w:tc>
          <w:tcPr>
            <w:tcW w:type="dxa" w:w="4750"/>
          </w:tcPr>
          <w:p>
            <w:r>
              <w:rPr>
                <w:b w:val="false"/>
                <w:bCs w:val="false"/>
                <w:color w:val="1A1A1A"/>
                <w:sz w:val="20"/>
                <w:szCs w:val="20"/>
              </w:rPr>
              <w:t xml:space="preserve">Smart Cities</w:t>
            </w:r>
          </w:p>
        </w:tc>
      </w:tr>
    </w:tbl>
    <w:p>
      <w:r>
        <w:br w:type="page"/>
      </w:r>
    </w:p>
    <w:p>
      <w:pPr>
        <w:pStyle w:val="Heading2"/>
        <w:spacing w:after="150" w:before="300"/>
      </w:pPr>
      <w:r>
        <w:t xml:space="preserve">1.9 Core Services</w:t>
      </w:r>
    </w:p>
    <w:p>
      <w:pPr>
        <w:pStyle w:val="ListParagraph"/>
        <w:numPr>
          <w:ilvl w:val="0"/>
          <w:numId w:val="1"/>
        </w:numPr>
        <w:spacing w:after="60"/>
      </w:pPr>
      <w:r>
        <w:t xml:space="preserve">Government Cooperation</w:t>
      </w:r>
    </w:p>
    <w:p>
      <w:pPr>
        <w:pStyle w:val="ListParagraph"/>
        <w:numPr>
          <w:ilvl w:val="0"/>
          <w:numId w:val="1"/>
        </w:numPr>
        <w:spacing w:after="60"/>
      </w:pPr>
      <w:r>
        <w:t xml:space="preserve">Investment Promotion</w:t>
      </w:r>
    </w:p>
    <w:p>
      <w:pPr>
        <w:pStyle w:val="ListParagraph"/>
        <w:numPr>
          <w:ilvl w:val="0"/>
          <w:numId w:val="1"/>
        </w:numPr>
        <w:spacing w:after="60"/>
      </w:pPr>
      <w:r>
        <w:t xml:space="preserve">Financial Services</w:t>
      </w:r>
    </w:p>
    <w:p>
      <w:pPr>
        <w:pStyle w:val="ListParagraph"/>
        <w:numPr>
          <w:ilvl w:val="0"/>
          <w:numId w:val="1"/>
        </w:numPr>
        <w:spacing w:after="60"/>
      </w:pPr>
      <w:r>
        <w:t xml:space="preserve">Legal &amp; Compliance</w:t>
      </w:r>
    </w:p>
    <w:p>
      <w:pPr>
        <w:pStyle w:val="ListParagraph"/>
        <w:numPr>
          <w:ilvl w:val="0"/>
          <w:numId w:val="1"/>
        </w:numPr>
        <w:spacing w:after="60"/>
      </w:pPr>
      <w:r>
        <w:t xml:space="preserve">International Communication</w:t>
      </w:r>
    </w:p>
    <w:p>
      <w:pPr>
        <w:pStyle w:val="ListParagraph"/>
        <w:numPr>
          <w:ilvl w:val="0"/>
          <w:numId w:val="1"/>
        </w:numPr>
        <w:spacing w:after="60"/>
      </w:pPr>
      <w:r>
        <w:t xml:space="preserve">Business Matching</w:t>
      </w:r>
    </w:p>
    <w:p>
      <w:pPr>
        <w:pStyle w:val="Heading2"/>
        <w:spacing w:after="150" w:before="300"/>
      </w:pPr>
      <w:r>
        <w:t xml:space="preserve">1.10 Governance Structure</w:t>
      </w:r>
    </w:p>
    <w:p>
      <w:pPr>
        <w:spacing w:after="120"/>
      </w:pPr>
      <w:r>
        <w:rPr>
          <w:b/>
          <w:bCs/>
        </w:rPr>
        <w:t xml:space="preserve">Board of Directors</w:t>
      </w:r>
    </w:p>
    <w:p>
      <w:pPr>
        <w:spacing w:after="120"/>
      </w:pPr>
      <w:r>
        <w:t xml:space="preserve">↓  Stakeholders Leadership Committee</w:t>
      </w:r>
    </w:p>
    <w:p>
      <w:pPr>
        <w:spacing w:after="120"/>
      </w:pPr>
      <w:r>
        <w:t xml:space="preserve">↓  Senior Advisory Committee</w:t>
      </w:r>
    </w:p>
    <w:p>
      <w:pPr>
        <w:spacing w:after="120"/>
      </w:pPr>
      <w:r>
        <w:t xml:space="preserve">↓  Executive Management Committee</w:t>
      </w:r>
    </w:p>
    <w:p>
      <w:pPr>
        <w:spacing w:after="120"/>
      </w:pPr>
      <w:r>
        <w:t xml:space="preserve">↓  Secretariat, with:</w:t>
      </w:r>
    </w:p>
    <w:p>
      <w:pPr>
        <w:pStyle w:val="ListParagraph"/>
        <w:numPr>
          <w:ilvl w:val="1"/>
          <w:numId w:val="1"/>
        </w:numPr>
        <w:spacing w:after="60"/>
      </w:pPr>
      <w:r>
        <w:t xml:space="preserve">International Cooperation Department</w:t>
      </w:r>
    </w:p>
    <w:p>
      <w:pPr>
        <w:pStyle w:val="ListParagraph"/>
        <w:numPr>
          <w:ilvl w:val="1"/>
          <w:numId w:val="1"/>
        </w:numPr>
        <w:spacing w:after="60"/>
      </w:pPr>
      <w:r>
        <w:t xml:space="preserve">International Liaison Department</w:t>
      </w:r>
    </w:p>
    <w:p>
      <w:pPr>
        <w:pStyle w:val="ListParagraph"/>
        <w:numPr>
          <w:ilvl w:val="1"/>
          <w:numId w:val="1"/>
        </w:numPr>
        <w:spacing w:after="60"/>
      </w:pPr>
      <w:r>
        <w:t xml:space="preserve">Trade &amp; Investment Department / International Media Center</w:t>
      </w:r>
    </w:p>
    <w:p>
      <w:pPr>
        <w:pStyle w:val="ListParagraph"/>
        <w:numPr>
          <w:ilvl w:val="1"/>
          <w:numId w:val="1"/>
        </w:numPr>
        <w:spacing w:after="60"/>
      </w:pPr>
      <w:r>
        <w:t xml:space="preserve">China–Africa Business Mediation Center</w:t>
      </w:r>
    </w:p>
    <w:p>
      <w:pPr>
        <w:pStyle w:val="ListParagraph"/>
        <w:numPr>
          <w:ilvl w:val="1"/>
          <w:numId w:val="1"/>
        </w:numPr>
        <w:spacing w:after="60"/>
      </w:pPr>
      <w:r>
        <w:t xml:space="preserve">Branding &amp; Communications Center</w:t>
      </w:r>
    </w:p>
    <w:p>
      <w:pPr>
        <w:spacing w:after="120"/>
      </w:pPr>
      <w:r>
        <w:rPr>
          <w:b/>
          <w:bCs/>
        </w:rPr>
        <w:t xml:space="preserve">Industry Professional Committees:</w:t>
      </w:r>
    </w:p>
    <w:p>
      <w:pPr>
        <w:pStyle w:val="ListParagraph"/>
        <w:numPr>
          <w:ilvl w:val="1"/>
          <w:numId w:val="1"/>
        </w:numPr>
        <w:spacing w:after="60"/>
      </w:pPr>
      <w:r>
        <w:t xml:space="preserve">Agriculture Committee</w:t>
      </w:r>
    </w:p>
    <w:p>
      <w:pPr>
        <w:pStyle w:val="ListParagraph"/>
        <w:numPr>
          <w:ilvl w:val="1"/>
          <w:numId w:val="1"/>
        </w:numPr>
        <w:spacing w:after="60"/>
      </w:pPr>
      <w:r>
        <w:t xml:space="preserve">Mining Committee</w:t>
      </w:r>
    </w:p>
    <w:p>
      <w:pPr>
        <w:pStyle w:val="ListParagraph"/>
        <w:numPr>
          <w:ilvl w:val="1"/>
          <w:numId w:val="1"/>
        </w:numPr>
        <w:spacing w:after="60"/>
      </w:pPr>
      <w:r>
        <w:t xml:space="preserve">Energy Committee</w:t>
      </w:r>
    </w:p>
    <w:p>
      <w:pPr>
        <w:pStyle w:val="ListParagraph"/>
        <w:numPr>
          <w:ilvl w:val="1"/>
          <w:numId w:val="1"/>
        </w:numPr>
        <w:spacing w:after="60"/>
      </w:pPr>
      <w:r>
        <w:t xml:space="preserve">Engineering Committee</w:t>
      </w:r>
    </w:p>
    <w:p>
      <w:pPr>
        <w:pStyle w:val="ListParagraph"/>
        <w:numPr>
          <w:ilvl w:val="1"/>
          <w:numId w:val="1"/>
        </w:numPr>
        <w:spacing w:after="60"/>
      </w:pPr>
      <w:r>
        <w:t xml:space="preserve">Manufacturing Committee</w:t>
      </w:r>
    </w:p>
    <w:p>
      <w:pPr>
        <w:pStyle w:val="ListParagraph"/>
        <w:numPr>
          <w:ilvl w:val="1"/>
          <w:numId w:val="1"/>
        </w:numPr>
        <w:spacing w:after="60"/>
      </w:pPr>
      <w:r>
        <w:t xml:space="preserve">Medical Committee</w:t>
      </w:r>
    </w:p>
    <w:p>
      <w:pPr>
        <w:pStyle w:val="ListParagraph"/>
        <w:numPr>
          <w:ilvl w:val="1"/>
          <w:numId w:val="1"/>
        </w:numPr>
        <w:spacing w:after="60"/>
      </w:pPr>
      <w:r>
        <w:t xml:space="preserve">Finance Committee</w:t>
      </w:r>
    </w:p>
    <w:p>
      <w:pPr>
        <w:pStyle w:val="Heading2"/>
        <w:spacing w:after="150" w:before="300"/>
      </w:pPr>
      <w:r>
        <w:t xml:space="preserve">1.11 Future Outlook</w:t>
      </w:r>
    </w:p>
    <w:p>
      <w:pPr>
        <w:spacing w:after="120"/>
      </w:pPr>
      <w:r>
        <w:t xml:space="preserve">Looking ahead, ACCBCF will continue to strengthen its headquarters in Abuja as a strategic hub — serving West Africa, covering the African continent, connecting China, and engaging globally. The Forum is committed to becoming an internationally recognized business cooperation platform with strong credibility, influence, and implementation capacity, contributing to sustainable China–Africa cooperation and shared prosperity.</w:t>
      </w:r>
    </w:p>
    <w:p>
      <w:pPr>
        <w:pStyle w:val="Heading2"/>
        <w:spacing w:after="150" w:before="300"/>
      </w:pPr>
      <w:r>
        <w:t xml:space="preserve">1.12 Contact Information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c>
          <w:tcPr>
            <w:tcW w:type="dxa" w:w="2800"/>
            <w:shd w:fill="0064B4" w:val="clear"/>
          </w:tcPr>
          <w:p>
            <w:r>
              <w:rPr>
                <w:b/>
                <w:bCs/>
                <w:color w:val="FFFFFF"/>
                <w:sz w:val="20"/>
                <w:szCs w:val="20"/>
              </w:rPr>
              <w:t xml:space="preserve">Channel</w:t>
            </w:r>
          </w:p>
        </w:tc>
        <w:tc>
          <w:tcPr>
            <w:tcW w:type="dxa" w:w="6700"/>
            <w:shd w:fill="0064B4" w:val="clear"/>
          </w:tcPr>
          <w:p>
            <w:r>
              <w:rPr>
                <w:b/>
                <w:bCs/>
                <w:color w:val="FFFFFF"/>
                <w:sz w:val="20"/>
                <w:szCs w:val="20"/>
              </w:rPr>
              <w:t xml:space="preserve">Detail</w:t>
            </w:r>
          </w:p>
        </w:tc>
      </w:tr>
      <w:tr>
        <w:tc>
          <w:tcPr>
            <w:tcW w:type="dxa" w:w="2800"/>
          </w:tcPr>
          <w:p>
            <w:r>
              <w:rPr>
                <w:b w:val="false"/>
                <w:bCs w:val="false"/>
                <w:color w:val="1A1A1A"/>
                <w:sz w:val="20"/>
                <w:szCs w:val="20"/>
              </w:rPr>
              <w:t xml:space="preserve">Email</w:t>
            </w:r>
          </w:p>
        </w:tc>
        <w:tc>
          <w:tcPr>
            <w:tcW w:type="dxa" w:w="6700"/>
          </w:tcPr>
          <w:p>
            <w:r>
              <w:rPr>
                <w:b w:val="false"/>
                <w:bCs w:val="false"/>
                <w:color w:val="1A1A1A"/>
                <w:sz w:val="20"/>
                <w:szCs w:val="20"/>
              </w:rPr>
              <w:t xml:space="preserve">africachinachairmenforum@gmail.com</w:t>
            </w:r>
          </w:p>
        </w:tc>
      </w:tr>
      <w:tr>
        <w:tc>
          <w:tcPr>
            <w:tcW w:type="dxa" w:w="2800"/>
          </w:tcPr>
          <w:p>
            <w:r>
              <w:rPr>
                <w:b w:val="false"/>
                <w:bCs w:val="false"/>
                <w:color w:val="1A1A1A"/>
                <w:sz w:val="20"/>
                <w:szCs w:val="20"/>
              </w:rPr>
              <w:t xml:space="preserve">WhatsApp</w:t>
            </w:r>
          </w:p>
        </w:tc>
        <w:tc>
          <w:tcPr>
            <w:tcW w:type="dxa" w:w="6700"/>
          </w:tcPr>
          <w:p>
            <w:r>
              <w:rPr>
                <w:b w:val="false"/>
                <w:bCs w:val="false"/>
                <w:color w:val="1A1A1A"/>
                <w:sz w:val="20"/>
                <w:szCs w:val="20"/>
              </w:rPr>
              <w:t xml:space="preserve">+234 916 016 6906</w:t>
            </w:r>
          </w:p>
        </w:tc>
      </w:tr>
      <w:tr>
        <w:tc>
          <w:tcPr>
            <w:tcW w:type="dxa" w:w="2800"/>
          </w:tcPr>
          <w:p>
            <w:r>
              <w:rPr>
                <w:b w:val="false"/>
                <w:bCs w:val="false"/>
                <w:color w:val="1A1A1A"/>
                <w:sz w:val="20"/>
                <w:szCs w:val="20"/>
              </w:rPr>
              <w:t xml:space="preserve">Head Office</w:t>
            </w:r>
          </w:p>
        </w:tc>
        <w:tc>
          <w:tcPr>
            <w:tcW w:type="dxa" w:w="6700"/>
          </w:tcPr>
          <w:p>
            <w:r>
              <w:rPr>
                <w:b w:val="false"/>
                <w:bCs w:val="false"/>
                <w:color w:val="1A1A1A"/>
                <w:sz w:val="20"/>
                <w:szCs w:val="20"/>
              </w:rPr>
              <w:t xml:space="preserve">Block D, Federal Ministry of Industry, Trade and Investment, Old Federal Secretariat, Area 1, Garki, Abuja, Nigeria</w:t>
            </w:r>
          </w:p>
        </w:tc>
      </w:tr>
      <w:tr>
        <w:tc>
          <w:tcPr>
            <w:tcW w:type="dxa" w:w="2800"/>
          </w:tcPr>
          <w:p>
            <w:r>
              <w:rPr>
                <w:b w:val="false"/>
                <w:bCs w:val="false"/>
                <w:color w:val="1A1A1A"/>
                <w:sz w:val="20"/>
                <w:szCs w:val="20"/>
              </w:rPr>
              <w:t xml:space="preserve">Website (proposed)</w:t>
            </w:r>
          </w:p>
        </w:tc>
        <w:tc>
          <w:tcPr>
            <w:tcW w:type="dxa" w:w="6700"/>
          </w:tcPr>
          <w:p>
            <w:r>
              <w:rPr>
                <w:b w:val="false"/>
                <w:bCs w:val="false"/>
                <w:color w:val="1A1A1A"/>
                <w:sz w:val="20"/>
                <w:szCs w:val="20"/>
              </w:rPr>
              <w:t xml:space="preserve">To be finalized on official domain — do not launch on www.africachinachairmenforum.com without confirming ownership</w:t>
            </w:r>
          </w:p>
        </w:tc>
      </w:tr>
    </w:tbl>
    <w:p>
      <w:r>
        <w:br w:type="page"/>
      </w:r>
    </w:p>
    <w:p>
      <w:pPr>
        <w:pStyle w:val="Heading1"/>
        <w:spacing w:after="200" w:before="400"/>
      </w:pPr>
      <w:r>
        <w:t xml:space="preserve">2. Brand Identity</w:t>
      </w:r>
    </w:p>
    <w:p>
      <w:pPr>
        <w:pStyle w:val="Heading2"/>
        <w:spacing w:after="150" w:before="300"/>
      </w:pPr>
      <w:r>
        <w:t xml:space="preserve">2.1 Logo</w:t>
      </w:r>
    </w:p>
    <w:p>
      <w:pPr>
        <w:spacing w:after="120"/>
      </w:pPr>
      <w:r>
        <w:t xml:space="preserve">Primary mark: circular emblem — gold wheat-sheaf border, sky-blue ring text ("Africa China Chairmen Of Business Council Forum"), a yin-yang-style split with a gold Chinese dragon on red (China) and a Maasai-style herder with an acacia tree on a warm sunset gradient (Africa), a royal-blue ribbon banner reading "ACCBCF" and the Chinese name.</w:t>
      </w:r>
    </w:p>
    <w:p>
      <w:pPr>
        <w:pStyle w:val="ListParagraph"/>
        <w:numPr>
          <w:ilvl w:val="0"/>
          <w:numId w:val="1"/>
        </w:numPr>
        <w:spacing w:after="60"/>
      </w:pPr>
      <w:r>
        <w:t xml:space="preserve">Use the full-color logo on white or light backgrounds only.</w:t>
      </w:r>
    </w:p>
    <w:p>
      <w:pPr>
        <w:pStyle w:val="ListParagraph"/>
        <w:numPr>
          <w:ilvl w:val="0"/>
          <w:numId w:val="1"/>
        </w:numPr>
        <w:spacing w:after="60"/>
      </w:pPr>
      <w:r>
        <w:t xml:space="preserve">Maintain clear space around the logo equal to the height of the wheat border.</w:t>
      </w:r>
    </w:p>
    <w:p>
      <w:pPr>
        <w:pStyle w:val="ListParagraph"/>
        <w:numPr>
          <w:ilvl w:val="0"/>
          <w:numId w:val="1"/>
        </w:numPr>
        <w:spacing w:after="60"/>
      </w:pPr>
      <w:r>
        <w:t xml:space="preserve">Never stretch, recolor, or drop-shadow the logo. Provide a simplified single-color (white or navy) version for favicon and small UI placements.</w:t>
      </w:r>
    </w:p>
    <w:p>
      <w:pPr>
        <w:pStyle w:val="ListParagraph"/>
        <w:numPr>
          <w:ilvl w:val="0"/>
          <w:numId w:val="1"/>
        </w:numPr>
        <w:spacing w:after="60"/>
      </w:pPr>
      <w:r>
        <w:t xml:space="preserve">A simplified wordmark ("ACCBCF" in the brand serif, no emblem) for tight header spaces on mobile.</w:t>
      </w:r>
    </w:p>
    <w:p>
      <w:pPr>
        <w:pStyle w:val="Heading2"/>
        <w:spacing w:after="150" w:before="300"/>
      </w:pPr>
      <w:r>
        <w:t xml:space="preserve">2.2 Color Palette</w:t>
      </w:r>
    </w:p>
    <w:p>
      <w:pPr>
        <w:spacing w:after="120"/>
      </w:pPr>
      <w:r>
        <w:t xml:space="preserve">Sampled directly from the official logo artwork: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700"/>
      </w:tblGrid>
      <w:tr>
        <w:tc>
          <w:tcPr>
            <w:tcW w:type="dxa" w:w="3200"/>
            <w:shd w:fill="0064B4" w:val="clear"/>
          </w:tcPr>
          <w:p>
            <w:r>
              <w:rPr>
                <w:b/>
                <w:bCs/>
                <w:color w:val="FFFFFF"/>
                <w:sz w:val="20"/>
                <w:szCs w:val="20"/>
              </w:rPr>
              <w:t xml:space="preserve">Color</w:t>
            </w:r>
          </w:p>
        </w:tc>
        <w:tc>
          <w:tcPr>
            <w:tcW w:type="dxa" w:w="1600"/>
            <w:shd w:fill="0064B4" w:val="clear"/>
          </w:tcPr>
          <w:p>
            <w:r>
              <w:rPr>
                <w:b/>
                <w:bCs/>
                <w:color w:val="FFFFFF"/>
                <w:sz w:val="20"/>
                <w:szCs w:val="20"/>
              </w:rPr>
              <w:t xml:space="preserve">Hex</w:t>
            </w:r>
          </w:p>
        </w:tc>
        <w:tc>
          <w:tcPr>
            <w:tcW w:type="dxa" w:w="4700"/>
            <w:shd w:fill="0064B4" w:val="clear"/>
          </w:tcPr>
          <w:p>
            <w:r>
              <w:rPr>
                <w:b/>
                <w:bCs/>
                <w:color w:val="FFFFFF"/>
                <w:sz w:val="20"/>
                <w:szCs w:val="20"/>
              </w:rPr>
              <w:t xml:space="preserve">Usage</w:t>
            </w:r>
          </w:p>
        </w:tc>
      </w:tr>
      <w:tr>
        <w:tc>
          <w:tcPr>
            <w:tcW w:type="dxa" w:w="3200"/>
          </w:tcPr>
          <w:p>
            <w:r>
              <w:rPr>
                <w:b w:val="false"/>
                <w:bCs w:val="false"/>
                <w:color w:val="1A1A1A"/>
                <w:sz w:val="20"/>
                <w:szCs w:val="20"/>
              </w:rPr>
              <w:t xml:space="preserve">ACCBCF Royal Blue (Primary)</w:t>
            </w:r>
          </w:p>
        </w:tc>
        <w:tc>
          <w:tcPr>
            <w:tcW w:type="dxa" w:w="1600"/>
          </w:tcPr>
          <w:p>
            <w:r>
              <w:rPr>
                <w:b w:val="false"/>
                <w:bCs w:val="false"/>
                <w:color w:val="1A1A1A"/>
                <w:sz w:val="20"/>
                <w:szCs w:val="20"/>
              </w:rPr>
              <w:t xml:space="preserve">#0064B4</w:t>
            </w:r>
          </w:p>
        </w:tc>
        <w:tc>
          <w:tcPr>
            <w:tcW w:type="dxa" w:w="4700"/>
          </w:tcPr>
          <w:p>
            <w:r>
              <w:rPr>
                <w:b w:val="false"/>
                <w:bCs w:val="false"/>
                <w:color w:val="1A1A1A"/>
                <w:sz w:val="20"/>
                <w:szCs w:val="20"/>
              </w:rPr>
              <w:t xml:space="preserve">Header, navigation, primary buttons, links, section headers</w:t>
            </w:r>
          </w:p>
        </w:tc>
      </w:tr>
      <w:tr>
        <w:tc>
          <w:tcPr>
            <w:tcW w:type="dxa" w:w="3200"/>
          </w:tcPr>
          <w:p>
            <w:r>
              <w:rPr>
                <w:b w:val="false"/>
                <w:bCs w:val="false"/>
                <w:color w:val="1A1A1A"/>
                <w:sz w:val="20"/>
                <w:szCs w:val="20"/>
              </w:rPr>
              <w:t xml:space="preserve">ACCBCF Gold (Secondary)</w:t>
            </w:r>
          </w:p>
        </w:tc>
        <w:tc>
          <w:tcPr>
            <w:tcW w:type="dxa" w:w="1600"/>
          </w:tcPr>
          <w:p>
            <w:r>
              <w:rPr>
                <w:b w:val="false"/>
                <w:bCs w:val="false"/>
                <w:color w:val="1A1A1A"/>
                <w:sz w:val="20"/>
                <w:szCs w:val="20"/>
              </w:rPr>
              <w:t xml:space="preserve">#F0B428</w:t>
            </w:r>
          </w:p>
        </w:tc>
        <w:tc>
          <w:tcPr>
            <w:tcW w:type="dxa" w:w="4700"/>
          </w:tcPr>
          <w:p>
            <w:r>
              <w:rPr>
                <w:b w:val="false"/>
                <w:bCs w:val="false"/>
                <w:color w:val="1A1A1A"/>
                <w:sz w:val="20"/>
                <w:szCs w:val="20"/>
              </w:rPr>
              <w:t xml:space="preserve">Accent borders, dividers, icon highlights, hover states</w:t>
            </w:r>
          </w:p>
        </w:tc>
      </w:tr>
      <w:tr>
        <w:tc>
          <w:tcPr>
            <w:tcW w:type="dxa" w:w="3200"/>
          </w:tcPr>
          <w:p>
            <w:r>
              <w:rPr>
                <w:b w:val="false"/>
                <w:bCs w:val="false"/>
                <w:color w:val="1A1A1A"/>
                <w:sz w:val="20"/>
                <w:szCs w:val="20"/>
              </w:rPr>
              <w:t xml:space="preserve">Dragon Red (Accent)</w:t>
            </w:r>
          </w:p>
        </w:tc>
        <w:tc>
          <w:tcPr>
            <w:tcW w:type="dxa" w:w="1600"/>
          </w:tcPr>
          <w:p>
            <w:r>
              <w:rPr>
                <w:b w:val="false"/>
                <w:bCs w:val="false"/>
                <w:color w:val="1A1A1A"/>
                <w:sz w:val="20"/>
                <w:szCs w:val="20"/>
              </w:rPr>
              <w:t xml:space="preserve">#DC0000</w:t>
            </w:r>
          </w:p>
        </w:tc>
        <w:tc>
          <w:tcPr>
            <w:tcW w:type="dxa" w:w="4700"/>
          </w:tcPr>
          <w:p>
            <w:r>
              <w:rPr>
                <w:b w:val="false"/>
                <w:bCs w:val="false"/>
                <w:color w:val="1A1A1A"/>
                <w:sz w:val="20"/>
                <w:szCs w:val="20"/>
              </w:rPr>
              <w:t xml:space="preserve">Sparingly — key CTAs, badges, China-cooperation motifs</w:t>
            </w:r>
          </w:p>
        </w:tc>
      </w:tr>
      <w:tr>
        <w:tc>
          <w:tcPr>
            <w:tcW w:type="dxa" w:w="3200"/>
          </w:tcPr>
          <w:p>
            <w:r>
              <w:rPr>
                <w:b w:val="false"/>
                <w:bCs w:val="false"/>
                <w:color w:val="1A1A1A"/>
                <w:sz w:val="20"/>
                <w:szCs w:val="20"/>
              </w:rPr>
              <w:t xml:space="preserve">Sunset Orange (Accent)</w:t>
            </w:r>
          </w:p>
        </w:tc>
        <w:tc>
          <w:tcPr>
            <w:tcW w:type="dxa" w:w="1600"/>
          </w:tcPr>
          <w:p>
            <w:r>
              <w:rPr>
                <w:b w:val="false"/>
                <w:bCs w:val="false"/>
                <w:color w:val="1A1A1A"/>
                <w:sz w:val="20"/>
                <w:szCs w:val="20"/>
              </w:rPr>
              <w:t xml:space="preserve">#F07828</w:t>
            </w:r>
          </w:p>
        </w:tc>
        <w:tc>
          <w:tcPr>
            <w:tcW w:type="dxa" w:w="4700"/>
          </w:tcPr>
          <w:p>
            <w:r>
              <w:rPr>
                <w:b w:val="false"/>
                <w:bCs w:val="false"/>
                <w:color w:val="1A1A1A"/>
                <w:sz w:val="20"/>
                <w:szCs w:val="20"/>
              </w:rPr>
              <w:t xml:space="preserve">Warm accents, gradients, Africa-motif sections, stat highlights</w:t>
            </w:r>
          </w:p>
        </w:tc>
      </w:tr>
      <w:tr>
        <w:tc>
          <w:tcPr>
            <w:tcW w:type="dxa" w:w="3200"/>
          </w:tcPr>
          <w:p>
            <w:r>
              <w:rPr>
                <w:b w:val="false"/>
                <w:bCs w:val="false"/>
                <w:color w:val="1A1A1A"/>
                <w:sz w:val="20"/>
                <w:szCs w:val="20"/>
              </w:rPr>
              <w:t xml:space="preserve">Sun Yellow (Highlight)</w:t>
            </w:r>
          </w:p>
        </w:tc>
        <w:tc>
          <w:tcPr>
            <w:tcW w:type="dxa" w:w="1600"/>
          </w:tcPr>
          <w:p>
            <w:r>
              <w:rPr>
                <w:b w:val="false"/>
                <w:bCs w:val="false"/>
                <w:color w:val="1A1A1A"/>
                <w:sz w:val="20"/>
                <w:szCs w:val="20"/>
              </w:rPr>
              <w:t xml:space="preserve">#F0DC50</w:t>
            </w:r>
          </w:p>
        </w:tc>
        <w:tc>
          <w:tcPr>
            <w:tcW w:type="dxa" w:w="4700"/>
          </w:tcPr>
          <w:p>
            <w:r>
              <w:rPr>
                <w:b w:val="false"/>
                <w:bCs w:val="false"/>
                <w:color w:val="1A1A1A"/>
                <w:sz w:val="20"/>
                <w:szCs w:val="20"/>
              </w:rPr>
              <w:t xml:space="preserve">Small highlights, tags, hover glows — use sparingly</w:t>
            </w:r>
          </w:p>
        </w:tc>
      </w:tr>
      <w:tr>
        <w:tc>
          <w:tcPr>
            <w:tcW w:type="dxa" w:w="3200"/>
          </w:tcPr>
          <w:p>
            <w:r>
              <w:rPr>
                <w:b w:val="false"/>
                <w:bCs w:val="false"/>
                <w:color w:val="1A1A1A"/>
                <w:sz w:val="20"/>
                <w:szCs w:val="20"/>
              </w:rPr>
              <w:t xml:space="preserve">Charcoal (Text)</w:t>
            </w:r>
          </w:p>
        </w:tc>
        <w:tc>
          <w:tcPr>
            <w:tcW w:type="dxa" w:w="1600"/>
          </w:tcPr>
          <w:p>
            <w:r>
              <w:rPr>
                <w:b w:val="false"/>
                <w:bCs w:val="false"/>
                <w:color w:val="1A1A1A"/>
                <w:sz w:val="20"/>
                <w:szCs w:val="20"/>
              </w:rPr>
              <w:t xml:space="preserve">#1A1A1A</w:t>
            </w:r>
          </w:p>
        </w:tc>
        <w:tc>
          <w:tcPr>
            <w:tcW w:type="dxa" w:w="4700"/>
          </w:tcPr>
          <w:p>
            <w:r>
              <w:rPr>
                <w:b w:val="false"/>
                <w:bCs w:val="false"/>
                <w:color w:val="1A1A1A"/>
                <w:sz w:val="20"/>
                <w:szCs w:val="20"/>
              </w:rPr>
              <w:t xml:space="preserve">Body copy, headings on light backgrounds</w:t>
            </w:r>
          </w:p>
        </w:tc>
      </w:tr>
      <w:tr>
        <w:tc>
          <w:tcPr>
            <w:tcW w:type="dxa" w:w="3200"/>
          </w:tcPr>
          <w:p>
            <w:r>
              <w:rPr>
                <w:b w:val="false"/>
                <w:bCs w:val="false"/>
                <w:color w:val="1A1A1A"/>
                <w:sz w:val="20"/>
                <w:szCs w:val="20"/>
              </w:rPr>
              <w:t xml:space="preserve">Slate Gray (Muted text)</w:t>
            </w:r>
          </w:p>
        </w:tc>
        <w:tc>
          <w:tcPr>
            <w:tcW w:type="dxa" w:w="1600"/>
          </w:tcPr>
          <w:p>
            <w:r>
              <w:rPr>
                <w:b w:val="false"/>
                <w:bCs w:val="false"/>
                <w:color w:val="1A1A1A"/>
                <w:sz w:val="20"/>
                <w:szCs w:val="20"/>
              </w:rPr>
              <w:t xml:space="preserve">#6B7280</w:t>
            </w:r>
          </w:p>
        </w:tc>
        <w:tc>
          <w:tcPr>
            <w:tcW w:type="dxa" w:w="4700"/>
          </w:tcPr>
          <w:p>
            <w:r>
              <w:rPr>
                <w:b w:val="false"/>
                <w:bCs w:val="false"/>
                <w:color w:val="1A1A1A"/>
                <w:sz w:val="20"/>
                <w:szCs w:val="20"/>
              </w:rPr>
              <w:t xml:space="preserve">Captions, meta text, secondary labels</w:t>
            </w:r>
          </w:p>
        </w:tc>
      </w:tr>
      <w:tr>
        <w:tc>
          <w:tcPr>
            <w:tcW w:type="dxa" w:w="3200"/>
          </w:tcPr>
          <w:p>
            <w:r>
              <w:rPr>
                <w:b w:val="false"/>
                <w:bCs w:val="false"/>
                <w:color w:val="1A1A1A"/>
                <w:sz w:val="20"/>
                <w:szCs w:val="20"/>
              </w:rPr>
              <w:t xml:space="preserve">White</w:t>
            </w:r>
          </w:p>
        </w:tc>
        <w:tc>
          <w:tcPr>
            <w:tcW w:type="dxa" w:w="1600"/>
          </w:tcPr>
          <w:p>
            <w:r>
              <w:rPr>
                <w:b w:val="false"/>
                <w:bCs w:val="false"/>
                <w:color w:val="1A1A1A"/>
                <w:sz w:val="20"/>
                <w:szCs w:val="20"/>
              </w:rPr>
              <w:t xml:space="preserve">#FFFFFF</w:t>
            </w:r>
          </w:p>
        </w:tc>
        <w:tc>
          <w:tcPr>
            <w:tcW w:type="dxa" w:w="4700"/>
          </w:tcPr>
          <w:p>
            <w:r>
              <w:rPr>
                <w:b w:val="false"/>
                <w:bCs w:val="false"/>
                <w:color w:val="1A1A1A"/>
                <w:sz w:val="20"/>
                <w:szCs w:val="20"/>
              </w:rPr>
              <w:t xml:space="preserve">Backgrounds, text on dark/blue sections</w:t>
            </w:r>
          </w:p>
        </w:tc>
      </w:tr>
      <w:tr>
        <w:tc>
          <w:tcPr>
            <w:tcW w:type="dxa" w:w="3200"/>
          </w:tcPr>
          <w:p>
            <w:r>
              <w:rPr>
                <w:b w:val="false"/>
                <w:bCs w:val="false"/>
                <w:color w:val="1A1A1A"/>
                <w:sz w:val="20"/>
                <w:szCs w:val="20"/>
              </w:rPr>
              <w:t xml:space="preserve">Light Neutral</w:t>
            </w:r>
          </w:p>
        </w:tc>
        <w:tc>
          <w:tcPr>
            <w:tcW w:type="dxa" w:w="1600"/>
          </w:tcPr>
          <w:p>
            <w:r>
              <w:rPr>
                <w:b w:val="false"/>
                <w:bCs w:val="false"/>
                <w:color w:val="1A1A1A"/>
                <w:sz w:val="20"/>
                <w:szCs w:val="20"/>
              </w:rPr>
              <w:t xml:space="preserve">#F7F8FA</w:t>
            </w:r>
          </w:p>
        </w:tc>
        <w:tc>
          <w:tcPr>
            <w:tcW w:type="dxa" w:w="4700"/>
          </w:tcPr>
          <w:p>
            <w:r>
              <w:rPr>
                <w:b w:val="false"/>
                <w:bCs w:val="false"/>
                <w:color w:val="1A1A1A"/>
                <w:sz w:val="20"/>
                <w:szCs w:val="20"/>
              </w:rPr>
              <w:t xml:space="preserve">Section background alternation</w:t>
            </w:r>
          </w:p>
        </w:tc>
      </w:tr>
    </w:tbl>
    <w:p>
      <w:pPr>
        <w:pStyle w:val="Heading2"/>
        <w:spacing w:after="150" w:before="300"/>
      </w:pPr>
      <w:r>
        <w:t xml:space="preserve">2.3 Typography</w:t>
      </w:r>
    </w:p>
    <w:p>
      <w:pPr>
        <w:pStyle w:val="ListParagraph"/>
        <w:numPr>
          <w:ilvl w:val="0"/>
          <w:numId w:val="1"/>
        </w:numPr>
        <w:spacing w:after="60"/>
      </w:pPr>
      <w:r>
        <w:t xml:space="preserve">Headings: a confident serif or slab-serif (Playfair Display or Merriweather).</w:t>
      </w:r>
    </w:p>
    <w:p>
      <w:pPr>
        <w:pStyle w:val="ListParagraph"/>
        <w:numPr>
          <w:ilvl w:val="0"/>
          <w:numId w:val="1"/>
        </w:numPr>
        <w:spacing w:after="60"/>
      </w:pPr>
      <w:r>
        <w:t xml:space="preserve">Body &amp; UI: a clean sans-serif (Inter or Source Sans 3).</w:t>
      </w:r>
    </w:p>
    <w:p>
      <w:pPr>
        <w:pStyle w:val="ListParagraph"/>
        <w:numPr>
          <w:ilvl w:val="0"/>
          <w:numId w:val="1"/>
        </w:numPr>
        <w:spacing w:after="60"/>
      </w:pPr>
      <w:r>
        <w:t xml:space="preserve">Chinese text: Noto Sans SC for visual parity with the Latin sans.</w:t>
      </w:r>
    </w:p>
    <w:p>
      <w:pPr>
        <w:pStyle w:val="ListParagraph"/>
        <w:numPr>
          <w:ilvl w:val="0"/>
          <w:numId w:val="1"/>
        </w:numPr>
        <w:spacing w:after="60"/>
      </w:pPr>
      <w:r>
        <w:t xml:space="preserve">Minimum body size 16px; headings scale 2–3x body size across breakpoints.</w:t>
      </w:r>
    </w:p>
    <w:p>
      <w:pPr>
        <w:pStyle w:val="Heading2"/>
        <w:spacing w:after="150" w:before="300"/>
      </w:pPr>
      <w:r>
        <w:t xml:space="preserve">2.4 Visual Motifs</w:t>
      </w:r>
    </w:p>
    <w:p>
      <w:pPr>
        <w:pStyle w:val="ListParagraph"/>
        <w:numPr>
          <w:ilvl w:val="0"/>
          <w:numId w:val="1"/>
        </w:numPr>
        <w:spacing w:after="60"/>
      </w:pPr>
      <w:r>
        <w:t xml:space="preserve">African continent gold outline / West-Africa map accents for location context.</w:t>
      </w:r>
    </w:p>
    <w:p>
      <w:pPr>
        <w:pStyle w:val="ListParagraph"/>
        <w:numPr>
          <w:ilvl w:val="0"/>
          <w:numId w:val="1"/>
        </w:numPr>
        <w:spacing w:after="60"/>
      </w:pPr>
      <w:r>
        <w:t xml:space="preserve">Subtle wheat-sheaf or ribbon motifs as section dividers — never as decorative stripes/bars.</w:t>
      </w:r>
    </w:p>
    <w:p>
      <w:pPr>
        <w:pStyle w:val="ListParagraph"/>
        <w:numPr>
          <w:ilvl w:val="0"/>
          <w:numId w:val="1"/>
        </w:numPr>
        <w:spacing w:after="60"/>
      </w:pPr>
      <w:r>
        <w:t xml:space="preserve">Photography: dignified real or stock business/diplomatic imagery — no generic handshake clichés, no placeholder logos.</w:t>
      </w:r>
    </w:p>
    <w:p>
      <w:pPr>
        <w:pStyle w:val="ListParagraph"/>
        <w:numPr>
          <w:ilvl w:val="0"/>
          <w:numId w:val="1"/>
        </w:numPr>
        <w:spacing w:after="60"/>
      </w:pPr>
      <w:r>
        <w:t xml:space="preserve">Avoid AI-deck clichés: no accent line under every title, no rainbow gradients, no cream/beige backgrounds.</w:t>
      </w:r>
    </w:p>
    <w:p>
      <w:r>
        <w:br w:type="page"/>
      </w:r>
    </w:p>
    <w:p>
      <w:pPr>
        <w:pStyle w:val="Heading1"/>
        <w:spacing w:after="200" w:before="400"/>
      </w:pPr>
      <w:r>
        <w:t xml:space="preserve">3. Motion &amp; Interaction Design</w:t>
      </w:r>
    </w:p>
    <w:p>
      <w:pPr>
        <w:spacing w:after="120"/>
      </w:pPr>
      <w:r>
        <w:t xml:space="preserve">ACCBCF should feel alive, not like a static brochure. Motion is used purposefully — to guide attention, signal hierarchy, and reinforce the brand's dual Africa/China identity — never as decoration for its own sake.</w:t>
      </w:r>
    </w:p>
    <w:p>
      <w:pPr>
        <w:pStyle w:val="Heading2"/>
        <w:spacing w:after="150" w:before="300"/>
      </w:pPr>
      <w:r>
        <w:t xml:space="preserve">3.1 Technology</w:t>
      </w:r>
    </w:p>
    <w:p>
      <w:pPr>
        <w:pStyle w:val="ListParagraph"/>
        <w:numPr>
          <w:ilvl w:val="0"/>
          <w:numId w:val="1"/>
        </w:numPr>
        <w:spacing w:after="60"/>
      </w:pPr>
      <w:r>
        <w:t xml:space="preserve">Framer Motion ("motion" package) as the primary animation library — native to React/Next.js, handles component-level transitions, scroll reveals, and layout animation.</w:t>
      </w:r>
    </w:p>
    <w:p>
      <w:pPr>
        <w:pStyle w:val="ListParagraph"/>
        <w:numPr>
          <w:ilvl w:val="0"/>
          <w:numId w:val="1"/>
        </w:numPr>
        <w:spacing w:after="60"/>
      </w:pPr>
      <w:r>
        <w:t xml:space="preserve">GSAP + ScrollTrigger for anything Framer Motion can't do cleanly: multi-step scroll-driven sequences (the governance org chart drawing itself in, the hero parallax layers).</w:t>
      </w:r>
    </w:p>
    <w:p>
      <w:pPr>
        <w:pStyle w:val="ListParagraph"/>
        <w:numPr>
          <w:ilvl w:val="0"/>
          <w:numId w:val="1"/>
        </w:numPr>
        <w:spacing w:after="60"/>
      </w:pPr>
      <w:r>
        <w:t xml:space="preserve">Lottie (via lottie-react) reserved for any bespoke vector animations commissioned later (e.g. an animated version of the yin-yang logo mark) — do not fake this with static SVG if a real Lottie file becomes available.</w:t>
      </w:r>
    </w:p>
    <w:p>
      <w:pPr>
        <w:pStyle w:val="ListParagraph"/>
        <w:numPr>
          <w:ilvl w:val="0"/>
          <w:numId w:val="1"/>
        </w:numPr>
        <w:spacing w:after="60"/>
      </w:pPr>
      <w:r>
        <w:t xml:space="preserve">Respect `prefers-reduced-motion`: every non-essential animation (parallax, auto-playing decorative motion) must have a static fallback for users who request reduced motion.</w:t>
      </w:r>
    </w:p>
    <w:p>
      <w:pPr>
        <w:pStyle w:val="Heading2"/>
        <w:spacing w:after="150" w:before="300"/>
      </w:pPr>
      <w:r>
        <w:t xml:space="preserve">3.2 Homepage Hero</w:t>
      </w:r>
    </w:p>
    <w:p>
      <w:pPr>
        <w:pStyle w:val="ListParagraph"/>
        <w:numPr>
          <w:ilvl w:val="0"/>
          <w:numId w:val="1"/>
        </w:numPr>
        <w:spacing w:after="60"/>
      </w:pPr>
      <w:r>
        <w:t xml:space="preserve">On load: logo mark scales in from 90%→100% with a soft fade (400ms, ease-out), followed by a staggered reveal of the headline (word-by-word or line-by-line) and then the slogan.</w:t>
      </w:r>
    </w:p>
    <w:p>
      <w:pPr>
        <w:pStyle w:val="ListParagraph"/>
        <w:numPr>
          <w:ilvl w:val="0"/>
          <w:numId w:val="1"/>
        </w:numPr>
        <w:spacing w:after="60"/>
      </w:pPr>
      <w:r>
        <w:t xml:space="preserve">Background: a faint gold African-continent outline (SVG) draws itself using a stroke-dashoffset animation over ~1.5s, as if being traced.</w:t>
      </w:r>
    </w:p>
    <w:p>
      <w:pPr>
        <w:pStyle w:val="ListParagraph"/>
        <w:numPr>
          <w:ilvl w:val="0"/>
          <w:numId w:val="1"/>
        </w:numPr>
        <w:spacing w:after="60"/>
      </w:pPr>
      <w:r>
        <w:t xml:space="preserve">A subtle red-to-gold gradient glow pulses slowly behind the dragon motif — slow enough to read as ambient, not distracting (6–8s loop).</w:t>
      </w:r>
    </w:p>
    <w:p>
      <w:pPr>
        <w:pStyle w:val="ListParagraph"/>
        <w:numPr>
          <w:ilvl w:val="0"/>
          <w:numId w:val="1"/>
        </w:numPr>
        <w:spacing w:after="60"/>
      </w:pPr>
      <w:r>
        <w:t xml:space="preserve">Mouse-move parallax: the continent-outline layer and a faint dragon-scale texture layer move at two different depths as the cursor moves, capped to a few pixels of travel — desktop only, disabled on touch devices.</w:t>
      </w:r>
    </w:p>
    <w:p>
      <w:pPr>
        <w:pStyle w:val="ListParagraph"/>
        <w:numPr>
          <w:ilvl w:val="0"/>
          <w:numId w:val="1"/>
        </w:numPr>
        <w:spacing w:after="60"/>
      </w:pPr>
      <w:r>
        <w:t xml:space="preserve">Primary CTA button has a magnetic hover (slight scale + shadow lift) and a gold sheen sweep on hover.</w:t>
      </w:r>
    </w:p>
    <w:p>
      <w:pPr>
        <w:pStyle w:val="Heading2"/>
        <w:spacing w:after="150" w:before="300"/>
      </w:pPr>
      <w:r>
        <w:t xml:space="preserve">3.3 Scroll-Triggered Reveals</w:t>
      </w:r>
    </w:p>
    <w:p>
      <w:pPr>
        <w:pStyle w:val="ListParagraph"/>
        <w:numPr>
          <w:ilvl w:val="0"/>
          <w:numId w:val="1"/>
        </w:numPr>
        <w:spacing w:after="60"/>
      </w:pPr>
      <w:r>
        <w:t xml:space="preserve">Every major section (About snapshot, Vision/Mission/Core Values, Strategic Positioning, Sectors, Advantages, News) fades up (opacity 0→1, translateY 24px→0) as it enters the viewport, via Framer Motion `whileInView`.</w:t>
      </w:r>
    </w:p>
    <w:p>
      <w:pPr>
        <w:pStyle w:val="ListParagraph"/>
        <w:numPr>
          <w:ilvl w:val="0"/>
          <w:numId w:val="1"/>
        </w:numPr>
        <w:spacing w:after="60"/>
      </w:pPr>
      <w:r>
        <w:t xml:space="preserve">Card grids (Core Values, Sectors, Advantages) stagger their children by ~80–120ms so items cascade in rather than popping simultaneously.</w:t>
      </w:r>
    </w:p>
    <w:p>
      <w:pPr>
        <w:pStyle w:val="ListParagraph"/>
        <w:numPr>
          <w:ilvl w:val="0"/>
          <w:numId w:val="1"/>
        </w:numPr>
        <w:spacing w:after="60"/>
      </w:pPr>
      <w:r>
        <w:t xml:space="preserve">Animate once per section (`viewport={{ once: true }}`) — do not re-trigger every time the user scrolls back up, which reads as gimmicky.</w:t>
      </w:r>
    </w:p>
    <w:p>
      <w:pPr>
        <w:pStyle w:val="Heading2"/>
        <w:spacing w:after="150" w:before="300"/>
      </w:pPr>
      <w:r>
        <w:t xml:space="preserve">3.4 Strategic Positioning (G2G / G2B / B2B / B2C)</w:t>
      </w:r>
    </w:p>
    <w:p>
      <w:pPr>
        <w:pStyle w:val="ListParagraph"/>
        <w:numPr>
          <w:ilvl w:val="0"/>
          <w:numId w:val="1"/>
        </w:numPr>
        <w:spacing w:after="60"/>
      </w:pPr>
      <w:r>
        <w:t xml:space="preserve">Render as four connected nodes with animated connecting lines that draw themselves in sequence as the section scrolls into view, visually reinforcing the flow between governments, business, and capital.</w:t>
      </w:r>
    </w:p>
    <w:p>
      <w:pPr>
        <w:pStyle w:val="ListParagraph"/>
        <w:numPr>
          <w:ilvl w:val="0"/>
          <w:numId w:val="1"/>
        </w:numPr>
        <w:spacing w:after="60"/>
      </w:pPr>
      <w:r>
        <w:t xml:space="preserve">Hover/tap on a node highlights its connecting lines and briefly surfaces its one-line description.</w:t>
      </w:r>
    </w:p>
    <w:p>
      <w:pPr>
        <w:pStyle w:val="Heading2"/>
        <w:spacing w:after="150" w:before="300"/>
      </w:pPr>
      <w:r>
        <w:t xml:space="preserve">3.5 Governance Org Chart</w:t>
      </w:r>
    </w:p>
    <w:p>
      <w:pPr>
        <w:pStyle w:val="ListParagraph"/>
        <w:numPr>
          <w:ilvl w:val="0"/>
          <w:numId w:val="1"/>
        </w:numPr>
        <w:spacing w:after="60"/>
      </w:pPr>
      <w:r>
        <w:t xml:space="preserve">Build as a coded vertical flow, not an image. As the section scrolls into view, each tier (Board → Committees → Secretariat → Departments) animates in top-down, with the connecting line between tiers drawing progressively (GSAP ScrollTrigger scrubbed to scroll position).</w:t>
      </w:r>
    </w:p>
    <w:p>
      <w:pPr>
        <w:pStyle w:val="ListParagraph"/>
        <w:numPr>
          <w:ilvl w:val="0"/>
          <w:numId w:val="1"/>
        </w:numPr>
        <w:spacing w:after="60"/>
      </w:pPr>
      <w:r>
        <w:t xml:space="preserve">Committee member cards flip or fade in with a slight stagger once their tier is revealed.</w:t>
      </w:r>
    </w:p>
    <w:p>
      <w:pPr>
        <w:pStyle w:val="Heading2"/>
        <w:spacing w:after="150" w:before="300"/>
      </w:pPr>
      <w:r>
        <w:t xml:space="preserve">3.6 Priority Sectors &amp; Platform Advantages Grids</w:t>
      </w:r>
    </w:p>
    <w:p>
      <w:pPr>
        <w:pStyle w:val="ListParagraph"/>
        <w:numPr>
          <w:ilvl w:val="0"/>
          <w:numId w:val="1"/>
        </w:numPr>
        <w:spacing w:after="60"/>
      </w:pPr>
      <w:r>
        <w:t xml:space="preserve">Icons shift from gold to orange on hover with a subtle scale (1→1.05) and shadow lift — quick, ~150ms, no bounce (bounce reads as unserious for this brand).</w:t>
      </w:r>
    </w:p>
    <w:p>
      <w:pPr>
        <w:pStyle w:val="ListParagraph"/>
        <w:numPr>
          <w:ilvl w:val="0"/>
          <w:numId w:val="1"/>
        </w:numPr>
        <w:spacing w:after="60"/>
      </w:pPr>
      <w:r>
        <w:t xml:space="preserve">Grid stagger-in on scroll as described in 3.3.</w:t>
      </w:r>
    </w:p>
    <w:p>
      <w:pPr>
        <w:pStyle w:val="Heading2"/>
        <w:spacing w:after="150" w:before="300"/>
      </w:pPr>
      <w:r>
        <w:t xml:space="preserve">3.7 Navigation &amp; Page Transitions</w:t>
      </w:r>
    </w:p>
    <w:p>
      <w:pPr>
        <w:pStyle w:val="ListParagraph"/>
        <w:numPr>
          <w:ilvl w:val="0"/>
          <w:numId w:val="1"/>
        </w:numPr>
        <w:spacing w:after="60"/>
      </w:pPr>
      <w:r>
        <w:t xml:space="preserve">Header background shifts from transparent to a blurred/solid brand-blue bar once the user scrolls past the hero (backdrop-filter blur + background-color transition, ~200ms).</w:t>
      </w:r>
    </w:p>
    <w:p>
      <w:pPr>
        <w:pStyle w:val="ListParagraph"/>
        <w:numPr>
          <w:ilvl w:val="0"/>
          <w:numId w:val="1"/>
        </w:numPr>
        <w:spacing w:after="60"/>
      </w:pPr>
      <w:r>
        <w:t xml:space="preserve">Active nav link has an animated underline that slides between links rather than appearing/disappearing abruptly.</w:t>
      </w:r>
    </w:p>
    <w:p>
      <w:pPr>
        <w:pStyle w:val="ListParagraph"/>
        <w:numPr>
          <w:ilvl w:val="0"/>
          <w:numId w:val="1"/>
        </w:numPr>
        <w:spacing w:after="60"/>
      </w:pPr>
      <w:r>
        <w:t xml:space="preserve">Route transitions between pages use a brief fade/slide (Framer Motion `AnimatePresence`) — under 300ms, no full-screen wipes or gimmicky transitions that delay content.</w:t>
      </w:r>
    </w:p>
    <w:p>
      <w:pPr>
        <w:pStyle w:val="Heading2"/>
        <w:spacing w:after="150" w:before="300"/>
      </w:pPr>
      <w:r>
        <w:t xml:space="preserve">3.8 Stats &amp; Counters</w:t>
      </w:r>
    </w:p>
    <w:p>
      <w:pPr>
        <w:pStyle w:val="ListParagraph"/>
        <w:numPr>
          <w:ilvl w:val="0"/>
          <w:numId w:val="1"/>
        </w:numPr>
        <w:spacing w:after="60"/>
      </w:pPr>
      <w:r>
        <w:t xml:space="preserve">Any numeric stat (e.g. founding year, sector count) animates from 0 to its value once scrolled into view, over ~1.2s with an ease-out curve — once only, not on every scroll pass.</w:t>
      </w:r>
    </w:p>
    <w:p>
      <w:pPr>
        <w:pStyle w:val="Heading2"/>
        <w:spacing w:after="150" w:before="300"/>
      </w:pPr>
      <w:r>
        <w:t xml:space="preserve">3.9 Performance Guardrails</w:t>
      </w:r>
    </w:p>
    <w:p>
      <w:pPr>
        <w:pStyle w:val="ListParagraph"/>
        <w:numPr>
          <w:ilvl w:val="0"/>
          <w:numId w:val="1"/>
        </w:numPr>
        <w:spacing w:after="60"/>
      </w:pPr>
      <w:r>
        <w:t xml:space="preserve">Animations must not block Largest Contentful Paint — hero text and logo should be visible immediately, with motion layered on top, not gating content visibility.</w:t>
      </w:r>
    </w:p>
    <w:p>
      <w:pPr>
        <w:pStyle w:val="ListParagraph"/>
        <w:numPr>
          <w:ilvl w:val="0"/>
          <w:numId w:val="1"/>
        </w:numPr>
        <w:spacing w:after="60"/>
      </w:pPr>
      <w:r>
        <w:t xml:space="preserve">Lazy-load GSAP/Lottie only on pages that use them; keep the initial JS bundle lean.</w:t>
      </w:r>
    </w:p>
    <w:p>
      <w:pPr>
        <w:pStyle w:val="ListParagraph"/>
        <w:numPr>
          <w:ilvl w:val="0"/>
          <w:numId w:val="1"/>
        </w:numPr>
        <w:spacing w:after="60"/>
      </w:pPr>
      <w:r>
        <w:t xml:space="preserve">Target 60fps for all scroll-linked animation — profile on a mid-range mobile device, not just desktop.</w:t>
      </w:r>
    </w:p>
    <w:p>
      <w:r>
        <w:br w:type="page"/>
      </w:r>
    </w:p>
    <w:p>
      <w:pPr>
        <w:pStyle w:val="Heading1"/>
        <w:spacing w:after="200" w:before="400"/>
      </w:pPr>
      <w:r>
        <w:t xml:space="preserve">4. Site Structure (Sitemap)</w:t>
      </w:r>
    </w:p>
    <w:p>
      <w:pPr>
        <w:pStyle w:val="ListParagraph"/>
        <w:numPr>
          <w:ilvl w:val="0"/>
          <w:numId w:val="1"/>
        </w:numPr>
        <w:spacing w:after="60"/>
      </w:pPr>
      <w:r>
        <w:t xml:space="preserve">Home</w:t>
      </w:r>
    </w:p>
    <w:p>
      <w:pPr>
        <w:pStyle w:val="ListParagraph"/>
        <w:numPr>
          <w:ilvl w:val="0"/>
          <w:numId w:val="1"/>
        </w:numPr>
        <w:spacing w:after="60"/>
      </w:pPr>
      <w:r>
        <w:t xml:space="preserve">About ACCBCF</w:t>
      </w:r>
    </w:p>
    <w:p>
      <w:pPr>
        <w:pStyle w:val="ListParagraph"/>
        <w:numPr>
          <w:ilvl w:val="1"/>
          <w:numId w:val="1"/>
        </w:numPr>
        <w:spacing w:after="60"/>
      </w:pPr>
      <w:r>
        <w:t xml:space="preserve">Overview / About</w:t>
      </w:r>
    </w:p>
    <w:p>
      <w:pPr>
        <w:pStyle w:val="ListParagraph"/>
        <w:numPr>
          <w:ilvl w:val="1"/>
          <w:numId w:val="1"/>
        </w:numPr>
        <w:spacing w:after="60"/>
      </w:pPr>
      <w:r>
        <w:t xml:space="preserve">Vision &amp; Mission</w:t>
      </w:r>
    </w:p>
    <w:p>
      <w:pPr>
        <w:pStyle w:val="ListParagraph"/>
        <w:numPr>
          <w:ilvl w:val="1"/>
          <w:numId w:val="1"/>
        </w:numPr>
        <w:spacing w:after="60"/>
      </w:pPr>
      <w:r>
        <w:t xml:space="preserve">Core Values</w:t>
      </w:r>
    </w:p>
    <w:p>
      <w:pPr>
        <w:pStyle w:val="ListParagraph"/>
        <w:numPr>
          <w:ilvl w:val="1"/>
          <w:numId w:val="1"/>
        </w:numPr>
        <w:spacing w:after="60"/>
      </w:pPr>
      <w:r>
        <w:t xml:space="preserve">Strategic Positioning</w:t>
      </w:r>
    </w:p>
    <w:p>
      <w:pPr>
        <w:pStyle w:val="ListParagraph"/>
        <w:numPr>
          <w:ilvl w:val="0"/>
          <w:numId w:val="1"/>
        </w:numPr>
        <w:spacing w:after="60"/>
      </w:pPr>
      <w:r>
        <w:t xml:space="preserve">Governance</w:t>
      </w:r>
    </w:p>
    <w:p>
      <w:pPr>
        <w:pStyle w:val="ListParagraph"/>
        <w:numPr>
          <w:ilvl w:val="1"/>
          <w:numId w:val="1"/>
        </w:numPr>
        <w:spacing w:after="60"/>
      </w:pPr>
      <w:r>
        <w:t xml:space="preserve">Board of Directors</w:t>
      </w:r>
    </w:p>
    <w:p>
      <w:pPr>
        <w:pStyle w:val="ListParagraph"/>
        <w:numPr>
          <w:ilvl w:val="1"/>
          <w:numId w:val="1"/>
        </w:numPr>
        <w:spacing w:after="60"/>
      </w:pPr>
      <w:r>
        <w:t xml:space="preserve">Stakeholders Leadership Committee</w:t>
      </w:r>
    </w:p>
    <w:p>
      <w:pPr>
        <w:pStyle w:val="ListParagraph"/>
        <w:numPr>
          <w:ilvl w:val="1"/>
          <w:numId w:val="1"/>
        </w:numPr>
        <w:spacing w:after="60"/>
      </w:pPr>
      <w:r>
        <w:t xml:space="preserve">Senior Advisory Committee</w:t>
      </w:r>
    </w:p>
    <w:p>
      <w:pPr>
        <w:pStyle w:val="ListParagraph"/>
        <w:numPr>
          <w:ilvl w:val="1"/>
          <w:numId w:val="1"/>
        </w:numPr>
        <w:spacing w:after="60"/>
      </w:pPr>
      <w:r>
        <w:t xml:space="preserve">Executive Management Committee</w:t>
      </w:r>
    </w:p>
    <w:p>
      <w:pPr>
        <w:pStyle w:val="ListParagraph"/>
        <w:numPr>
          <w:ilvl w:val="1"/>
          <w:numId w:val="1"/>
        </w:numPr>
        <w:spacing w:after="60"/>
      </w:pPr>
      <w:r>
        <w:t xml:space="preserve">Secretariat &amp; Departments</w:t>
      </w:r>
    </w:p>
    <w:p>
      <w:pPr>
        <w:pStyle w:val="ListParagraph"/>
        <w:numPr>
          <w:ilvl w:val="1"/>
          <w:numId w:val="1"/>
        </w:numPr>
        <w:spacing w:after="60"/>
      </w:pPr>
      <w:r>
        <w:t xml:space="preserve">Industry Professional Committees</w:t>
      </w:r>
    </w:p>
    <w:p>
      <w:pPr>
        <w:pStyle w:val="ListParagraph"/>
        <w:numPr>
          <w:ilvl w:val="0"/>
          <w:numId w:val="1"/>
        </w:numPr>
        <w:spacing w:after="60"/>
      </w:pPr>
      <w:r>
        <w:t xml:space="preserve">Programs &amp; Core Services</w:t>
      </w:r>
    </w:p>
    <w:p>
      <w:pPr>
        <w:pStyle w:val="ListParagraph"/>
        <w:numPr>
          <w:ilvl w:val="1"/>
          <w:numId w:val="1"/>
        </w:numPr>
        <w:spacing w:after="60"/>
      </w:pPr>
      <w:r>
        <w:t xml:space="preserve">Government Cooperation</w:t>
      </w:r>
    </w:p>
    <w:p>
      <w:pPr>
        <w:pStyle w:val="ListParagraph"/>
        <w:numPr>
          <w:ilvl w:val="1"/>
          <w:numId w:val="1"/>
        </w:numPr>
        <w:spacing w:after="60"/>
      </w:pPr>
      <w:r>
        <w:t xml:space="preserve">Investment Promotion</w:t>
      </w:r>
    </w:p>
    <w:p>
      <w:pPr>
        <w:pStyle w:val="ListParagraph"/>
        <w:numPr>
          <w:ilvl w:val="1"/>
          <w:numId w:val="1"/>
        </w:numPr>
        <w:spacing w:after="60"/>
      </w:pPr>
      <w:r>
        <w:t xml:space="preserve">Financial Services</w:t>
      </w:r>
    </w:p>
    <w:p>
      <w:pPr>
        <w:pStyle w:val="ListParagraph"/>
        <w:numPr>
          <w:ilvl w:val="1"/>
          <w:numId w:val="1"/>
        </w:numPr>
        <w:spacing w:after="60"/>
      </w:pPr>
      <w:r>
        <w:t xml:space="preserve">Legal &amp; Compliance</w:t>
      </w:r>
    </w:p>
    <w:p>
      <w:pPr>
        <w:pStyle w:val="ListParagraph"/>
        <w:numPr>
          <w:ilvl w:val="1"/>
          <w:numId w:val="1"/>
        </w:numPr>
        <w:spacing w:after="60"/>
      </w:pPr>
      <w:r>
        <w:t xml:space="preserve">International Communication</w:t>
      </w:r>
    </w:p>
    <w:p>
      <w:pPr>
        <w:pStyle w:val="ListParagraph"/>
        <w:numPr>
          <w:ilvl w:val="1"/>
          <w:numId w:val="1"/>
        </w:numPr>
        <w:spacing w:after="60"/>
      </w:pPr>
      <w:r>
        <w:t xml:space="preserve">Business Matching</w:t>
      </w:r>
    </w:p>
    <w:p>
      <w:pPr>
        <w:pStyle w:val="ListParagraph"/>
        <w:numPr>
          <w:ilvl w:val="0"/>
          <w:numId w:val="1"/>
        </w:numPr>
        <w:spacing w:after="60"/>
      </w:pPr>
      <w:r>
        <w:t xml:space="preserve">Priority Sectors (12-sector grid)</w:t>
      </w:r>
    </w:p>
    <w:p>
      <w:pPr>
        <w:pStyle w:val="ListParagraph"/>
        <w:numPr>
          <w:ilvl w:val="0"/>
          <w:numId w:val="1"/>
        </w:numPr>
        <w:spacing w:after="60"/>
      </w:pPr>
      <w:r>
        <w:t xml:space="preserve">Platform Advantages</w:t>
      </w:r>
    </w:p>
    <w:p>
      <w:pPr>
        <w:pStyle w:val="ListParagraph"/>
        <w:numPr>
          <w:ilvl w:val="0"/>
          <w:numId w:val="1"/>
        </w:numPr>
        <w:spacing w:after="60"/>
      </w:pPr>
      <w:r>
        <w:t xml:space="preserve">News &amp; Insights (Blog)</w:t>
      </w:r>
    </w:p>
    <w:p>
      <w:pPr>
        <w:pStyle w:val="ListParagraph"/>
        <w:numPr>
          <w:ilvl w:val="0"/>
          <w:numId w:val="1"/>
        </w:numPr>
        <w:spacing w:after="60"/>
      </w:pPr>
      <w:r>
        <w:t xml:space="preserve">Events (future-ready, can launch empty)</w:t>
      </w:r>
    </w:p>
    <w:p>
      <w:pPr>
        <w:pStyle w:val="ListParagraph"/>
        <w:numPr>
          <w:ilvl w:val="0"/>
          <w:numId w:val="1"/>
        </w:numPr>
        <w:spacing w:after="60"/>
      </w:pPr>
      <w:r>
        <w:t xml:space="preserve">Contact</w:t>
      </w:r>
    </w:p>
    <w:p>
      <w:pPr>
        <w:pStyle w:val="ListParagraph"/>
        <w:numPr>
          <w:ilvl w:val="0"/>
          <w:numId w:val="1"/>
        </w:numPr>
        <w:spacing w:after="60"/>
      </w:pPr>
      <w:r>
        <w:t xml:space="preserve">Global elements: EN / 中文 language toggle, "Join / Partner With Us" CTA in header, footer with sitemap + contact + social</w:t>
      </w:r>
    </w:p>
    <w:p>
      <w:r>
        <w:br w:type="page"/>
      </w:r>
    </w:p>
    <w:p>
      <w:pPr>
        <w:pStyle w:val="Heading1"/>
        <w:spacing w:after="200" w:before="400"/>
      </w:pPr>
      <w:r>
        <w:t xml:space="preserve">5. Page-by-Page Content Specification</w:t>
      </w:r>
    </w:p>
    <w:p>
      <w:pPr>
        <w:pStyle w:val="Heading2"/>
        <w:spacing w:after="150" w:before="300"/>
      </w:pPr>
      <w:r>
        <w:t xml:space="preserve">5.1 Homepage</w:t>
      </w:r>
    </w:p>
    <w:p>
      <w:pPr>
        <w:pStyle w:val="ListParagraph"/>
        <w:numPr>
          <w:ilvl w:val="0"/>
          <w:numId w:val="1"/>
        </w:numPr>
        <w:spacing w:after="60"/>
      </w:pPr>
      <w:r>
        <w:t xml:space="preserve">Hero: Logo mark, headline, slogan, primary CTA "Partner With Us" + secondary "Learn About ACCBCF". Background: deep royal-blue gradient with faint gold African-continent outline watermark.</w:t>
      </w:r>
    </w:p>
    <w:p>
      <w:pPr>
        <w:pStyle w:val="ListParagraph"/>
        <w:numPr>
          <w:ilvl w:val="0"/>
          <w:numId w:val="1"/>
        </w:numPr>
        <w:spacing w:after="60"/>
      </w:pPr>
      <w:r>
        <w:t xml:space="preserve">Credibility strip: Est. 30 March 2026 · Headquartered in Abuja, Nigeria · Four cooperation models (G2G/G2B/B2B/B2C)</w:t>
      </w:r>
    </w:p>
    <w:p>
      <w:pPr>
        <w:pStyle w:val="ListParagraph"/>
        <w:numPr>
          <w:ilvl w:val="0"/>
          <w:numId w:val="1"/>
        </w:numPr>
        <w:spacing w:after="60"/>
      </w:pPr>
      <w:r>
        <w:t xml:space="preserve">About snapshot, Vision/Mission/Core Values 3-card layout, Strategic Positioning 4-tile visual, Priority Sectors icon grid, Platform Advantages 6-icon grid</w:t>
      </w:r>
    </w:p>
    <w:p>
      <w:pPr>
        <w:pStyle w:val="ListParagraph"/>
        <w:numPr>
          <w:ilvl w:val="0"/>
          <w:numId w:val="1"/>
        </w:numPr>
        <w:spacing w:after="60"/>
      </w:pPr>
      <w:r>
        <w:t xml:space="preserve">Latest News: 3 most recent posts, pulled dynamically from the CMS via API</w:t>
      </w:r>
    </w:p>
    <w:p>
      <w:pPr>
        <w:pStyle w:val="ListParagraph"/>
        <w:numPr>
          <w:ilvl w:val="0"/>
          <w:numId w:val="1"/>
        </w:numPr>
        <w:spacing w:after="60"/>
      </w:pPr>
      <w:r>
        <w:t xml:space="preserve">Contact / CTA band: email, WhatsApp, office address, "Become a Partner" button</w:t>
      </w:r>
    </w:p>
    <w:p>
      <w:pPr>
        <w:pStyle w:val="Heading2"/>
        <w:spacing w:after="150" w:before="300"/>
      </w:pPr>
      <w:r>
        <w:t xml:space="preserve">5.2 About ACCBCF</w:t>
      </w:r>
    </w:p>
    <w:p>
      <w:pPr>
        <w:pStyle w:val="ListParagraph"/>
        <w:numPr>
          <w:ilvl w:val="0"/>
          <w:numId w:val="1"/>
        </w:numPr>
        <w:spacing w:after="60"/>
      </w:pPr>
      <w:r>
        <w:t xml:space="preserve">Full About/Vision/Mission/Core Values (Sections 1.1–1.4) — bilingual toggle</w:t>
      </w:r>
    </w:p>
    <w:p>
      <w:pPr>
        <w:pStyle w:val="ListParagraph"/>
        <w:numPr>
          <w:ilvl w:val="0"/>
          <w:numId w:val="1"/>
        </w:numPr>
        <w:spacing w:after="60"/>
      </w:pPr>
      <w:r>
        <w:t xml:space="preserve">Strategic Positioning detail (1.6) with the four-model diagram</w:t>
      </w:r>
    </w:p>
    <w:p>
      <w:pPr>
        <w:pStyle w:val="Heading2"/>
        <w:spacing w:after="150" w:before="300"/>
      </w:pPr>
      <w:r>
        <w:t xml:space="preserve">5.3 Governance</w:t>
      </w:r>
    </w:p>
    <w:p>
      <w:pPr>
        <w:pStyle w:val="ListParagraph"/>
        <w:numPr>
          <w:ilvl w:val="0"/>
          <w:numId w:val="1"/>
        </w:numPr>
        <w:spacing w:after="60"/>
      </w:pPr>
      <w:r>
        <w:t xml:space="preserve">Organizational chart as a coded vertical flow component (Section 1.10) — not a screenshot</w:t>
      </w:r>
    </w:p>
    <w:p>
      <w:pPr>
        <w:pStyle w:val="ListParagraph"/>
        <w:numPr>
          <w:ilvl w:val="0"/>
          <w:numId w:val="1"/>
        </w:numPr>
        <w:spacing w:after="60"/>
      </w:pPr>
      <w:r>
        <w:t xml:space="preserve">Board/Committee member cards pulled from the CMS "Committee Members" collection</w:t>
      </w:r>
    </w:p>
    <w:p>
      <w:pPr>
        <w:pStyle w:val="Heading2"/>
        <w:spacing w:after="150" w:before="300"/>
      </w:pPr>
      <w:r>
        <w:t xml:space="preserve">5.4 Programs &amp; Core Services</w:t>
      </w:r>
    </w:p>
    <w:p>
      <w:pPr>
        <w:pStyle w:val="ListParagraph"/>
        <w:numPr>
          <w:ilvl w:val="0"/>
          <w:numId w:val="1"/>
        </w:numPr>
        <w:spacing w:after="60"/>
      </w:pPr>
      <w:r>
        <w:t xml:space="preserve">One card per core service (1.9), each with icon, description, "Request This Service" CTA to Contact</w:t>
      </w:r>
    </w:p>
    <w:p>
      <w:pPr>
        <w:pStyle w:val="Heading2"/>
        <w:spacing w:after="150" w:before="300"/>
      </w:pPr>
      <w:r>
        <w:t xml:space="preserve">5.5 Priority Sectors</w:t>
      </w:r>
    </w:p>
    <w:p>
      <w:pPr>
        <w:pStyle w:val="ListParagraph"/>
        <w:numPr>
          <w:ilvl w:val="0"/>
          <w:numId w:val="1"/>
        </w:numPr>
        <w:spacing w:after="60"/>
      </w:pPr>
      <w:r>
        <w:t xml:space="preserve">12-tile grid (1.8), each linking to a short sector detail block</w:t>
      </w:r>
    </w:p>
    <w:p>
      <w:pPr>
        <w:pStyle w:val="Heading2"/>
        <w:spacing w:after="150" w:before="300"/>
      </w:pPr>
      <w:r>
        <w:t xml:space="preserve">5.6 News &amp; Insights (Blog)</w:t>
      </w:r>
    </w:p>
    <w:p>
      <w:pPr>
        <w:pStyle w:val="ListParagraph"/>
        <w:numPr>
          <w:ilvl w:val="0"/>
          <w:numId w:val="1"/>
        </w:numPr>
        <w:spacing w:after="60"/>
      </w:pPr>
      <w:r>
        <w:t xml:space="preserve">Blog index: featured image, title, excerpt, date, category tag</w:t>
      </w:r>
    </w:p>
    <w:p>
      <w:pPr>
        <w:pStyle w:val="ListParagraph"/>
        <w:numPr>
          <w:ilvl w:val="0"/>
          <w:numId w:val="1"/>
        </w:numPr>
        <w:spacing w:after="60"/>
      </w:pPr>
      <w:r>
        <w:t xml:space="preserve">Single post page: title, hero image, author/date, rich body content, share buttons, related posts</w:t>
      </w:r>
    </w:p>
    <w:p>
      <w:pPr>
        <w:pStyle w:val="ListParagraph"/>
        <w:numPr>
          <w:ilvl w:val="0"/>
          <w:numId w:val="1"/>
        </w:numPr>
        <w:spacing w:after="60"/>
      </w:pPr>
      <w:r>
        <w:t xml:space="preserve">Bilingual posts: EN and 中文 versions linked via the CMS locale field; fall back to EN if a translation isn't ready</w:t>
      </w:r>
    </w:p>
    <w:p>
      <w:pPr>
        <w:pStyle w:val="Heading2"/>
        <w:spacing w:after="150" w:before="300"/>
      </w:pPr>
      <w:r>
        <w:t xml:space="preserve">5.7 Contact</w:t>
      </w:r>
    </w:p>
    <w:p>
      <w:pPr>
        <w:pStyle w:val="ListParagraph"/>
        <w:numPr>
          <w:ilvl w:val="0"/>
          <w:numId w:val="1"/>
        </w:numPr>
        <w:spacing w:after="60"/>
      </w:pPr>
      <w:r>
        <w:t xml:space="preserve">Contact form (Name, Organization, Country, Email, Phone, Message, Interest Area dropdown mapped to Core Services)</w:t>
      </w:r>
    </w:p>
    <w:p>
      <w:pPr>
        <w:pStyle w:val="ListParagraph"/>
        <w:numPr>
          <w:ilvl w:val="0"/>
          <w:numId w:val="1"/>
        </w:numPr>
        <w:spacing w:after="60"/>
      </w:pPr>
      <w:r>
        <w:t xml:space="preserve">Office address, email, WhatsApp click-to-chat link, embedded map</w:t>
      </w:r>
    </w:p>
    <w:p>
      <w:r>
        <w:br w:type="page"/>
      </w:r>
    </w:p>
    <w:p>
      <w:pPr>
        <w:pStyle w:val="Heading1"/>
        <w:spacing w:after="200" w:before="400"/>
      </w:pPr>
      <w:r>
        <w:t xml:space="preserve">6. Technical &amp; CMS Specification (Next.js Edition)</w:t>
      </w:r>
    </w:p>
    <w:p>
      <w:pPr>
        <w:pStyle w:val="Heading2"/>
        <w:spacing w:after="150" w:before="300"/>
      </w:pPr>
      <w:r>
        <w:t xml:space="preserve">6.1 Platform</w:t>
      </w:r>
    </w:p>
    <w:p>
      <w:pPr>
        <w:pStyle w:val="ListParagraph"/>
        <w:numPr>
          <w:ilvl w:val="0"/>
          <w:numId w:val="1"/>
        </w:numPr>
        <w:spacing w:after="60"/>
      </w:pPr>
      <w:r>
        <w:t xml:space="preserve">Next.js (App Router, TypeScript) for the frontend and rendering — SSG/ISR for marketing pages, dynamic rendering for the blog</w:t>
      </w:r>
    </w:p>
    <w:p>
      <w:pPr>
        <w:pStyle w:val="ListParagraph"/>
        <w:numPr>
          <w:ilvl w:val="0"/>
          <w:numId w:val="1"/>
        </w:numPr>
        <w:spacing w:after="60"/>
      </w:pPr>
      <w:r>
        <w:t xml:space="preserve">Payload CMS (self-hosted, runs natively inside the Next.js app) as the backend/admin — gives a full editable dashboard for staff to manage pages, sectors, services, committee members, and blog posts without touching code</w:t>
      </w:r>
    </w:p>
    <w:p>
      <w:pPr>
        <w:pStyle w:val="ListParagraph"/>
        <w:numPr>
          <w:ilvl w:val="0"/>
          <w:numId w:val="1"/>
        </w:numPr>
        <w:spacing w:after="60"/>
      </w:pPr>
      <w:r>
        <w:t xml:space="preserve">Database: PostgreSQL (Payload's recommended adapter) or MongoDB — PostgreSQL preferred for relational data like committees/sectors</w:t>
      </w:r>
    </w:p>
    <w:p>
      <w:pPr>
        <w:pStyle w:val="ListParagraph"/>
        <w:numPr>
          <w:ilvl w:val="0"/>
          <w:numId w:val="1"/>
        </w:numPr>
        <w:spacing w:after="60"/>
      </w:pPr>
      <w:r>
        <w:t xml:space="preserve">Styling: Tailwind CSS with the brand tokens below; component library shadcn/ui is fine as a base, restyled to brand — avoid an unstyled default look</w:t>
      </w:r>
    </w:p>
    <w:p>
      <w:pPr>
        <w:pStyle w:val="ListParagraph"/>
        <w:numPr>
          <w:ilvl w:val="0"/>
          <w:numId w:val="1"/>
        </w:numPr>
        <w:spacing w:after="60"/>
      </w:pPr>
      <w:r>
        <w:t xml:space="preserve">Hosting: Vercel (frontend) or a single Node host running both Next.js and Payload together; media stored via Payload's file/S3 adapter</w:t>
      </w:r>
    </w:p>
    <w:p>
      <w:pPr>
        <w:pStyle w:val="ListParagraph"/>
        <w:numPr>
          <w:ilvl w:val="0"/>
          <w:numId w:val="1"/>
        </w:numPr>
        <w:spacing w:after="60"/>
      </w:pPr>
      <w:r>
        <w:t xml:space="preserve">Bilingual EN/中文: Payload's built-in localization feature (`localization` config) rather than a separate plugin — keeps content and translations in one collection</w:t>
      </w:r>
    </w:p>
    <w:p>
      <w:pPr>
        <w:pStyle w:val="Heading2"/>
        <w:spacing w:after="150" w:before="300"/>
      </w:pPr>
      <w:r>
        <w:t xml:space="preserve">6.2 CMS Collections (Payload)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700"/>
      </w:tblGrid>
      <w:tr>
        <w:tc>
          <w:tcPr>
            <w:tcW w:type="dxa" w:w="2200"/>
            <w:shd w:fill="0064B4" w:val="clear"/>
          </w:tcPr>
          <w:p>
            <w:r>
              <w:rPr>
                <w:b/>
                <w:bCs/>
                <w:color w:val="FFFFFF"/>
                <w:sz w:val="20"/>
                <w:szCs w:val="20"/>
              </w:rPr>
              <w:t xml:space="preserve">Collection</w:t>
            </w:r>
          </w:p>
        </w:tc>
        <w:tc>
          <w:tcPr>
            <w:tcW w:type="dxa" w:w="2600"/>
            <w:shd w:fill="0064B4" w:val="clear"/>
          </w:tcPr>
          <w:p>
            <w:r>
              <w:rPr>
                <w:b/>
                <w:bCs/>
                <w:color w:val="FFFFFF"/>
                <w:sz w:val="20"/>
                <w:szCs w:val="20"/>
              </w:rPr>
              <w:t xml:space="preserve">Purpose</w:t>
            </w:r>
          </w:p>
        </w:tc>
        <w:tc>
          <w:tcPr>
            <w:tcW w:type="dxa" w:w="4700"/>
            <w:shd w:fill="0064B4" w:val="clear"/>
          </w:tcPr>
          <w:p>
            <w:r>
              <w:rPr>
                <w:b/>
                <w:bCs/>
                <w:color w:val="FFFFFF"/>
                <w:sz w:val="20"/>
                <w:szCs w:val="20"/>
              </w:rPr>
              <w:t xml:space="preserve">Key Fields</w:t>
            </w:r>
          </w:p>
        </w:tc>
      </w:tr>
      <w:tr>
        <w:tc>
          <w:tcPr>
            <w:tcW w:type="dxa" w:w="2200"/>
          </w:tcPr>
          <w:p>
            <w:r>
              <w:rPr>
                <w:b w:val="false"/>
                <w:bCs w:val="false"/>
                <w:color w:val="1A1A1A"/>
                <w:sz w:val="20"/>
                <w:szCs w:val="20"/>
              </w:rPr>
              <w:t xml:space="preserve">posts</w:t>
            </w:r>
          </w:p>
        </w:tc>
        <w:tc>
          <w:tcPr>
            <w:tcW w:type="dxa" w:w="2600"/>
          </w:tcPr>
          <w:p>
            <w:r>
              <w:rPr>
                <w:b w:val="false"/>
                <w:bCs w:val="false"/>
                <w:color w:val="1A1A1A"/>
                <w:sz w:val="20"/>
                <w:szCs w:val="20"/>
              </w:rPr>
              <w:t xml:space="preserve">News &amp; Insights blog</w:t>
            </w:r>
          </w:p>
        </w:tc>
        <w:tc>
          <w:tcPr>
            <w:tcW w:type="dxa" w:w="4700"/>
          </w:tcPr>
          <w:p>
            <w:r>
              <w:rPr>
                <w:b w:val="false"/>
                <w:bCs w:val="false"/>
                <w:color w:val="1A1A1A"/>
                <w:sz w:val="20"/>
                <w:szCs w:val="20"/>
              </w:rPr>
              <w:t xml:space="preserve">title, slug, featuredImage, category, richText body, author, publishedDate, localized (en/zh)</w:t>
            </w:r>
          </w:p>
        </w:tc>
      </w:tr>
      <w:tr>
        <w:tc>
          <w:tcPr>
            <w:tcW w:type="dxa" w:w="2200"/>
          </w:tcPr>
          <w:p>
            <w:r>
              <w:rPr>
                <w:b w:val="false"/>
                <w:bCs w:val="false"/>
                <w:color w:val="1A1A1A"/>
                <w:sz w:val="20"/>
                <w:szCs w:val="20"/>
              </w:rPr>
              <w:t xml:space="preserve">committeeMembers</w:t>
            </w:r>
          </w:p>
        </w:tc>
        <w:tc>
          <w:tcPr>
            <w:tcW w:type="dxa" w:w="2600"/>
          </w:tcPr>
          <w:p>
            <w:r>
              <w:rPr>
                <w:b w:val="false"/>
                <w:bCs w:val="false"/>
                <w:color w:val="1A1A1A"/>
                <w:sz w:val="20"/>
                <w:szCs w:val="20"/>
              </w:rPr>
              <w:t xml:space="preserve">Board / committee profiles</w:t>
            </w:r>
          </w:p>
        </w:tc>
        <w:tc>
          <w:tcPr>
            <w:tcW w:type="dxa" w:w="4700"/>
          </w:tcPr>
          <w:p>
            <w:r>
              <w:rPr>
                <w:b w:val="false"/>
                <w:bCs w:val="false"/>
                <w:color w:val="1A1A1A"/>
                <w:sz w:val="20"/>
                <w:szCs w:val="20"/>
              </w:rPr>
              <w:t xml:space="preserve">name, photo, title, committee/department, bio</w:t>
            </w:r>
          </w:p>
        </w:tc>
      </w:tr>
      <w:tr>
        <w:tc>
          <w:tcPr>
            <w:tcW w:type="dxa" w:w="2200"/>
          </w:tcPr>
          <w:p>
            <w:r>
              <w:rPr>
                <w:b w:val="false"/>
                <w:bCs w:val="false"/>
                <w:color w:val="1A1A1A"/>
                <w:sz w:val="20"/>
                <w:szCs w:val="20"/>
              </w:rPr>
              <w:t xml:space="preserve">coreServices</w:t>
            </w:r>
          </w:p>
        </w:tc>
        <w:tc>
          <w:tcPr>
            <w:tcW w:type="dxa" w:w="2600"/>
          </w:tcPr>
          <w:p>
            <w:r>
              <w:rPr>
                <w:b w:val="false"/>
                <w:bCs w:val="false"/>
                <w:color w:val="1A1A1A"/>
                <w:sz w:val="20"/>
                <w:szCs w:val="20"/>
              </w:rPr>
              <w:t xml:space="preserve">Programs &amp; Services</w:t>
            </w:r>
          </w:p>
        </w:tc>
        <w:tc>
          <w:tcPr>
            <w:tcW w:type="dxa" w:w="4700"/>
          </w:tcPr>
          <w:p>
            <w:r>
              <w:rPr>
                <w:b w:val="false"/>
                <w:bCs w:val="false"/>
                <w:color w:val="1A1A1A"/>
                <w:sz w:val="20"/>
                <w:szCs w:val="20"/>
              </w:rPr>
              <w:t xml:space="preserve">name, icon, shortDescription, longDescription</w:t>
            </w:r>
          </w:p>
        </w:tc>
      </w:tr>
      <w:tr>
        <w:tc>
          <w:tcPr>
            <w:tcW w:type="dxa" w:w="2200"/>
          </w:tcPr>
          <w:p>
            <w:r>
              <w:rPr>
                <w:b w:val="false"/>
                <w:bCs w:val="false"/>
                <w:color w:val="1A1A1A"/>
                <w:sz w:val="20"/>
                <w:szCs w:val="20"/>
              </w:rPr>
              <w:t xml:space="preserve">prioritySectors</w:t>
            </w:r>
          </w:p>
        </w:tc>
        <w:tc>
          <w:tcPr>
            <w:tcW w:type="dxa" w:w="2600"/>
          </w:tcPr>
          <w:p>
            <w:r>
              <w:rPr>
                <w:b w:val="false"/>
                <w:bCs w:val="false"/>
                <w:color w:val="1A1A1A"/>
                <w:sz w:val="20"/>
                <w:szCs w:val="20"/>
              </w:rPr>
              <w:t xml:space="preserve">Sector grid</w:t>
            </w:r>
          </w:p>
        </w:tc>
        <w:tc>
          <w:tcPr>
            <w:tcW w:type="dxa" w:w="4700"/>
          </w:tcPr>
          <w:p>
            <w:r>
              <w:rPr>
                <w:b w:val="false"/>
                <w:bCs w:val="false"/>
                <w:color w:val="1A1A1A"/>
                <w:sz w:val="20"/>
                <w:szCs w:val="20"/>
              </w:rPr>
              <w:t xml:space="preserve">name, icon, shortDescription</w:t>
            </w:r>
          </w:p>
        </w:tc>
      </w:tr>
      <w:tr>
        <w:tc>
          <w:tcPr>
            <w:tcW w:type="dxa" w:w="2200"/>
          </w:tcPr>
          <w:p>
            <w:r>
              <w:rPr>
                <w:b w:val="false"/>
                <w:bCs w:val="false"/>
                <w:color w:val="1A1A1A"/>
                <w:sz w:val="20"/>
                <w:szCs w:val="20"/>
              </w:rPr>
              <w:t xml:space="preserve">events</w:t>
            </w:r>
          </w:p>
        </w:tc>
        <w:tc>
          <w:tcPr>
            <w:tcW w:type="dxa" w:w="2600"/>
          </w:tcPr>
          <w:p>
            <w:r>
              <w:rPr>
                <w:b w:val="false"/>
                <w:bCs w:val="false"/>
                <w:color w:val="1A1A1A"/>
                <w:sz w:val="20"/>
                <w:szCs w:val="20"/>
              </w:rPr>
              <w:t xml:space="preserve">Future events module</w:t>
            </w:r>
          </w:p>
        </w:tc>
        <w:tc>
          <w:tcPr>
            <w:tcW w:type="dxa" w:w="4700"/>
          </w:tcPr>
          <w:p>
            <w:r>
              <w:rPr>
                <w:b w:val="false"/>
                <w:bCs w:val="false"/>
                <w:color w:val="1A1A1A"/>
                <w:sz w:val="20"/>
                <w:szCs w:val="20"/>
              </w:rPr>
              <w:t xml:space="preserve">title, date, location, description, registrationLink</w:t>
            </w:r>
          </w:p>
        </w:tc>
      </w:tr>
      <w:tr>
        <w:tc>
          <w:tcPr>
            <w:tcW w:type="dxa" w:w="2200"/>
          </w:tcPr>
          <w:p>
            <w:r>
              <w:rPr>
                <w:b w:val="false"/>
                <w:bCs w:val="false"/>
                <w:color w:val="1A1A1A"/>
                <w:sz w:val="20"/>
                <w:szCs w:val="20"/>
              </w:rPr>
              <w:t xml:space="preserve">siteSettings (global)</w:t>
            </w:r>
          </w:p>
        </w:tc>
        <w:tc>
          <w:tcPr>
            <w:tcW w:type="dxa" w:w="2600"/>
          </w:tcPr>
          <w:p>
            <w:r>
              <w:rPr>
                <w:b w:val="false"/>
                <w:bCs w:val="false"/>
                <w:color w:val="1A1A1A"/>
                <w:sz w:val="20"/>
                <w:szCs w:val="20"/>
              </w:rPr>
              <w:t xml:space="preserve">Editable site-wide options</w:t>
            </w:r>
          </w:p>
        </w:tc>
        <w:tc>
          <w:tcPr>
            <w:tcW w:type="dxa" w:w="4700"/>
          </w:tcPr>
          <w:p>
            <w:r>
              <w:rPr>
                <w:b w:val="false"/>
                <w:bCs w:val="false"/>
                <w:color w:val="1A1A1A"/>
                <w:sz w:val="20"/>
                <w:szCs w:val="20"/>
              </w:rPr>
              <w:t xml:space="preserve">contact details, hero headline/slogan, social links, footer content</w:t>
            </w:r>
          </w:p>
        </w:tc>
      </w:tr>
    </w:tbl>
    <w:p>
      <w:pPr>
        <w:pStyle w:val="Heading2"/>
        <w:spacing w:after="150" w:before="300"/>
      </w:pPr>
      <w:r>
        <w:t xml:space="preserve">6.3 API / Data Flow</w:t>
      </w:r>
    </w:p>
    <w:p>
      <w:pPr>
        <w:pStyle w:val="ListParagraph"/>
        <w:numPr>
          <w:ilvl w:val="0"/>
          <w:numId w:val="1"/>
        </w:numPr>
        <w:spacing w:after="60"/>
      </w:pPr>
      <w:r>
        <w:t xml:space="preserve">Next.js pages fetch content from Payload's REST or GraphQL API at build time (SSG) for marketing pages, and via ISR/revalidation for the blog so new posts appear without a full redeploy</w:t>
      </w:r>
    </w:p>
    <w:p>
      <w:pPr>
        <w:pStyle w:val="ListParagraph"/>
        <w:numPr>
          <w:ilvl w:val="0"/>
          <w:numId w:val="1"/>
        </w:numPr>
        <w:spacing w:after="60"/>
      </w:pPr>
      <w:r>
        <w:t xml:space="preserve">Preview mode: enable Payload's draft-preview so editors can view unpublished changes before going live</w:t>
      </w:r>
    </w:p>
    <w:p>
      <w:pPr>
        <w:pStyle w:val="Heading2"/>
        <w:spacing w:after="150" w:before="300"/>
      </w:pPr>
      <w:r>
        <w:t xml:space="preserve">6.4 Non-Functional Requirements</w:t>
      </w:r>
    </w:p>
    <w:p>
      <w:pPr>
        <w:pStyle w:val="ListParagraph"/>
        <w:numPr>
          <w:ilvl w:val="0"/>
          <w:numId w:val="1"/>
        </w:numPr>
        <w:spacing w:after="60"/>
      </w:pPr>
      <w:r>
        <w:t xml:space="preserve">Mobile-first, fully responsive</w:t>
      </w:r>
    </w:p>
    <w:p>
      <w:pPr>
        <w:pStyle w:val="ListParagraph"/>
        <w:numPr>
          <w:ilvl w:val="0"/>
          <w:numId w:val="1"/>
        </w:numPr>
        <w:spacing w:after="60"/>
      </w:pPr>
      <w:r>
        <w:t xml:space="preserve">Fast load: Next.js Image component for optimized/lazy images, edge caching via Vercel or a CDN</w:t>
      </w:r>
    </w:p>
    <w:p>
      <w:pPr>
        <w:pStyle w:val="ListParagraph"/>
        <w:numPr>
          <w:ilvl w:val="0"/>
          <w:numId w:val="1"/>
        </w:numPr>
        <w:spacing w:after="60"/>
      </w:pPr>
      <w:r>
        <w:t xml:space="preserve">Accessible: semantic HTML, WCAG AA contrast (verify blue/gold/white combinations), alt text everywhere</w:t>
      </w:r>
    </w:p>
    <w:p>
      <w:pPr>
        <w:pStyle w:val="ListParagraph"/>
        <w:numPr>
          <w:ilvl w:val="0"/>
          <w:numId w:val="1"/>
        </w:numPr>
        <w:spacing w:after="60"/>
      </w:pPr>
      <w:r>
        <w:t xml:space="preserve">SEO: per-page metadata via Next.js Metadata API, Organization structured data (schema.org), sitemap.xml + robots.txt generated</w:t>
      </w:r>
    </w:p>
    <w:p>
      <w:pPr>
        <w:pStyle w:val="ListParagraph"/>
        <w:numPr>
          <w:ilvl w:val="0"/>
          <w:numId w:val="1"/>
        </w:numPr>
        <w:spacing w:after="60"/>
      </w:pPr>
      <w:r>
        <w:t xml:space="preserve">100% of client-specific content (team, sectors, services, contact info, blog) editable by non-technical staff from the Payload admin dashboard with zero code changes</w:t>
      </w:r>
    </w:p>
    <w:p>
      <w:r>
        <w:br w:type="page"/>
      </w:r>
    </w:p>
    <w:p>
      <w:pPr>
        <w:pStyle w:val="Heading1"/>
        <w:spacing w:after="200" w:before="400"/>
      </w:pPr>
      <w:r>
        <w:t xml:space="preserve">7. Placeholder Media Plan (Temporary — Swap Before Launch)</w:t>
      </w:r>
    </w:p>
    <w:p>
      <w:pPr>
        <w:spacing w:after="120"/>
      </w:pPr>
      <w:r>
        <w:t xml:space="preserve">Real photography (board members, ACCBCF meetings, the Abuja office) isn't available yet. Until it is, use dignified stock photography from Unsplash (free, commercial-use, no attribution required) in these categories. Every placeholder image must be wired through the CMS media field it will eventually occupy, so swapping in real photography later is a content-team task, not a code change.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0064B4" w:val="clear"/>
          </w:tcPr>
          <w:p>
            <w:r>
              <w:rPr>
                <w:b/>
                <w:bCs/>
                <w:color w:val="FFFFFF"/>
                <w:sz w:val="20"/>
                <w:szCs w:val="20"/>
              </w:rPr>
              <w:t xml:space="preserve">Placement</w:t>
            </w:r>
          </w:p>
        </w:tc>
        <w:tc>
          <w:tcPr>
            <w:tcW w:type="dxa" w:w="6300"/>
            <w:shd w:fill="0064B4" w:val="clear"/>
          </w:tcPr>
          <w:p>
            <w:r>
              <w:rPr>
                <w:b/>
                <w:bCs/>
                <w:color w:val="FFFFFF"/>
                <w:sz w:val="20"/>
                <w:szCs w:val="20"/>
              </w:rPr>
              <w:t xml:space="preserve">Search Category (Unsplash)</w:t>
            </w:r>
          </w:p>
        </w:tc>
      </w:tr>
      <w:tr>
        <w:tc>
          <w:tcPr>
            <w:tcW w:type="dxa" w:w="3200"/>
          </w:tcPr>
          <w:p>
            <w:r>
              <w:rPr>
                <w:b w:val="false"/>
                <w:bCs w:val="false"/>
                <w:color w:val="1A1A1A"/>
                <w:sz w:val="20"/>
                <w:szCs w:val="20"/>
              </w:rPr>
              <w:t xml:space="preserve">Hero background texture</w:t>
            </w:r>
          </w:p>
        </w:tc>
        <w:tc>
          <w:tcPr>
            <w:tcW w:type="dxa" w:w="6300"/>
          </w:tcPr>
          <w:p>
            <w:r>
              <w:rPr>
                <w:b w:val="false"/>
                <w:bCs w:val="false"/>
                <w:color w:val="1A1A1A"/>
                <w:sz w:val="20"/>
                <w:szCs w:val="20"/>
              </w:rPr>
              <w:t xml:space="preserve">unsplash.com/s/photos/africa-map-gold OR abstract-gold-texture</w:t>
            </w:r>
          </w:p>
        </w:tc>
      </w:tr>
      <w:tr>
        <w:tc>
          <w:tcPr>
            <w:tcW w:type="dxa" w:w="3200"/>
          </w:tcPr>
          <w:p>
            <w:r>
              <w:rPr>
                <w:b w:val="false"/>
                <w:bCs w:val="false"/>
                <w:color w:val="1A1A1A"/>
                <w:sz w:val="20"/>
                <w:szCs w:val="20"/>
              </w:rPr>
              <w:t xml:space="preserve">About / credibility section</w:t>
            </w:r>
          </w:p>
        </w:tc>
        <w:tc>
          <w:tcPr>
            <w:tcW w:type="dxa" w:w="6300"/>
          </w:tcPr>
          <w:p>
            <w:r>
              <w:rPr>
                <w:b w:val="false"/>
                <w:bCs w:val="false"/>
                <w:color w:val="1A1A1A"/>
                <w:sz w:val="20"/>
                <w:szCs w:val="20"/>
              </w:rPr>
              <w:t xml:space="preserve">unsplash.com/s/photos/african-business-meeting</w:t>
            </w:r>
          </w:p>
        </w:tc>
      </w:tr>
      <w:tr>
        <w:tc>
          <w:tcPr>
            <w:tcW w:type="dxa" w:w="3200"/>
          </w:tcPr>
          <w:p>
            <w:r>
              <w:rPr>
                <w:b w:val="false"/>
                <w:bCs w:val="false"/>
                <w:color w:val="1A1A1A"/>
                <w:sz w:val="20"/>
                <w:szCs w:val="20"/>
              </w:rPr>
              <w:t xml:space="preserve">Governance / committee cards</w:t>
            </w:r>
          </w:p>
        </w:tc>
        <w:tc>
          <w:tcPr>
            <w:tcW w:type="dxa" w:w="6300"/>
          </w:tcPr>
          <w:p>
            <w:r>
              <w:rPr>
                <w:b w:val="false"/>
                <w:bCs w:val="false"/>
                <w:color w:val="1A1A1A"/>
                <w:sz w:val="20"/>
                <w:szCs w:val="20"/>
              </w:rPr>
              <w:t xml:space="preserve">unsplash.com/s/photos/business-portrait-professional (placeholder headshots — swap per member)</w:t>
            </w:r>
          </w:p>
        </w:tc>
      </w:tr>
      <w:tr>
        <w:tc>
          <w:tcPr>
            <w:tcW w:type="dxa" w:w="3200"/>
          </w:tcPr>
          <w:p>
            <w:r>
              <w:rPr>
                <w:b w:val="false"/>
                <w:bCs w:val="false"/>
                <w:color w:val="1A1A1A"/>
                <w:sz w:val="20"/>
                <w:szCs w:val="20"/>
              </w:rPr>
              <w:t xml:space="preserve">Strategic Positioning / G2G imagery</w:t>
            </w:r>
          </w:p>
        </w:tc>
        <w:tc>
          <w:tcPr>
            <w:tcW w:type="dxa" w:w="6300"/>
          </w:tcPr>
          <w:p>
            <w:r>
              <w:rPr>
                <w:b w:val="false"/>
                <w:bCs w:val="false"/>
                <w:color w:val="1A1A1A"/>
                <w:sz w:val="20"/>
                <w:szCs w:val="20"/>
              </w:rPr>
              <w:t xml:space="preserve">unsplash.com/s/photos/government-building-africa</w:t>
            </w:r>
          </w:p>
        </w:tc>
      </w:tr>
      <w:tr>
        <w:tc>
          <w:tcPr>
            <w:tcW w:type="dxa" w:w="3200"/>
          </w:tcPr>
          <w:p>
            <w:r>
              <w:rPr>
                <w:b w:val="false"/>
                <w:bCs w:val="false"/>
                <w:color w:val="1A1A1A"/>
                <w:sz w:val="20"/>
                <w:szCs w:val="20"/>
              </w:rPr>
              <w:t xml:space="preserve">Priority Sectors icons</w:t>
            </w:r>
          </w:p>
        </w:tc>
        <w:tc>
          <w:tcPr>
            <w:tcW w:type="dxa" w:w="6300"/>
          </w:tcPr>
          <w:p>
            <w:r>
              <w:rPr>
                <w:b w:val="false"/>
                <w:bCs w:val="false"/>
                <w:color w:val="1A1A1A"/>
                <w:sz w:val="20"/>
                <w:szCs w:val="20"/>
              </w:rPr>
              <w:t xml:space="preserve">use a consistent icon set (Phosphor Icons or Lucide) rather than photos — swap for custom brand icons later if commissioned</w:t>
            </w:r>
          </w:p>
        </w:tc>
      </w:tr>
      <w:tr>
        <w:tc>
          <w:tcPr>
            <w:tcW w:type="dxa" w:w="3200"/>
          </w:tcPr>
          <w:p>
            <w:r>
              <w:rPr>
                <w:b w:val="false"/>
                <w:bCs w:val="false"/>
                <w:color w:val="1A1A1A"/>
                <w:sz w:val="20"/>
                <w:szCs w:val="20"/>
              </w:rPr>
              <w:t xml:space="preserve">News &amp; Insights placeholder covers</w:t>
            </w:r>
          </w:p>
        </w:tc>
        <w:tc>
          <w:tcPr>
            <w:tcW w:type="dxa" w:w="6300"/>
          </w:tcPr>
          <w:p>
            <w:r>
              <w:rPr>
                <w:b w:val="false"/>
                <w:bCs w:val="false"/>
                <w:color w:val="1A1A1A"/>
                <w:sz w:val="20"/>
                <w:szCs w:val="20"/>
              </w:rPr>
              <w:t xml:space="preserve">unsplash.com/s/photos/business-conference</w:t>
            </w:r>
          </w:p>
        </w:tc>
      </w:tr>
      <w:tr>
        <w:tc>
          <w:tcPr>
            <w:tcW w:type="dxa" w:w="3200"/>
          </w:tcPr>
          <w:p>
            <w:r>
              <w:rPr>
                <w:b w:val="false"/>
                <w:bCs w:val="false"/>
                <w:color w:val="1A1A1A"/>
                <w:sz w:val="20"/>
                <w:szCs w:val="20"/>
              </w:rPr>
              <w:t xml:space="preserve">Contact / office section</w:t>
            </w:r>
          </w:p>
        </w:tc>
        <w:tc>
          <w:tcPr>
            <w:tcW w:type="dxa" w:w="6300"/>
          </w:tcPr>
          <w:p>
            <w:r>
              <w:rPr>
                <w:b w:val="false"/>
                <w:bCs w:val="false"/>
                <w:color w:val="1A1A1A"/>
                <w:sz w:val="20"/>
                <w:szCs w:val="20"/>
              </w:rPr>
              <w:t xml:space="preserve">unsplash.com/s/photos/abuja-nigeria OR modern-office-building</w:t>
            </w:r>
          </w:p>
        </w:tc>
      </w:tr>
    </w:tbl>
    <w:p>
      <w:pPr>
        <w:spacing w:after="120"/>
      </w:pPr>
      <w:r>
        <w:t xml:space="preserve">Note: do not hotlink specific Unsplash photo URLs without checking the photo is still live — pull fresh from the categories above at build time and store the chosen images as local/CMS-hosted assets rather than permanent hotlinks to Unsplash's CDN.</w:t>
      </w:r>
    </w:p>
    <w:p>
      <w:r>
        <w:br w:type="page"/>
      </w:r>
    </w:p>
    <w:p>
      <w:pPr>
        <w:pStyle w:val="Heading1"/>
        <w:spacing w:after="200" w:before="400"/>
      </w:pPr>
      <w:r>
        <w:t xml:space="preserve">8. Corrections vs. Current Demo</w:t>
      </w:r>
    </w:p>
    <w:p>
      <w:pPr>
        <w:spacing w:after="120"/>
      </w:pPr>
      <w:r>
        <w:t xml:space="preserve">The current homepage demo at thekingsministry.org/test/ is a generic template carrying a different organization's placeholder content ("African-China Chairman Forum", Beijing/Addis Ababa contact info, stock board-member photos, invented stats and news). None of that content, imagery, or copy should carry over. This product bible replaces it entirely with ACCBCF's real identity, structure, and copy above.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ecc1e8c5b29dd807a38b909ebd8c013a594a5ea.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2026-09-07T11:47:30.643Z</dcterms:created>
  <dcterms:modified xsi:type="dcterms:W3CDTF">2026-09-07T11:47:30.655Z</dcterms:modified>
</cp:coreProperties>
</file>

<file path=docProps/custom.xml><?xml version="1.0" encoding="utf-8"?>
<Properties xmlns="http://schemas.openxmlformats.org/officeDocument/2006/custom-properties" xmlns:vt="http://schemas.openxmlformats.org/officeDocument/2006/docPropsVTypes"/>
</file>