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>豆粕是大豆提取豆油后得到的一种副产品，大部分用作饲料，少部分用于发酵食品生产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。</w:t>
      </w:r>
      <w:r>
        <w:rPr>
          <w:rFonts w:ascii="Arial" w:hAnsi="Arial" w:eastAsia="宋体" w:cs="Arial"/>
          <w:kern w:val="0"/>
          <w:sz w:val="24"/>
          <w:szCs w:val="24"/>
          <w:lang w:val="en-US" w:eastAsia="zh-CN" w:bidi="ar"/>
        </w:rPr>
        <w:t>按照产业链来看，我国豆粕产业链上游主要为大豆生产环节，下游主要包括饲料行业、食品行业、化妆品行业和抗菌素原料。目前豆粕下游产业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90%</w:t>
      </w:r>
      <w:r>
        <w:rPr>
          <w:rFonts w:ascii="Arial" w:hAnsi="Arial" w:eastAsia="宋体" w:cs="Arial"/>
          <w:kern w:val="0"/>
          <w:sz w:val="24"/>
          <w:szCs w:val="24"/>
          <w:lang w:val="en-US" w:eastAsia="zh-CN" w:bidi="ar"/>
        </w:rPr>
        <w:t>集中在饲料行业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，其中用于生猪养殖业占比最多，达46%，肉禽、蛋禽以及水产饲料分别占22%、18%、7%。</w:t>
      </w:r>
      <w:bookmarkStart w:id="0" w:name="_GoBack"/>
      <w:bookmarkEnd w:id="0"/>
    </w:p>
    <w:p>
      <w:pP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108325"/>
            <wp:effectExtent l="0" t="0" r="2540" b="15875"/>
            <wp:docPr id="1" name="图片 1" descr="豆粕下游占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豆粕下游占比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2022-01-05T06:16:05Z</dcterms:created>
  <dc:creator>admin</dc:creator>
  <cp:lastModifiedBy>CrystaLeeZx</cp:lastModifiedBy>
  <dcterms:modified xsi:type="dcterms:W3CDTF">2022-01-05T06:33:24Z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AD2374CC6D284A7B9B5CDD3401D19B7F</vt:lpwstr>
  </property>
</Properties>
</file>