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Wakanda Jobs Partner &amp; Investor Brief</w:t>
      </w:r>
    </w:p>
    <w:p>
      <w:pPr>
        <w:pStyle w:val="Subtitle"/>
      </w:pPr>
      <w:r>
        <w:t xml:space="preserve">A pan-African jobs, talent and labour-market intelligence platform</w:t>
      </w:r>
    </w:p>
    <w:p>
      <w:pPr>
        <w:pStyle w:val="Meta"/>
      </w:pPr>
      <w:r>
        <w:t xml:space="preserve">Wakanda Jobs · 8 June 2026 · Confidential</w:t>
      </w:r>
    </w:p>
    <w:p>
      <w:r>
        <w:br w:type="page"/>
      </w:r>
    </w:p>
    <w:p>
      <w:pPr>
        <w:pStyle w:val="Heading1"/>
      </w:pPr>
      <w:r>
        <w:t xml:space="preserve">The opportunity</w:t>
      </w:r>
    </w:p>
    <w:p>
      <w:pPr>
        <w:pStyle w:val="Lead"/>
      </w:pPr>
      <w:r>
        <w:t xml:space="preserve">Wakanda Jobs aggregates current employment opportunities across African markets and is building the transaction layer around them: employer hiring products, personalized WhatsApp alerts, candidate career services, verified talent access and labour-market data.</w:t>
      </w:r>
    </w:p>
    <w:tbl>
      <w:tblPr>
        <w:tblW w:w="9000" w:type="dxa"/>
        <w:tblBorders>
          <w:top w:val="single" w:sz="8" w:color="12B76A"/>
          <w:left w:val="single" w:sz="20" w:color="12B76A"/>
          <w:bottom w:val="single" w:sz="8" w:color="12B76A"/>
          <w:right w:val="single" w:sz="8" w:color="12B76A"/>
        </w:tblBorders>
      </w:tblPr>
      <w:tr>
        <w:tc>
          <w:tcPr>
            <w:tcW w:w="9000" w:type="dxa"/>
          </w:tcPr>
          <w:p>
            <w:r>
              <w:rPr/>
              <w:t xml:space="preserve">Current proof
22,724 jobs, 15,203 jobs added in 30 days, 1,648 applications, 5,403 companies in the prospect database, K2,059 completed payment ledger and the first active employer subscription.</w:t>
            </w:r>
          </w:p>
        </w:tc>
      </w:tr>
    </w:tbl>
    <w:p>
      <w:pPr>
        <w:pStyle w:val="Heading1"/>
      </w:pPr>
      <w:r>
        <w:t xml:space="preserve">Why this can become valuable</w:t>
      </w:r>
    </w:p>
    <w:p>
      <w:pPr>
        <w:pStyle w:val="Body"/>
        <w:numPr>
          <w:ilvl w:val="0"/>
          <w:numId w:val="1"/>
        </w:numPr>
      </w:pPr>
      <w:r>
        <w:t xml:space="preserve">Pan-African supply: meaningful live job inventory in South Africa, Nigeria, Kenya, Zambia and other markets.</w:t>
      </w:r>
    </w:p>
    <w:p>
      <w:pPr>
        <w:pStyle w:val="Body"/>
        <w:numPr>
          <w:ilvl w:val="0"/>
          <w:numId w:val="1"/>
        </w:numPr>
      </w:pPr>
      <w:r>
        <w:t xml:space="preserve">WhatsApp-native distribution: personalized alerts meet users in the channel they already use.</w:t>
      </w:r>
    </w:p>
    <w:p>
      <w:pPr>
        <w:pStyle w:val="Body"/>
        <w:numPr>
          <w:ilvl w:val="0"/>
          <w:numId w:val="1"/>
        </w:numPr>
      </w:pPr>
      <w:r>
        <w:t xml:space="preserve">Multiple revenue paths: subscriptions, credits, premium visibility, alerts, verification, talent access, services and data.</w:t>
      </w:r>
    </w:p>
    <w:p>
      <w:pPr>
        <w:pStyle w:val="Body"/>
        <w:numPr>
          <w:ilvl w:val="0"/>
          <w:numId w:val="1"/>
        </w:numPr>
      </w:pPr>
      <w:r>
        <w:t xml:space="preserve">Data compounding: jobs, companies, candidate behavior and outcomes can become labour-market intelligence products.</w:t>
      </w:r>
    </w:p>
    <w:p>
      <w:pPr>
        <w:pStyle w:val="Body"/>
        <w:numPr>
          <w:ilvl w:val="0"/>
          <w:numId w:val="1"/>
        </w:numPr>
      </w:pPr>
      <w:r>
        <w:t xml:space="preserve">Local payment and operational workflows: online and manual-payment approval paths are already implemented.</w:t>
      </w:r>
    </w:p>
    <w:p>
      <w:pPr>
        <w:pStyle w:val="Heading1"/>
      </w:pPr>
      <w:r>
        <w:t xml:space="preserve">Traction and current stage</w:t>
      </w:r>
    </w:p>
    <w:tbl>
      <w:tblPr>
        <w:tblW w:w="9000" w:type="dxa"/>
        <w:tblBorders>
          <w:top w:val="single" w:sz="4" w:color="B7C0CE"/>
          <w:left w:val="single" w:sz="4" w:color="B7C0CE"/>
          <w:bottom w:val="single" w:sz="4" w:color="B7C0CE"/>
          <w:right w:val="single" w:sz="4" w:color="B7C0CE"/>
          <w:insideH w:val="single" w:sz="4" w:color="D0D5DD"/>
          <w:insideV w:val="single" w:sz="4" w:color="D0D5DD"/>
        </w:tblBorders>
      </w:tblPr>
      <w:tr>
        <w:tc>
          <w:tcPr>
            <w:tcW w:w="4500" w:type="dxa"/>
            <w:shd w:fill="135D48"/>
          </w:tcPr>
          <w:p>
            <w:r>
              <w:rPr>
                <w:color w:val="FFFFFF"/>
                <w:b/>
              </w:rPr>
              <w:t xml:space="preserve">Indicator</w:t>
            </w:r>
          </w:p>
        </w:tc>
        <w:tc>
          <w:tcPr>
            <w:tcW w:w="4500" w:type="dxa"/>
            <w:shd w:fill="135D48"/>
          </w:tcPr>
          <w:p>
            <w:r>
              <w:rPr>
                <w:color w:val="FFFFFF"/>
                <w:b/>
              </w:rPr>
              <w:t xml:space="preserve">Actual as at 8 June 2026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Jobs in database</w:t>
            </w:r>
          </w:p>
        </w:tc>
        <w:tc>
          <w:tcPr>
            <w:tcW w:w="4500" w:type="dxa"/>
          </w:tcPr>
          <w:p>
            <w:r>
              <w:rPr/>
              <w:t xml:space="preserve">22,724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Jobs added in last 30 days</w:t>
            </w:r>
          </w:p>
        </w:tc>
        <w:tc>
          <w:tcPr>
            <w:tcW w:w="4500" w:type="dxa"/>
          </w:tcPr>
          <w:p>
            <w:r>
              <w:rPr/>
              <w:t xml:space="preserve">15,203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Countries represented</w:t>
            </w:r>
          </w:p>
        </w:tc>
        <w:tc>
          <w:tcPr>
            <w:tcW w:w="4500" w:type="dxa"/>
          </w:tcPr>
          <w:p>
            <w:r>
              <w:rPr/>
              <w:t xml:space="preserve">16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Companies identified</w:t>
            </w:r>
          </w:p>
        </w:tc>
        <w:tc>
          <w:tcPr>
            <w:tcW w:w="4500" w:type="dxa"/>
          </w:tcPr>
          <w:p>
            <w:r>
              <w:rPr/>
              <w:t xml:space="preserve">5,403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Registered accounts</w:t>
            </w:r>
          </w:p>
        </w:tc>
        <w:tc>
          <w:tcPr>
            <w:tcW w:w="4500" w:type="dxa"/>
          </w:tcPr>
          <w:p>
            <w:r>
              <w:rPr/>
              <w:t xml:space="preserve">19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Applications</w:t>
            </w:r>
          </w:p>
        </w:tc>
        <w:tc>
          <w:tcPr>
            <w:tcW w:w="4500" w:type="dxa"/>
          </w:tcPr>
          <w:p>
            <w:r>
              <w:rPr/>
              <w:t xml:space="preserve">1,648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Completed payments</w:t>
            </w:r>
          </w:p>
        </w:tc>
        <w:tc>
          <w:tcPr>
            <w:tcW w:w="4500" w:type="dxa"/>
          </w:tcPr>
          <w:p>
            <w:r>
              <w:rPr/>
              <w:t xml:space="preserve">8 totaling K2,059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Active recurring employer account</w:t>
            </w:r>
          </w:p>
        </w:tc>
        <w:tc>
          <w:tcPr>
            <w:tcW w:w="4500" w:type="dxa"/>
          </w:tcPr>
          <w:p>
            <w:r>
              <w:rPr/>
              <w:t xml:space="preserve">1 at K650/month</w:t>
            </w:r>
          </w:p>
        </w:tc>
      </w:tr>
      <w:tr>
        <w:tc>
          <w:tcPr>
            <w:tcW w:w="4500" w:type="dxa"/>
          </w:tcPr>
          <w:p>
            <w:r>
              <w:rPr/>
              <w:t xml:space="preserve">VIP WhatsApp alert records</w:t>
            </w:r>
          </w:p>
        </w:tc>
        <w:tc>
          <w:tcPr>
            <w:tcW w:w="4500" w:type="dxa"/>
          </w:tcPr>
          <w:p>
            <w:r>
              <w:rPr/>
              <w:t xml:space="preserve">15 total; 4 currently active</w:t>
            </w:r>
          </w:p>
        </w:tc>
      </w:tr>
    </w:tbl>
    <w:p>
      <w:pPr>
        <w:pStyle w:val="Body"/>
      </w:pPr>
      <w:r>
        <w:t xml:space="preserve">Stage assessment: early commercial validation. The technical platform is ahead of customer acquisition. The next milestone is proving a repeatable direct-employer and candidate-conversion engine.</w:t>
      </w:r>
    </w:p>
    <w:p>
      <w:pPr>
        <w:pStyle w:val="Heading1"/>
      </w:pPr>
      <w:r>
        <w:t xml:space="preserve">Partner models and partner benefits</w:t>
      </w:r>
    </w:p>
    <w:tbl>
      <w:tblPr>
        <w:tblW w:w="9000" w:type="dxa"/>
        <w:tblBorders>
          <w:top w:val="single" w:sz="4" w:color="B7C0CE"/>
          <w:left w:val="single" w:sz="4" w:color="B7C0CE"/>
          <w:bottom w:val="single" w:sz="4" w:color="B7C0CE"/>
          <w:right w:val="single" w:sz="4" w:color="B7C0CE"/>
          <w:insideH w:val="single" w:sz="4" w:color="D0D5DD"/>
          <w:insideV w:val="single" w:sz="4" w:color="D0D5DD"/>
        </w:tblBorders>
      </w:tblPr>
      <w:tr>
        <w:tc>
          <w:tcPr>
            <w:tcW w:w="2250" w:type="dxa"/>
            <w:shd w:fill="135D48"/>
          </w:tcPr>
          <w:p>
            <w:r>
              <w:rPr>
                <w:color w:val="FFFFFF"/>
                <w:b/>
              </w:rPr>
              <w:t xml:space="preserve">Partner type</w:t>
            </w:r>
          </w:p>
        </w:tc>
        <w:tc>
          <w:tcPr>
            <w:tcW w:w="2250" w:type="dxa"/>
            <w:shd w:fill="135D48"/>
          </w:tcPr>
          <w:p>
            <w:r>
              <w:rPr>
                <w:color w:val="FFFFFF"/>
                <w:b/>
              </w:rPr>
              <w:t xml:space="preserve">Proposed pilot</w:t>
            </w:r>
          </w:p>
        </w:tc>
        <w:tc>
          <w:tcPr>
            <w:tcW w:w="2250" w:type="dxa"/>
            <w:shd w:fill="135D48"/>
          </w:tcPr>
          <w:p>
            <w:r>
              <w:rPr>
                <w:color w:val="FFFFFF"/>
                <w:b/>
              </w:rPr>
              <w:t xml:space="preserve">Partner benefit</w:t>
            </w:r>
          </w:p>
        </w:tc>
        <w:tc>
          <w:tcPr>
            <w:tcW w:w="2250" w:type="dxa"/>
            <w:shd w:fill="135D48"/>
          </w:tcPr>
          <w:p>
            <w:r>
              <w:rPr>
                <w:color w:val="FFFFFF"/>
                <w:b/>
              </w:rPr>
              <w:t xml:space="preserve">Wakanda Jobs benefit</w:t>
            </w:r>
          </w:p>
        </w:tc>
      </w:tr>
      <w:tr>
        <w:tc>
          <w:tcPr>
            <w:tcW w:w="2250" w:type="dxa"/>
          </w:tcPr>
          <w:p>
            <w:r>
              <w:rPr/>
              <w:t xml:space="preserve">Mobile network / fintech / payment provider</w:t>
            </w:r>
          </w:p>
        </w:tc>
        <w:tc>
          <w:tcPr>
            <w:tcW w:w="2250" w:type="dxa"/>
          </w:tcPr>
          <w:p>
            <w:r>
              <w:rPr/>
              <w:t xml:space="preserve">Sponsored WhatsApp jobs channel, zero-rated or bundled job alerts, co-branded youth-employment campaign</w:t>
            </w:r>
          </w:p>
        </w:tc>
        <w:tc>
          <w:tcPr>
            <w:tcW w:w="2250" w:type="dxa"/>
          </w:tcPr>
          <w:p>
            <w:r>
              <w:rPr/>
              <w:t xml:space="preserve">Customer engagement, transaction volume, youth-impact visibility, brand trust</w:t>
            </w:r>
          </w:p>
        </w:tc>
        <w:tc>
          <w:tcPr>
            <w:tcW w:w="2250" w:type="dxa"/>
          </w:tcPr>
          <w:p>
            <w:r>
              <w:rPr/>
              <w:t xml:space="preserve">Distribution, payment conversion, sponsorship revenue</w:t>
            </w:r>
          </w:p>
        </w:tc>
      </w:tr>
      <w:tr>
        <w:tc>
          <w:tcPr>
            <w:tcW w:w="2250" w:type="dxa"/>
          </w:tcPr>
          <w:p>
            <w:r>
              <w:rPr/>
              <w:t xml:space="preserve">University / college / training provider</w:t>
            </w:r>
          </w:p>
        </w:tc>
        <w:tc>
          <w:tcPr>
            <w:tcW w:w="2250" w:type="dxa"/>
          </w:tcPr>
          <w:p>
            <w:r>
              <w:rPr/>
              <w:t xml:space="preserve">Graduate jobs channel, CV clinics, employer days and placement dashboard</w:t>
            </w:r>
          </w:p>
        </w:tc>
        <w:tc>
          <w:tcPr>
            <w:tcW w:w="2250" w:type="dxa"/>
          </w:tcPr>
          <w:p>
            <w:r>
              <w:rPr/>
              <w:t xml:space="preserve">Graduate outcomes, student value, employer relationships and shared service revenue</w:t>
            </w:r>
          </w:p>
        </w:tc>
        <w:tc>
          <w:tcPr>
            <w:tcW w:w="2250" w:type="dxa"/>
          </w:tcPr>
          <w:p>
            <w:r>
              <w:rPr/>
              <w:t xml:space="preserve">Candidate acquisition, verified profiles and service sales</w:t>
            </w:r>
          </w:p>
        </w:tc>
      </w:tr>
      <w:tr>
        <w:tc>
          <w:tcPr>
            <w:tcW w:w="2250" w:type="dxa"/>
          </w:tcPr>
          <w:p>
            <w:r>
              <w:rPr/>
              <w:t xml:space="preserve">Employer association / chamber</w:t>
            </w:r>
          </w:p>
        </w:tc>
        <w:tc>
          <w:tcPr>
            <w:tcW w:w="2250" w:type="dxa"/>
          </w:tcPr>
          <w:p>
            <w:r>
              <w:rPr/>
              <w:t xml:space="preserve">Member vacancy distribution and hiring dashboard</w:t>
            </w:r>
          </w:p>
        </w:tc>
        <w:tc>
          <w:tcPr>
            <w:tcW w:w="2250" w:type="dxa"/>
          </w:tcPr>
          <w:p>
            <w:r>
              <w:rPr/>
              <w:t xml:space="preserve">Lower recruitment cost, wider reach and labour insights</w:t>
            </w:r>
          </w:p>
        </w:tc>
        <w:tc>
          <w:tcPr>
            <w:tcW w:w="2250" w:type="dxa"/>
          </w:tcPr>
          <w:p>
            <w:r>
              <w:rPr/>
              <w:t xml:space="preserve">Direct employer pipeline and subscription revenue</w:t>
            </w:r>
          </w:p>
        </w:tc>
      </w:tr>
      <w:tr>
        <w:tc>
          <w:tcPr>
            <w:tcW w:w="2250" w:type="dxa"/>
          </w:tcPr>
          <w:p>
            <w:r>
              <w:rPr/>
              <w:t xml:space="preserve">NGO / development institution</w:t>
            </w:r>
          </w:p>
        </w:tc>
        <w:tc>
          <w:tcPr>
            <w:tcW w:w="2250" w:type="dxa"/>
          </w:tcPr>
          <w:p>
            <w:r>
              <w:rPr/>
              <w:t xml:space="preserve">Youth, women, disability or regional employment campaign with impact reporting</w:t>
            </w:r>
          </w:p>
        </w:tc>
        <w:tc>
          <w:tcPr>
            <w:tcW w:w="2250" w:type="dxa"/>
          </w:tcPr>
          <w:p>
            <w:r>
              <w:rPr/>
              <w:t xml:space="preserve">Measurable reach, applications and labour-market reporting</w:t>
            </w:r>
          </w:p>
        </w:tc>
        <w:tc>
          <w:tcPr>
            <w:tcW w:w="2250" w:type="dxa"/>
          </w:tcPr>
          <w:p>
            <w:r>
              <w:rPr/>
              <w:t xml:space="preserve">Programme funding, credibility and data products</w:t>
            </w:r>
          </w:p>
        </w:tc>
      </w:tr>
      <w:tr>
        <w:tc>
          <w:tcPr>
            <w:tcW w:w="2250" w:type="dxa"/>
          </w:tcPr>
          <w:p>
            <w:r>
              <w:rPr/>
              <w:t xml:space="preserve">Media house / creator network</w:t>
            </w:r>
          </w:p>
        </w:tc>
        <w:tc>
          <w:tcPr>
            <w:tcW w:w="2250" w:type="dxa"/>
          </w:tcPr>
          <w:p>
            <w:r>
              <w:rPr/>
              <w:t xml:space="preserve">Co-branded job channel and weekly hiring content</w:t>
            </w:r>
          </w:p>
        </w:tc>
        <w:tc>
          <w:tcPr>
            <w:tcW w:w="2250" w:type="dxa"/>
          </w:tcPr>
          <w:p>
            <w:r>
              <w:rPr/>
              <w:t xml:space="preserve">High-frequency useful content and sponsorship inventory</w:t>
            </w:r>
          </w:p>
        </w:tc>
        <w:tc>
          <w:tcPr>
            <w:tcW w:w="2250" w:type="dxa"/>
          </w:tcPr>
          <w:p>
            <w:r>
              <w:rPr/>
              <w:t xml:space="preserve">Audience reach and ad inventory</w:t>
            </w:r>
          </w:p>
        </w:tc>
      </w:tr>
      <w:tr>
        <w:tc>
          <w:tcPr>
            <w:tcW w:w="2250" w:type="dxa"/>
          </w:tcPr>
          <w:p>
            <w:r>
              <w:rPr/>
              <w:t xml:space="preserve">Recruitment agency / HR consultancy</w:t>
            </w:r>
          </w:p>
        </w:tc>
        <w:tc>
          <w:tcPr>
            <w:tcW w:w="2250" w:type="dxa"/>
          </w:tcPr>
          <w:p>
            <w:r>
              <w:rPr/>
              <w:t xml:space="preserve">Candidate sourcing, verified talent pool and overflow vacancy distribution</w:t>
            </w:r>
          </w:p>
        </w:tc>
        <w:tc>
          <w:tcPr>
            <w:tcW w:w="2250" w:type="dxa"/>
          </w:tcPr>
          <w:p>
            <w:r>
              <w:rPr/>
              <w:t xml:space="preserve">Faster sourcing and broader candidate reach</w:t>
            </w:r>
          </w:p>
        </w:tc>
        <w:tc>
          <w:tcPr>
            <w:tcW w:w="2250" w:type="dxa"/>
          </w:tcPr>
          <w:p>
            <w:r>
              <w:rPr/>
              <w:t xml:space="preserve">B2B revenue and hiring-outcome data</w:t>
            </w:r>
          </w:p>
        </w:tc>
      </w:tr>
      <w:tr>
        <w:tc>
          <w:tcPr>
            <w:tcW w:w="2250" w:type="dxa"/>
          </w:tcPr>
          <w:p>
            <w:r>
              <w:rPr/>
              <w:t xml:space="preserve">Corporate sponsor</w:t>
            </w:r>
          </w:p>
        </w:tc>
        <w:tc>
          <w:tcPr>
            <w:tcW w:w="2250" w:type="dxa"/>
          </w:tcPr>
          <w:p>
            <w:r>
              <w:rPr/>
              <w:t xml:space="preserve">Country, sector or graduate-channel sponsorship</w:t>
            </w:r>
          </w:p>
        </w:tc>
        <w:tc>
          <w:tcPr>
            <w:tcW w:w="2250" w:type="dxa"/>
          </w:tcPr>
          <w:p>
            <w:r>
              <w:rPr/>
              <w:t xml:space="preserve">Always-on employer brand exposure to job seekers</w:t>
            </w:r>
          </w:p>
        </w:tc>
        <w:tc>
          <w:tcPr>
            <w:tcW w:w="2250" w:type="dxa"/>
          </w:tcPr>
          <w:p>
            <w:r>
              <w:rPr/>
              <w:t xml:space="preserve">Recurring sponsorship revenue</w:t>
            </w:r>
          </w:p>
        </w:tc>
      </w:tr>
    </w:tbl>
    <w:p>
      <w:pPr>
        <w:pStyle w:val="Heading1"/>
      </w:pPr>
      <w:r>
        <w:t xml:space="preserve">Suggested pilot commercial structures</w:t>
      </w:r>
    </w:p>
    <w:tbl>
      <w:tblPr>
        <w:tblW w:w="9000" w:type="dxa"/>
        <w:tblBorders>
          <w:top w:val="single" w:sz="4" w:color="B7C0CE"/>
          <w:left w:val="single" w:sz="4" w:color="B7C0CE"/>
          <w:bottom w:val="single" w:sz="4" w:color="B7C0CE"/>
          <w:right w:val="single" w:sz="4" w:color="B7C0CE"/>
          <w:insideH w:val="single" w:sz="4" w:color="D0D5DD"/>
          <w:insideV w:val="single" w:sz="4" w:color="D0D5DD"/>
        </w:tblBorders>
      </w:tblPr>
      <w:tr>
        <w:tc>
          <w:tcPr>
            <w:tcW w:w="2250" w:type="dxa"/>
            <w:shd w:fill="135D48"/>
          </w:tcPr>
          <w:p>
            <w:r>
              <w:rPr>
                <w:color w:val="FFFFFF"/>
                <w:b/>
              </w:rPr>
              <w:t xml:space="preserve">Pilot</w:t>
            </w:r>
          </w:p>
        </w:tc>
        <w:tc>
          <w:tcPr>
            <w:tcW w:w="2250" w:type="dxa"/>
            <w:shd w:fill="135D48"/>
          </w:tcPr>
          <w:p>
            <w:r>
              <w:rPr>
                <w:color w:val="FFFFFF"/>
                <w:b/>
              </w:rPr>
              <w:t xml:space="preserve">Duration</w:t>
            </w:r>
          </w:p>
        </w:tc>
        <w:tc>
          <w:tcPr>
            <w:tcW w:w="2250" w:type="dxa"/>
            <w:shd w:fill="135D48"/>
          </w:tcPr>
          <w:p>
            <w:r>
              <w:rPr>
                <w:color w:val="FFFFFF"/>
                <w:b/>
              </w:rPr>
              <w:t xml:space="preserve">Commercial structure</w:t>
            </w:r>
          </w:p>
        </w:tc>
        <w:tc>
          <w:tcPr>
            <w:tcW w:w="2250" w:type="dxa"/>
            <w:shd w:fill="135D48"/>
          </w:tcPr>
          <w:p>
            <w:r>
              <w:rPr>
                <w:color w:val="FFFFFF"/>
                <w:b/>
              </w:rPr>
              <w:t xml:space="preserve">Success measures</w:t>
            </w:r>
          </w:p>
        </w:tc>
      </w:tr>
      <w:tr>
        <w:tc>
          <w:tcPr>
            <w:tcW w:w="2250" w:type="dxa"/>
          </w:tcPr>
          <w:p>
            <w:r>
              <w:rPr/>
              <w:t xml:space="preserve">Employer association pilot</w:t>
            </w:r>
          </w:p>
        </w:tc>
        <w:tc>
          <w:tcPr>
            <w:tcW w:w="2250" w:type="dxa"/>
          </w:tcPr>
          <w:p>
            <w:r>
              <w:rPr/>
              <w:t xml:space="preserve">90 days</w:t>
            </w:r>
          </w:p>
        </w:tc>
        <w:tc>
          <w:tcPr>
            <w:tcW w:w="2250" w:type="dxa"/>
          </w:tcPr>
          <w:p>
            <w:r>
              <w:rPr/>
              <w:t xml:space="preserve">K10,000-K30,000 sponsor fee or member subscription revenue share</w:t>
            </w:r>
          </w:p>
        </w:tc>
        <w:tc>
          <w:tcPr>
            <w:tcW w:w="2250" w:type="dxa"/>
          </w:tcPr>
          <w:p>
            <w:r>
              <w:rPr/>
              <w:t xml:space="preserve">Member employers onboarded, vacancies posted, applications delivered</w:t>
            </w:r>
          </w:p>
        </w:tc>
      </w:tr>
      <w:tr>
        <w:tc>
          <w:tcPr>
            <w:tcW w:w="2250" w:type="dxa"/>
          </w:tcPr>
          <w:p>
            <w:r>
              <w:rPr/>
              <w:t xml:space="preserve">University employability pilot</w:t>
            </w:r>
          </w:p>
        </w:tc>
        <w:tc>
          <w:tcPr>
            <w:tcW w:w="2250" w:type="dxa"/>
          </w:tcPr>
          <w:p>
            <w:r>
              <w:rPr/>
              <w:t xml:space="preserve">One semester</w:t>
            </w:r>
          </w:p>
        </w:tc>
        <w:tc>
          <w:tcPr>
            <w:tcW w:w="2250" w:type="dxa"/>
          </w:tcPr>
          <w:p>
            <w:r>
              <w:rPr/>
              <w:t xml:space="preserve">Institution fee plus 10%-25% service revenue share</w:t>
            </w:r>
          </w:p>
        </w:tc>
        <w:tc>
          <w:tcPr>
            <w:tcW w:w="2250" w:type="dxa"/>
          </w:tcPr>
          <w:p>
            <w:r>
              <w:rPr/>
              <w:t xml:space="preserve">Student registrations, CV reviews, interviews and placements</w:t>
            </w:r>
          </w:p>
        </w:tc>
      </w:tr>
      <w:tr>
        <w:tc>
          <w:tcPr>
            <w:tcW w:w="2250" w:type="dxa"/>
          </w:tcPr>
          <w:p>
            <w:r>
              <w:rPr/>
              <w:t xml:space="preserve">Telecom / fintech youth-jobs campaign</w:t>
            </w:r>
          </w:p>
        </w:tc>
        <w:tc>
          <w:tcPr>
            <w:tcW w:w="2250" w:type="dxa"/>
          </w:tcPr>
          <w:p>
            <w:r>
              <w:rPr/>
              <w:t xml:space="preserve">3-6 months</w:t>
            </w:r>
          </w:p>
        </w:tc>
        <w:tc>
          <w:tcPr>
            <w:tcW w:w="2250" w:type="dxa"/>
          </w:tcPr>
          <w:p>
            <w:r>
              <w:rPr/>
              <w:t xml:space="preserve">K50,000+ sponsorship, negotiated after scope</w:t>
            </w:r>
          </w:p>
        </w:tc>
        <w:tc>
          <w:tcPr>
            <w:tcW w:w="2250" w:type="dxa"/>
          </w:tcPr>
          <w:p>
            <w:r>
              <w:rPr/>
              <w:t xml:space="preserve">Opt-ins, active users, messages delivered, applications and transactions</w:t>
            </w:r>
          </w:p>
        </w:tc>
      </w:tr>
      <w:tr>
        <w:tc>
          <w:tcPr>
            <w:tcW w:w="2250" w:type="dxa"/>
          </w:tcPr>
          <w:p>
            <w:r>
              <w:rPr/>
              <w:t xml:space="preserve">Country or category channel sponsor</w:t>
            </w:r>
          </w:p>
        </w:tc>
        <w:tc>
          <w:tcPr>
            <w:tcW w:w="2250" w:type="dxa"/>
          </w:tcPr>
          <w:p>
            <w:r>
              <w:rPr/>
              <w:t xml:space="preserve">3 months</w:t>
            </w:r>
          </w:p>
        </w:tc>
        <w:tc>
          <w:tcPr>
            <w:tcW w:w="2250" w:type="dxa"/>
          </w:tcPr>
          <w:p>
            <w:r>
              <w:rPr/>
              <w:t xml:space="preserve">K2,000-K10,000 per month depending on reach and exclusivity</w:t>
            </w:r>
          </w:p>
        </w:tc>
        <w:tc>
          <w:tcPr>
            <w:tcW w:w="2250" w:type="dxa"/>
          </w:tcPr>
          <w:p>
            <w:r>
              <w:rPr/>
              <w:t xml:space="preserve">Reach, clicks, applications and sponsor recall</w:t>
            </w:r>
          </w:p>
        </w:tc>
      </w:tr>
      <w:tr>
        <w:tc>
          <w:tcPr>
            <w:tcW w:w="2250" w:type="dxa"/>
          </w:tcPr>
          <w:p>
            <w:r>
              <w:rPr/>
              <w:t xml:space="preserve">Labour-market report</w:t>
            </w:r>
          </w:p>
        </w:tc>
        <w:tc>
          <w:tcPr>
            <w:tcW w:w="2250" w:type="dxa"/>
          </w:tcPr>
          <w:p>
            <w:r>
              <w:rPr/>
              <w:t xml:space="preserve">4-8 weeks</w:t>
            </w:r>
          </w:p>
        </w:tc>
        <w:tc>
          <w:tcPr>
            <w:tcW w:w="2250" w:type="dxa"/>
          </w:tcPr>
          <w:p>
            <w:r>
              <w:rPr/>
              <w:t xml:space="preserve">K10,000-K100,000 commissioned project depending on depth</w:t>
            </w:r>
          </w:p>
        </w:tc>
        <w:tc>
          <w:tcPr>
            <w:tcW w:w="2250" w:type="dxa"/>
          </w:tcPr>
          <w:p>
            <w:r>
              <w:rPr/>
              <w:t xml:space="preserve">Coverage, insight quality, stakeholder use and renewal</w:t>
            </w:r>
          </w:p>
        </w:tc>
      </w:tr>
    </w:tbl>
    <w:p>
      <w:pPr>
        <w:pStyle w:val="Heading1"/>
      </w:pPr>
      <w:r>
        <w:t xml:space="preserve">What an investor would fund</w:t>
      </w:r>
    </w:p>
    <w:p>
      <w:pPr>
        <w:pStyle w:val="Body"/>
      </w:pPr>
      <w:r>
        <w:t xml:space="preserve">A large institutional raise is premature because direct employer traction and retention are not yet proven. The appropriate near-term capital is a milestone-based angel, strategic or revenue-partner round used to prove commercial repeatability.</w:t>
      </w:r>
    </w:p>
    <w:tbl>
      <w:tblPr>
        <w:tblW w:w="9000" w:type="dxa"/>
        <w:tblBorders>
          <w:top w:val="single" w:sz="4" w:color="B7C0CE"/>
          <w:left w:val="single" w:sz="4" w:color="B7C0CE"/>
          <w:bottom w:val="single" w:sz="4" w:color="B7C0CE"/>
          <w:right w:val="single" w:sz="4" w:color="B7C0CE"/>
          <w:insideH w:val="single" w:sz="4" w:color="D0D5DD"/>
          <w:insideV w:val="single" w:sz="4" w:color="D0D5DD"/>
        </w:tblBorders>
      </w:tblPr>
      <w:tr>
        <w:tc>
          <w:tcPr>
            <w:tcW w:w="3000" w:type="dxa"/>
            <w:shd w:fill="135D48"/>
          </w:tcPr>
          <w:p>
            <w:r>
              <w:rPr>
                <w:color w:val="FFFFFF"/>
                <w:b/>
              </w:rPr>
              <w:t xml:space="preserve">Use of funds</w:t>
            </w:r>
          </w:p>
        </w:tc>
        <w:tc>
          <w:tcPr>
            <w:tcW w:w="3000" w:type="dxa"/>
            <w:shd w:fill="135D48"/>
          </w:tcPr>
          <w:p>
            <w:r>
              <w:rPr>
                <w:color w:val="FFFFFF"/>
                <w:b/>
              </w:rPr>
              <w:t xml:space="preserve">Illustrative allocation</w:t>
            </w:r>
          </w:p>
        </w:tc>
        <w:tc>
          <w:tcPr>
            <w:tcW w:w="3000" w:type="dxa"/>
            <w:shd w:fill="135D48"/>
          </w:tcPr>
          <w:p>
            <w:r>
              <w:rPr>
                <w:color w:val="FFFFFF"/>
                <w:b/>
              </w:rPr>
              <w:t xml:space="preserve">Milestone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Sales and employer success</w:t>
            </w:r>
          </w:p>
        </w:tc>
        <w:tc>
          <w:tcPr>
            <w:tcW w:w="3000" w:type="dxa"/>
          </w:tcPr>
          <w:p>
            <w:r>
              <w:rPr/>
              <w:t xml:space="preserve">35%</w:t>
            </w:r>
          </w:p>
        </w:tc>
        <w:tc>
          <w:tcPr>
            <w:tcW w:w="3000" w:type="dxa"/>
          </w:tcPr>
          <w:p>
            <w:r>
              <w:rPr/>
              <w:t xml:space="preserve">Repeatable pipeline and 25+ paying employers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Candidate acquisition and CRM</w:t>
            </w:r>
          </w:p>
        </w:tc>
        <w:tc>
          <w:tcPr>
            <w:tcW w:w="3000" w:type="dxa"/>
          </w:tcPr>
          <w:p>
            <w:r>
              <w:rPr/>
              <w:t xml:space="preserve">20%</w:t>
            </w:r>
          </w:p>
        </w:tc>
        <w:tc>
          <w:tcPr>
            <w:tcW w:w="3000" w:type="dxa"/>
          </w:tcPr>
          <w:p>
            <w:r>
              <w:rPr/>
              <w:t xml:space="preserve">1,000+ quality registered candidates with CVs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Analytics, attribution and data quality</w:t>
            </w:r>
          </w:p>
        </w:tc>
        <w:tc>
          <w:tcPr>
            <w:tcW w:w="3000" w:type="dxa"/>
          </w:tcPr>
          <w:p>
            <w:r>
              <w:rPr/>
              <w:t xml:space="preserve">15%</w:t>
            </w:r>
          </w:p>
        </w:tc>
        <w:tc>
          <w:tcPr>
            <w:tcW w:w="3000" w:type="dxa"/>
          </w:tcPr>
          <w:p>
            <w:r>
              <w:rPr/>
              <w:t xml:space="preserve">Reliable funnel, cohort and outcome reporting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Career-service delivery and operations</w:t>
            </w:r>
          </w:p>
        </w:tc>
        <w:tc>
          <w:tcPr>
            <w:tcW w:w="3000" w:type="dxa"/>
          </w:tcPr>
          <w:p>
            <w:r>
              <w:rPr/>
              <w:t xml:space="preserve">15%</w:t>
            </w:r>
          </w:p>
        </w:tc>
        <w:tc>
          <w:tcPr>
            <w:tcW w:w="3000" w:type="dxa"/>
          </w:tcPr>
          <w:p>
            <w:r>
              <w:rPr/>
              <w:t xml:space="preserve">Predictable turnaround and positive gross margin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Country launch tests</w:t>
            </w:r>
          </w:p>
        </w:tc>
        <w:tc>
          <w:tcPr>
            <w:tcW w:w="3000" w:type="dxa"/>
          </w:tcPr>
          <w:p>
            <w:r>
              <w:rPr/>
              <w:t xml:space="preserve">10%</w:t>
            </w:r>
          </w:p>
        </w:tc>
        <w:tc>
          <w:tcPr>
            <w:tcW w:w="3000" w:type="dxa"/>
          </w:tcPr>
          <w:p>
            <w:r>
              <w:rPr/>
              <w:t xml:space="preserve">Validated South Africa or Nigeria acquisition economics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Compliance and contingency</w:t>
            </w:r>
          </w:p>
        </w:tc>
        <w:tc>
          <w:tcPr>
            <w:tcW w:w="3000" w:type="dxa"/>
          </w:tcPr>
          <w:p>
            <w:r>
              <w:rPr/>
              <w:t xml:space="preserve">5%</w:t>
            </w:r>
          </w:p>
        </w:tc>
        <w:tc>
          <w:tcPr>
            <w:tcW w:w="3000" w:type="dxa"/>
          </w:tcPr>
          <w:p>
            <w:r>
              <w:rPr/>
              <w:t xml:space="preserve">Data, messaging and content-risk controls</w:t>
            </w:r>
          </w:p>
        </w:tc>
      </w:tr>
    </w:tbl>
    <w:tbl>
      <w:tblPr>
        <w:tblW w:w="9000" w:type="dxa"/>
        <w:tblBorders>
          <w:top w:val="single" w:sz="8" w:color="12B76A"/>
          <w:left w:val="single" w:sz="20" w:color="12B76A"/>
          <w:bottom w:val="single" w:sz="8" w:color="12B76A"/>
          <w:right w:val="single" w:sz="8" w:color="12B76A"/>
        </w:tblBorders>
      </w:tblPr>
      <w:tr>
        <w:tc>
          <w:tcPr>
            <w:tcW w:w="9000" w:type="dxa"/>
          </w:tcPr>
          <w:p>
            <w:r>
              <w:rPr/>
              <w:t xml:space="preserve">Suggested financing posture
First prove a K30,000-K75,000 monthly revenue run-rate and measurable employer retention. Then consider a K500,000-K1,500,000 milestone-based angel or strategic round. Avoid assigning a high valuation before retention and unit economics are available.</w:t>
            </w:r>
          </w:p>
        </w:tc>
      </w:tr>
    </w:tbl>
    <w:p>
      <w:pPr>
        <w:pStyle w:val="Heading1"/>
      </w:pPr>
      <w:r>
        <w:t xml:space="preserve">Investor return drivers</w:t>
      </w:r>
    </w:p>
    <w:p>
      <w:pPr>
        <w:pStyle w:val="Body"/>
        <w:numPr>
          <w:ilvl w:val="0"/>
          <w:numId w:val="1"/>
        </w:numPr>
      </w:pPr>
      <w:r>
        <w:t xml:space="preserve">Recurring employer subscription revenue.</w:t>
      </w:r>
    </w:p>
    <w:p>
      <w:pPr>
        <w:pStyle w:val="Body"/>
        <w:numPr>
          <w:ilvl w:val="0"/>
          <w:numId w:val="1"/>
        </w:numPr>
      </w:pPr>
      <w:r>
        <w:t xml:space="preserve">High-margin WhatsApp alerts and digital career products.</w:t>
      </w:r>
    </w:p>
    <w:p>
      <w:pPr>
        <w:pStyle w:val="Body"/>
        <w:numPr>
          <w:ilvl w:val="0"/>
          <w:numId w:val="1"/>
        </w:numPr>
      </w:pPr>
      <w:r>
        <w:t xml:space="preserve">Employer acquisition costs falling as the company database and referrals compound.</w:t>
      </w:r>
    </w:p>
    <w:p>
      <w:pPr>
        <w:pStyle w:val="Body"/>
        <w:numPr>
          <w:ilvl w:val="0"/>
          <w:numId w:val="1"/>
        </w:numPr>
      </w:pPr>
      <w:r>
        <w:t xml:space="preserve">Cross-selling from job distribution into candidate access, branding and data.</w:t>
      </w:r>
    </w:p>
    <w:p>
      <w:pPr>
        <w:pStyle w:val="Body"/>
        <w:numPr>
          <w:ilvl w:val="0"/>
          <w:numId w:val="1"/>
        </w:numPr>
      </w:pPr>
      <w:r>
        <w:t xml:space="preserve">Country replication using the existing crawler and social-distribution infrastructure.</w:t>
      </w:r>
    </w:p>
    <w:p>
      <w:pPr>
        <w:pStyle w:val="Body"/>
        <w:numPr>
          <w:ilvl w:val="0"/>
          <w:numId w:val="1"/>
        </w:numPr>
      </w:pPr>
      <w:r>
        <w:t xml:space="preserve">Strategic value of structured African labour-market and employer-demand data.</w:t>
      </w:r>
    </w:p>
    <w:p>
      <w:pPr>
        <w:pStyle w:val="Heading1"/>
      </w:pPr>
      <w:r>
        <w:t xml:space="preserve">Key risks and mitigations</w:t>
      </w:r>
    </w:p>
    <w:tbl>
      <w:tblPr>
        <w:tblW w:w="9000" w:type="dxa"/>
        <w:tblBorders>
          <w:top w:val="single" w:sz="4" w:color="B7C0CE"/>
          <w:left w:val="single" w:sz="4" w:color="B7C0CE"/>
          <w:bottom w:val="single" w:sz="4" w:color="B7C0CE"/>
          <w:right w:val="single" w:sz="4" w:color="B7C0CE"/>
          <w:insideH w:val="single" w:sz="4" w:color="D0D5DD"/>
          <w:insideV w:val="single" w:sz="4" w:color="D0D5DD"/>
        </w:tblBorders>
      </w:tblPr>
      <w:tr>
        <w:tc>
          <w:tcPr>
            <w:tcW w:w="3000" w:type="dxa"/>
            <w:shd w:fill="135D48"/>
          </w:tcPr>
          <w:p>
            <w:r>
              <w:rPr>
                <w:color w:val="FFFFFF"/>
                <w:b/>
              </w:rPr>
              <w:t xml:space="preserve">Risk</w:t>
            </w:r>
          </w:p>
        </w:tc>
        <w:tc>
          <w:tcPr>
            <w:tcW w:w="3000" w:type="dxa"/>
            <w:shd w:fill="135D48"/>
          </w:tcPr>
          <w:p>
            <w:r>
              <w:rPr>
                <w:color w:val="FFFFFF"/>
                <w:b/>
              </w:rPr>
              <w:t xml:space="preserve">Current evidence</w:t>
            </w:r>
          </w:p>
        </w:tc>
        <w:tc>
          <w:tcPr>
            <w:tcW w:w="3000" w:type="dxa"/>
            <w:shd w:fill="135D48"/>
          </w:tcPr>
          <w:p>
            <w:r>
              <w:rPr>
                <w:color w:val="FFFFFF"/>
                <w:b/>
              </w:rPr>
              <w:t xml:space="preserve">Mitigation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No organic employer jobs</w:t>
            </w:r>
          </w:p>
        </w:tc>
        <w:tc>
          <w:tcPr>
            <w:tcW w:w="3000" w:type="dxa"/>
          </w:tcPr>
          <w:p>
            <w:r>
              <w:rPr/>
              <w:t xml:space="preserve">All 22,724 jobs are crawled</w:t>
            </w:r>
          </w:p>
        </w:tc>
        <w:tc>
          <w:tcPr>
            <w:tcW w:w="3000" w:type="dxa"/>
          </w:tcPr>
          <w:p>
            <w:r>
              <w:rPr/>
              <w:t xml:space="preserve">Managed employer pilots and direct sales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Small owned user base</w:t>
            </w:r>
          </w:p>
        </w:tc>
        <w:tc>
          <w:tcPr>
            <w:tcW w:w="3000" w:type="dxa"/>
          </w:tcPr>
          <w:p>
            <w:r>
              <w:rPr/>
              <w:t xml:space="preserve">19 accounts and 4 resumes</w:t>
            </w:r>
          </w:p>
        </w:tc>
        <w:tc>
          <w:tcPr>
            <w:tcW w:w="3000" w:type="dxa"/>
          </w:tcPr>
          <w:p>
            <w:r>
              <w:rPr/>
              <w:t xml:space="preserve">Registration, CV upload and WhatsApp acquisition campaigns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Crawler/content dependency</w:t>
            </w:r>
          </w:p>
        </w:tc>
        <w:tc>
          <w:tcPr>
            <w:tcW w:w="3000" w:type="dxa"/>
          </w:tcPr>
          <w:p>
            <w:r>
              <w:rPr/>
              <w:t xml:space="preserve">Platform supply depends on third-party sources</w:t>
            </w:r>
          </w:p>
        </w:tc>
        <w:tc>
          <w:tcPr>
            <w:tcW w:w="3000" w:type="dxa"/>
          </w:tcPr>
          <w:p>
            <w:r>
              <w:rPr/>
              <w:t xml:space="preserve">Source permissions review, direct feeds and employer posting growth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Traffic inflation by automation</w:t>
            </w:r>
          </w:p>
        </w:tc>
        <w:tc>
          <w:tcPr>
            <w:tcW w:w="3000" w:type="dxa"/>
          </w:tcPr>
          <w:p>
            <w:r>
              <w:rPr/>
              <w:t xml:space="preserve">Large crawler and HTTP 410 log volume</w:t>
            </w:r>
          </w:p>
        </w:tc>
        <w:tc>
          <w:tcPr>
            <w:tcW w:w="3000" w:type="dxa"/>
          </w:tcPr>
          <w:p>
            <w:r>
              <w:rPr/>
              <w:t xml:space="preserve">First-party analytics and verified conversion reporting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Early revenue</w:t>
            </w:r>
          </w:p>
        </w:tc>
        <w:tc>
          <w:tcPr>
            <w:tcW w:w="3000" w:type="dxa"/>
          </w:tcPr>
          <w:p>
            <w:r>
              <w:rPr/>
              <w:t xml:space="preserve">K2,059 completed ledger</w:t>
            </w:r>
          </w:p>
        </w:tc>
        <w:tc>
          <w:tcPr>
            <w:tcW w:w="3000" w:type="dxa"/>
          </w:tcPr>
          <w:p>
            <w:r>
              <w:rPr/>
              <w:t xml:space="preserve">Milestone financing and disciplined weekly sales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Operational delivery</w:t>
            </w:r>
          </w:p>
        </w:tc>
        <w:tc>
          <w:tcPr>
            <w:tcW w:w="3000" w:type="dxa"/>
          </w:tcPr>
          <w:p>
            <w:r>
              <w:rPr/>
              <w:t xml:space="preserve">Career services and verification require people</w:t>
            </w:r>
          </w:p>
        </w:tc>
        <w:tc>
          <w:tcPr>
            <w:tcW w:w="3000" w:type="dxa"/>
          </w:tcPr>
          <w:p>
            <w:r>
              <w:rPr/>
              <w:t xml:space="preserve">Service-level agreements, vetted contractors and margin controls</w:t>
            </w:r>
          </w:p>
        </w:tc>
      </w:tr>
    </w:tbl>
    <w:p>
      <w:pPr>
        <w:pStyle w:val="Heading1"/>
      </w:pPr>
      <w:r>
        <w:t xml:space="preserve">12-month partnership milestones</w:t>
      </w:r>
    </w:p>
    <w:tbl>
      <w:tblPr>
        <w:tblW w:w="9000" w:type="dxa"/>
        <w:tblBorders>
          <w:top w:val="single" w:sz="4" w:color="B7C0CE"/>
          <w:left w:val="single" w:sz="4" w:color="B7C0CE"/>
          <w:bottom w:val="single" w:sz="4" w:color="B7C0CE"/>
          <w:right w:val="single" w:sz="4" w:color="B7C0CE"/>
          <w:insideH w:val="single" w:sz="4" w:color="D0D5DD"/>
          <w:insideV w:val="single" w:sz="4" w:color="D0D5DD"/>
        </w:tblBorders>
      </w:tblPr>
      <w:tr>
        <w:tc>
          <w:tcPr>
            <w:tcW w:w="3000" w:type="dxa"/>
            <w:shd w:fill="135D48"/>
          </w:tcPr>
          <w:p>
            <w:r>
              <w:rPr>
                <w:color w:val="FFFFFF"/>
                <w:b/>
              </w:rPr>
              <w:t xml:space="preserve">Quarter</w:t>
            </w:r>
          </w:p>
        </w:tc>
        <w:tc>
          <w:tcPr>
            <w:tcW w:w="3000" w:type="dxa"/>
            <w:shd w:fill="135D48"/>
          </w:tcPr>
          <w:p>
            <w:r>
              <w:rPr>
                <w:color w:val="FFFFFF"/>
                <w:b/>
              </w:rPr>
              <w:t xml:space="preserve">Commercial milestone</w:t>
            </w:r>
          </w:p>
        </w:tc>
        <w:tc>
          <w:tcPr>
            <w:tcW w:w="3000" w:type="dxa"/>
            <w:shd w:fill="135D48"/>
          </w:tcPr>
          <w:p>
            <w:r>
              <w:rPr>
                <w:color w:val="FFFFFF"/>
                <w:b/>
              </w:rPr>
              <w:t xml:space="preserve">Evidence to share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Q3 2026</w:t>
            </w:r>
          </w:p>
        </w:tc>
        <w:tc>
          <w:tcPr>
            <w:tcW w:w="3000" w:type="dxa"/>
          </w:tcPr>
          <w:p>
            <w:r>
              <w:rPr/>
              <w:t xml:space="preserve">12 paying employers, 100 VIP customers, one strategic pilot</w:t>
            </w:r>
          </w:p>
        </w:tc>
        <w:tc>
          <w:tcPr>
            <w:tcW w:w="3000" w:type="dxa"/>
          </w:tcPr>
          <w:p>
            <w:r>
              <w:rPr/>
              <w:t xml:space="preserve">Revenue dashboard, conversion rates, partner case study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Q4 2026</w:t>
            </w:r>
          </w:p>
        </w:tc>
        <w:tc>
          <w:tcPr>
            <w:tcW w:w="3000" w:type="dxa"/>
          </w:tcPr>
          <w:p>
            <w:r>
              <w:rPr/>
              <w:t xml:space="preserve">25 paying employers, 500 CV-bearing candidates, first sponsor renewal</w:t>
            </w:r>
          </w:p>
        </w:tc>
        <w:tc>
          <w:tcPr>
            <w:tcW w:w="3000" w:type="dxa"/>
          </w:tcPr>
          <w:p>
            <w:r>
              <w:rPr/>
              <w:t xml:space="preserve">Retention, acquisition cost and service margins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Q1 2027</w:t>
            </w:r>
          </w:p>
        </w:tc>
        <w:tc>
          <w:tcPr>
            <w:tcW w:w="3000" w:type="dxa"/>
          </w:tcPr>
          <w:p>
            <w:r>
              <w:rPr/>
              <w:t xml:space="preserve">Second-country employer revenue and first commissioned data report</w:t>
            </w:r>
          </w:p>
        </w:tc>
        <w:tc>
          <w:tcPr>
            <w:tcW w:w="3000" w:type="dxa"/>
          </w:tcPr>
          <w:p>
            <w:r>
              <w:rPr/>
              <w:t xml:space="preserve">Country unit economics and report customer reference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Q2 2027</w:t>
            </w:r>
          </w:p>
        </w:tc>
        <w:tc>
          <w:tcPr>
            <w:tcW w:w="3000" w:type="dxa"/>
          </w:tcPr>
          <w:p>
            <w:r>
              <w:rPr/>
              <w:t xml:space="preserve">K75,000+ monthly run-rate base target</w:t>
            </w:r>
          </w:p>
        </w:tc>
        <w:tc>
          <w:tcPr>
            <w:tcW w:w="3000" w:type="dxa"/>
          </w:tcPr>
          <w:p>
            <w:r>
              <w:rPr/>
              <w:t xml:space="preserve">Auditable revenue, cohorts, churn and hiring outcomes</w:t>
            </w:r>
          </w:p>
        </w:tc>
      </w:tr>
    </w:tbl>
    <w:p>
      <w:pPr>
        <w:pStyle w:val="Heading1"/>
      </w:pPr>
      <w:r>
        <w:t xml:space="preserve">Proposed next step</w:t>
      </w:r>
    </w:p>
    <w:p>
      <w:pPr>
        <w:pStyle w:val="Body"/>
      </w:pPr>
      <w:r>
        <w:t xml:space="preserve">Run a 30-minute partnership workshop to select one audience, one offer, one distribution channel and one measurable 90-day pilot. The pilot agreement should define data handling, branding, responsibilities, commercial terms and success metrics before launch.</w:t>
      </w:r>
    </w:p>
    <w:p>
      <w:pPr>
        <w:pStyle w:val="Body"/>
      </w:pPr>
      <w:r>
        <w:t xml:space="preserve">Contact: Wakanda Jobs · https://www.wakandajobs.com · WhatsApp +260 970 766 123</w:t>
      </w:r>
    </w:p>
    <w:p>
      <w:pPr>
        <w:pStyle w:val="Meta"/>
      </w:pPr>
      <w:r>
        <w:t xml:space="preserve">Prepared from production data as at 8 June 2026. Forecasts are scenarios, not guarantees.</w:t>
      </w:r>
    </w:p>
    <w:sectPr>
      <w:pgSz w:w="11906" w:h="16838"/>
      <w:pgMar w:top="1000" w:right="900" w:bottom="1000" w:left="900"/>
    </w:sectPr>
  </w:body>
</w:document>
</file>

<file path=word/styles.xml><?xml version="1.0" encoding="utf-8"?>
<w:styles xmlns:w="http://schemas.openxmlformats.org/wordprocessingml/2006/main">
  <w:style w:type="paragraph" w:default="1" w:styleId="Body">
    <w:name w:val="Body"/>
    <w:rPr>
      <w:rFonts w:ascii="Aptos" w:hAnsi="Aptos"/>
      <w:sz w:val="20"/>
      <w:color w:val="253044"/>
    </w:rPr>
    <w:pPr>
      <w:spacing w:after="120" w:line="270" w:lineRule="auto"/>
    </w:pPr>
  </w:style>
  <w:style w:type="paragraph" w:styleId="Title">
    <w:name w:val="Title"/>
    <w:rPr>
      <w:rFonts w:ascii="Aptos Display" w:hAnsi="Aptos Display"/>
      <w:b/>
      <w:sz w:val="48"/>
      <w:color w:val="101828"/>
    </w:rPr>
    <w:pPr>
      <w:spacing w:after="180"/>
    </w:pPr>
  </w:style>
  <w:style w:type="paragraph" w:styleId="Subtitle">
    <w:name w:val="Subtitle"/>
    <w:rPr>
      <w:sz w:val="27"/>
      <w:color w:val="135D48"/>
    </w:rPr>
    <w:pPr>
      <w:spacing w:after="240"/>
    </w:pPr>
  </w:style>
  <w:style w:type="paragraph" w:styleId="Lead">
    <w:name w:val="Lead"/>
    <w:rPr>
      <w:sz w:val="23"/>
      <w:color w:val="344054"/>
    </w:rPr>
    <w:pPr>
      <w:spacing w:after="160" w:line="300" w:lineRule="auto"/>
    </w:pPr>
  </w:style>
  <w:style w:type="paragraph" w:styleId="Meta">
    <w:name w:val="Meta"/>
    <w:rPr>
      <w:sz w:val="17"/>
      <w:color w:val="667085"/>
    </w:rPr>
  </w:style>
  <w:style w:type="paragraph" w:styleId="Heading1">
    <w:name w:val="Heading 1"/>
    <w:rPr>
      <w:b/>
      <w:sz w:val="34"/>
      <w:color w:val="101828"/>
    </w:rPr>
    <w:pPr>
      <w:spacing w:before="300" w:after="120"/>
    </w:pPr>
  </w:style>
  <w:style w:type="paragraph" w:styleId="Heading2">
    <w:name w:val="Heading 2"/>
    <w:rPr>
      <w:b/>
      <w:sz w:val="27"/>
      <w:color w:val="135D48"/>
    </w:rPr>
    <w:pPr>
      <w:spacing w:before="240" w:after="100"/>
    </w:pPr>
  </w:style>
  <w:style w:type="paragraph" w:styleId="Heading3">
    <w:name w:val="Heading 3"/>
    <w:rPr>
      <w:b/>
      <w:sz w:val="23"/>
      <w:color w:val="344054"/>
    </w:rPr>
    <w:pPr>
      <w:spacing w:before="180" w:after="8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