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1716"/>
        </w:rPr>
        <w:t>Contrato de prestación de servicios de software</w:t>
      </w:r>
    </w:p>
    <w:p>
      <w:r>
        <w:rPr>
          <w:b w:val="0"/>
          <w:sz w:val="18"/>
        </w:rPr>
        <w:t>Wake Parts · inventario, facturación y catálogo para repuestos y yonkers</w:t>
      </w:r>
    </w:p>
    <w:p>
      <w:r>
        <w:rPr>
          <w:b w:val="0"/>
          <w:sz w:val="17"/>
        </w:rPr>
        <w:t>Los textos resaltados en amarillo se completan con cada cliente. El plan contratado se marca en el Anexo A.</w:t>
      </w:r>
    </w:p>
    <w:p>
      <w:pPr>
        <w:pStyle w:val="Heading1"/>
      </w:pPr>
      <w:r>
        <w:rPr>
          <w:color w:val="1D1716"/>
        </w:rPr>
        <w:t>Partes</w:t>
      </w:r>
    </w:p>
    <w:p>
      <w:r>
        <w:rPr>
          <w:b w:val="0"/>
        </w:rPr>
        <w:t xml:space="preserve">Por una parte, </w:t>
      </w:r>
      <w:r>
        <w:rPr>
          <w:b w:val="0"/>
          <w:highlight w:val="yellow"/>
        </w:rPr>
        <w:t>[razón social del prestador]</w:t>
      </w:r>
      <w:r>
        <w:rPr>
          <w:b w:val="0"/>
        </w:rPr>
        <w:t xml:space="preserve">, con RTN </w:t>
      </w:r>
      <w:r>
        <w:rPr>
          <w:b w:val="0"/>
          <w:highlight w:val="yellow"/>
        </w:rPr>
        <w:t>[RTN del prestador]</w:t>
      </w:r>
      <w:r>
        <w:rPr>
          <w:b w:val="0"/>
        </w:rPr>
        <w:t xml:space="preserve">, con domicilio en </w:t>
      </w:r>
      <w:r>
        <w:rPr>
          <w:b w:val="0"/>
          <w:highlight w:val="yellow"/>
        </w:rPr>
        <w:t>[dirección del prestador]</w:t>
      </w:r>
      <w:r>
        <w:rPr>
          <w:b w:val="0"/>
        </w:rPr>
        <w:t xml:space="preserve">, representada por </w:t>
      </w:r>
      <w:r>
        <w:rPr>
          <w:b w:val="0"/>
          <w:highlight w:val="yellow"/>
        </w:rPr>
        <w:t>[nombre del representante]</w:t>
      </w:r>
      <w:r>
        <w:rPr>
          <w:b w:val="0"/>
        </w:rPr>
        <w:t xml:space="preserve">, en su condición de </w:t>
      </w:r>
      <w:r>
        <w:rPr>
          <w:b w:val="0"/>
          <w:highlight w:val="yellow"/>
        </w:rPr>
        <w:t>[cargo]</w:t>
      </w:r>
      <w:r>
        <w:rPr>
          <w:b w:val="0"/>
        </w:rPr>
        <w:t>, que en adelante se llamará «EL PRESTADOR», y que ofrece el sistema con el nombre comercial «Wake Parts» (Wake Solutions).</w:t>
      </w:r>
    </w:p>
    <w:p>
      <w:r>
        <w:rPr>
          <w:b w:val="0"/>
        </w:rPr>
        <w:t xml:space="preserve">Por otra parte, </w:t>
      </w:r>
      <w:r>
        <w:rPr>
          <w:b w:val="0"/>
          <w:highlight w:val="yellow"/>
        </w:rPr>
        <w:t>[razón social del cliente]</w:t>
      </w:r>
      <w:r>
        <w:rPr>
          <w:b w:val="0"/>
        </w:rPr>
        <w:t xml:space="preserve">, con nombre comercial </w:t>
      </w:r>
      <w:r>
        <w:rPr>
          <w:b w:val="0"/>
          <w:highlight w:val="yellow"/>
        </w:rPr>
        <w:t>[nombre comercial]</w:t>
      </w:r>
      <w:r>
        <w:rPr>
          <w:b w:val="0"/>
        </w:rPr>
        <w:t xml:space="preserve">, RTN </w:t>
      </w:r>
      <w:r>
        <w:rPr>
          <w:b w:val="0"/>
          <w:highlight w:val="yellow"/>
        </w:rPr>
        <w:t>[RTN del cliente]</w:t>
      </w:r>
      <w:r>
        <w:rPr>
          <w:b w:val="0"/>
        </w:rPr>
        <w:t xml:space="preserve">, con domicilio en </w:t>
      </w:r>
      <w:r>
        <w:rPr>
          <w:b w:val="0"/>
          <w:highlight w:val="yellow"/>
        </w:rPr>
        <w:t>[dirección del cliente]</w:t>
      </w:r>
      <w:r>
        <w:rPr>
          <w:b w:val="0"/>
        </w:rPr>
        <w:t xml:space="preserve">, representada por </w:t>
      </w:r>
      <w:r>
        <w:rPr>
          <w:b w:val="0"/>
          <w:highlight w:val="yellow"/>
        </w:rPr>
        <w:t>[nombre del representante del cliente]</w:t>
      </w:r>
      <w:r>
        <w:rPr>
          <w:b w:val="0"/>
        </w:rPr>
        <w:t xml:space="preserve">, con identidad n.º </w:t>
      </w:r>
      <w:r>
        <w:rPr>
          <w:b w:val="0"/>
          <w:highlight w:val="yellow"/>
        </w:rPr>
        <w:t>[número de identidad]</w:t>
      </w:r>
      <w:r>
        <w:rPr>
          <w:b w:val="0"/>
        </w:rPr>
        <w:t xml:space="preserve">, en su condición de </w:t>
      </w:r>
      <w:r>
        <w:rPr>
          <w:b w:val="0"/>
          <w:highlight w:val="yellow"/>
        </w:rPr>
        <w:t>[cargo]</w:t>
      </w:r>
      <w:r>
        <w:rPr>
          <w:b w:val="0"/>
        </w:rPr>
        <w:t>, que en adelante se llamará «EL CLIENTE».</w:t>
      </w:r>
    </w:p>
    <w:p>
      <w:r>
        <w:rPr>
          <w:b w:val="0"/>
        </w:rPr>
        <w:t>Ambas partes, con capacidad para obligarse, celebran el presente contrato de prestación de servicios de software, que se regirá por las cláusulas siguientes.</w:t>
      </w:r>
    </w:p>
    <w:p>
      <w:pPr>
        <w:pStyle w:val="Heading1"/>
      </w:pPr>
      <w:r>
        <w:rPr>
          <w:color w:val="1D1716"/>
        </w:rPr>
        <w:t>Cláusulas</w:t>
      </w:r>
    </w:p>
    <w:p>
      <w:pPr>
        <w:pStyle w:val="Heading2"/>
      </w:pPr>
      <w:r>
        <w:rPr>
          <w:color w:val="1D1716"/>
        </w:rPr>
        <w:t>Primera · Objeto</w:t>
      </w:r>
    </w:p>
    <w:p>
      <w:r>
        <w:rPr>
          <w:b w:val="0"/>
        </w:rPr>
        <w:t>EL PRESTADOR concede a EL CLIENTE el derecho de usar, por internet y mientras el contrato esté vigente, el sistema Wake Parts para la gestión de su negocio: inventario, búsqueda de piezas por vehículo, cotizaciones, facturación con el CAI propio de EL CLIENTE, notas de crédito y débito, ventas al crédito y cuentas por cobrar, caja, reportes, catálogo web y las demás funciones del plan contratado.</w:t>
      </w:r>
    </w:p>
    <w:p>
      <w:r>
        <w:rPr>
          <w:b w:val="0"/>
        </w:rPr>
        <w:t>El servicio se presta en la modalidad de software como servicio: EL CLIENTE no recibe una copia del programa, sino acceso a él desde un navegador, con las cuentas de usuario que habilite.</w:t>
      </w:r>
    </w:p>
    <w:p>
      <w:pPr>
        <w:pStyle w:val="Heading2"/>
      </w:pPr>
      <w:r>
        <w:rPr>
          <w:color w:val="1D1716"/>
        </w:rPr>
        <w:t>Segunda · Plan contratado</w:t>
      </w:r>
    </w:p>
    <w:p>
      <w:r>
        <w:rPr>
          <w:b w:val="0"/>
        </w:rPr>
        <w:t>El plan, las sucursales, cajas y usuarios incluidos, los servicios adicionales y el precio se detallan en el Anexo A, que forma parte de este contrato. EL CLIENTE puede pasar a un plan superior en cualquier momento; el cambio aplica desde el siguiente período de facturación, salvo que las partes acuerden otra fecha.</w:t>
      </w:r>
    </w:p>
    <w:p>
      <w:pPr>
        <w:pStyle w:val="Heading2"/>
      </w:pPr>
      <w:r>
        <w:rPr>
          <w:color w:val="1D1716"/>
        </w:rPr>
        <w:t>Tercera · Precio, facturación y pago</w:t>
      </w:r>
    </w:p>
    <w:p>
      <w:r>
        <w:rPr>
          <w:b w:val="0"/>
        </w:rPr>
        <w:t xml:space="preserve">EL CLIENTE pagará el precio indicado en el Anexo A, por adelantado, dentro de los primeros </w:t>
      </w:r>
      <w:r>
        <w:rPr>
          <w:b w:val="0"/>
          <w:highlight w:val="yellow"/>
        </w:rPr>
        <w:t>[número]</w:t>
      </w:r>
      <w:r>
        <w:rPr>
          <w:b w:val="0"/>
        </w:rPr>
        <w:t xml:space="preserve"> días de cada período (mensual o anual, según el Anexo A). EL PRESTADOR emitirá la factura correspondiente con su propio CAI.</w:t>
      </w:r>
    </w:p>
    <w:p>
      <w:r>
        <w:rPr>
          <w:b w:val="0"/>
        </w:rPr>
        <w:t xml:space="preserve">Los precios se expresan en lempiras y </w:t>
      </w:r>
      <w:r>
        <w:rPr>
          <w:b w:val="0"/>
          <w:highlight w:val="yellow"/>
        </w:rPr>
        <w:t>[«no incluyen» / «incluyen»]</w:t>
      </w:r>
      <w:r>
        <w:rPr>
          <w:b w:val="0"/>
        </w:rPr>
        <w:t xml:space="preserve"> el Impuesto Sobre Ventas (ISV), que se agregará cuando corresponda.</w:t>
      </w:r>
    </w:p>
    <w:p>
      <w:r>
        <w:rPr>
          <w:b w:val="0"/>
        </w:rPr>
        <w:t>Si el pago se atrasa, EL PRESTADOR enviará dos avisos por correo o WhatsApp. Si a los quince (15) días calendario del vencimiento el pago sigue pendiente, EL PRESTADOR podrá suspender el acceso hasta que se ponga al día. Durante la suspensión los datos de EL CLIENTE se conservan y EL CLIENTE puede exportarlos.</w:t>
      </w:r>
    </w:p>
    <w:p>
      <w:r>
        <w:rPr>
          <w:b w:val="0"/>
        </w:rPr>
        <w:t>En el pago anual no se devuelven los meses no usados si EL CLIENTE termina el contrato antes de tiempo, salvo terminación por incumplimiento de EL PRESTADOR, en cuyo caso se devuelve la parte proporcional.</w:t>
      </w:r>
    </w:p>
    <w:p>
      <w:pPr>
        <w:pStyle w:val="Heading2"/>
      </w:pPr>
      <w:r>
        <w:rPr>
          <w:color w:val="1D1716"/>
        </w:rPr>
        <w:t>Cuarta · Plazo y renovación</w:t>
      </w:r>
    </w:p>
    <w:p>
      <w:r>
        <w:rPr>
          <w:b w:val="0"/>
        </w:rPr>
        <w:t>Este contrato inicia en la fecha indicada en el Anexo A y dura un período (un mes o un año, según la modalidad elegida). Se renueva automáticamente por períodos iguales, salvo que alguna de las partes avise que no desea renovar con al menos treinta (30) días de anticipación en la modalidad anual, o diez (10) días en la mensual.</w:t>
      </w:r>
    </w:p>
    <w:p>
      <w:pPr>
        <w:pStyle w:val="Heading2"/>
      </w:pPr>
      <w:r>
        <w:rPr>
          <w:color w:val="1D1716"/>
        </w:rPr>
        <w:t>Quinta · Implementación y capacitación</w:t>
      </w:r>
    </w:p>
    <w:p>
      <w:r>
        <w:rPr>
          <w:b w:val="0"/>
        </w:rPr>
        <w:t>Si el Anexo A incluye implementación, EL PRESTADOR ayudará a EL CLIENTE a configurar su empresa, sus puntos de emisión y sus CAI, a cargar su inventario desde Excel y capacitará a sus usuarios en el uso del sistema, en las fechas que acuerden.</w:t>
      </w:r>
    </w:p>
    <w:p>
      <w:r>
        <w:rPr>
          <w:b w:val="0"/>
        </w:rPr>
        <w:t>EL CLIENTE es responsable de entregar la información correcta (datos fiscales, CAI, inventario) y de revisar lo cargado antes de empezar a facturar.</w:t>
      </w:r>
    </w:p>
    <w:p>
      <w:pPr>
        <w:pStyle w:val="Heading2"/>
      </w:pPr>
      <w:r>
        <w:rPr>
          <w:color w:val="1D1716"/>
        </w:rPr>
        <w:t>Sexta · Soporte y disponibilidad</w:t>
      </w:r>
    </w:p>
    <w:p>
      <w:r>
        <w:rPr>
          <w:b w:val="0"/>
        </w:rPr>
        <w:t>EL PRESTADOR brindará soporte las veinticuatro (24) horas, los siete (7) días de la semana, por los canales y con los tiempos de respuesta del Anexo B.</w:t>
      </w:r>
    </w:p>
    <w:p>
      <w:r>
        <w:rPr>
          <w:b w:val="0"/>
        </w:rPr>
        <w:t>EL PRESTADOR procurará que el sistema esté disponible al menos el noventa y nueve punto cinco por ciento (99.5 %) del tiempo de cada mes, sin contar el mantenimiento programado avisado con anticipación ni las causas indicadas en la cláusula de fuerza mayor. Si no se cumple, EL CLIENTE recibirá el descuento indicado en el Anexo B en su siguiente factura.</w:t>
      </w:r>
    </w:p>
    <w:p>
      <w:pPr>
        <w:pStyle w:val="Heading2"/>
      </w:pPr>
      <w:r>
        <w:rPr>
          <w:color w:val="1D1716"/>
        </w:rPr>
        <w:t>Séptima · Obligaciones de EL CLIENTE</w:t>
      </w:r>
    </w:p>
    <w:p>
      <w:r>
        <w:rPr>
          <w:b w:val="0"/>
        </w:rPr>
        <w:t>EL CLIENTE se obliga a: (a) usar el sistema de forma lícita y conforme al uso aceptable de los términos de servicio; (b) cuidar el acceso de sus cuentas de usuario (inicio de sesión con Google) y responder por lo que hagan sus usuarios; (c) registrar información verdadera y tener derecho a usarla, incluidas fotos y logos; (d) contar con internet, computadoras e impresoras adecuadas; y (e) pagar a tiempo.</w:t>
      </w:r>
    </w:p>
    <w:p>
      <w:pPr>
        <w:pStyle w:val="Heading2"/>
      </w:pPr>
      <w:r>
        <w:rPr>
          <w:color w:val="1D1716"/>
        </w:rPr>
        <w:t>Octava · Responsabilidad fiscal</w:t>
      </w:r>
    </w:p>
    <w:p>
      <w:r>
        <w:rPr>
          <w:b w:val="0"/>
        </w:rPr>
        <w:t>Wake Parts es una herramienta para que EL CLIENTE emita sus documentos fiscales con el CAI que le autorizó el Servicio de Administración de Rentas (SAR). EL PRESTADOR no es una entidad del SAR ni presta servicios contables o de asesoría tributaria.</w:t>
      </w:r>
    </w:p>
    <w:p>
      <w:r>
        <w:rPr>
          <w:b w:val="0"/>
        </w:rPr>
        <w:t>Corresponde a EL CLIENTE: solicitar y registrar correctamente sus CAI, puntos de emisión y datos fiscales; revisar cada documento antes de entregarlo; conservar sus documentos por el tiempo que exija la ley; y cumplir sus obligaciones tributarias. EL PRESTADOR corregirá a su costo cualquier error del sistema en el cálculo o la numeración que le sea reportado.</w:t>
      </w:r>
    </w:p>
    <w:p>
      <w:pPr>
        <w:pStyle w:val="Heading2"/>
      </w:pPr>
      <w:r>
        <w:rPr>
          <w:color w:val="1D1716"/>
        </w:rPr>
        <w:t>Novena · Datos de EL CLIENTE</w:t>
      </w:r>
    </w:p>
    <w:p>
      <w:r>
        <w:rPr>
          <w:b w:val="0"/>
        </w:rPr>
        <w:t>Los datos que EL CLIENTE registra (productos, precios, clientes, documentos, movimientos) son de EL CLIENTE. EL PRESTADOR los usa únicamente para prestar el servicio, no los vende ni los usa para publicidad, y los trata conforme al Anexo C.</w:t>
      </w:r>
    </w:p>
    <w:p>
      <w:r>
        <w:rPr>
          <w:b w:val="0"/>
        </w:rPr>
        <w:t>EL CLIENTE puede exportar todos sus datos en cualquier momento desde el sistema (Taller › Exportar datos), en un archivo comprimido con hojas de Excel.</w:t>
      </w:r>
    </w:p>
    <w:p>
      <w:r>
        <w:rPr>
          <w:b w:val="0"/>
        </w:rPr>
        <w:t xml:space="preserve">Al terminar el contrato, EL CLIENTE conserva el acceso para exportar sus datos durante </w:t>
      </w:r>
      <w:r>
        <w:rPr>
          <w:b w:val="0"/>
          <w:highlight w:val="yellow"/>
        </w:rPr>
        <w:t>[60]</w:t>
      </w:r>
      <w:r>
        <w:rPr>
          <w:b w:val="0"/>
        </w:rPr>
        <w:t xml:space="preserve"> días. Pasado ese plazo, EL PRESTADOR eliminará los datos, salvo lo que una ley le obligue a conservar y las copias de respaldo, que se eliminan en su ciclo normal.</w:t>
      </w:r>
    </w:p>
    <w:p>
      <w:pPr>
        <w:pStyle w:val="Heading2"/>
      </w:pPr>
      <w:r>
        <w:rPr>
          <w:color w:val="1D1716"/>
        </w:rPr>
        <w:t>Décima · Seguridad y respaldos</w:t>
      </w:r>
    </w:p>
    <w:p>
      <w:r>
        <w:rPr>
          <w:b w:val="0"/>
        </w:rPr>
        <w:t>EL PRESTADOR mantiene medidas razonables de seguridad: comunicación cifrada, separación de los datos de cada empresa en la base de datos, registro de actividad y respaldos diarios a cargo de su proveedor de infraestructura. Ningún sistema es invulnerable; si ocurre un incidente que afecte datos de EL CLIENTE, EL PRESTADOR le avisará conforme al Anexo C.</w:t>
      </w:r>
    </w:p>
    <w:p>
      <w:pPr>
        <w:pStyle w:val="Heading2"/>
      </w:pPr>
      <w:r>
        <w:rPr>
          <w:color w:val="1D1716"/>
        </w:rPr>
        <w:t>Undécima · Propiedad intelectual</w:t>
      </w:r>
    </w:p>
    <w:p>
      <w:r>
        <w:rPr>
          <w:b w:val="0"/>
        </w:rPr>
        <w:t>El software, el diseño, la marca Wake Parts, el catálogo de vehículos y la documentación son de EL PRESTADOR. Este contrato no transfiere a EL CLIENTE ningún derecho sobre ellos fuera del uso del servicio. EL CLIENTE no podrá copiar, revender, descompilar ni permitir que terceros usen el sistema fuera de sus usuarios autorizados.</w:t>
      </w:r>
    </w:p>
    <w:p>
      <w:r>
        <w:rPr>
          <w:b w:val="0"/>
        </w:rPr>
        <w:t>Las mejoras o ajustes que EL PRESTADOR desarrolle, aunque sea a pedido de EL CLIENTE, son de EL PRESTADOR y pueden formar parte del servicio para otros clientes, salvo acuerdo escrito distinto.</w:t>
      </w:r>
    </w:p>
    <w:p>
      <w:pPr>
        <w:pStyle w:val="Heading2"/>
      </w:pPr>
      <w:r>
        <w:rPr>
          <w:color w:val="1D1716"/>
        </w:rPr>
        <w:t>Duodécima · Limitación de responsabilidad</w:t>
      </w:r>
    </w:p>
    <w:p>
      <w:r>
        <w:rPr>
          <w:b w:val="0"/>
        </w:rPr>
        <w:t>EL PRESTADOR responde por los daños directos que cause por incumplir este contrato, hasta un máximo igual a lo que EL CLIENTE haya pagado por el servicio en los tres (3) meses anteriores al hecho que origina el reclamo.</w:t>
      </w:r>
    </w:p>
    <w:p>
      <w:r>
        <w:rPr>
          <w:b w:val="0"/>
        </w:rPr>
        <w:t>EL PRESTADOR no responde por daños indirectos, ventas no realizadas, pérdida de clientela, multas originadas en datos o CAI cargados por EL CLIENTE, ni por decisiones tomadas con base en la información del sistema. Esta limitación no aplica en caso de dolo o culpa grave.</w:t>
      </w:r>
    </w:p>
    <w:p>
      <w:pPr>
        <w:pStyle w:val="Heading2"/>
      </w:pPr>
      <w:r>
        <w:rPr>
          <w:color w:val="1D1716"/>
        </w:rPr>
        <w:t>Decimotercera · Suspensión y terminación</w:t>
      </w:r>
    </w:p>
    <w:p>
      <w:r>
        <w:rPr>
          <w:b w:val="0"/>
        </w:rPr>
        <w:t>Cualquiera de las partes puede terminar este contrato sin causa, avisando por escrito con treinta (30) días de anticipación.</w:t>
      </w:r>
    </w:p>
    <w:p>
      <w:r>
        <w:rPr>
          <w:b w:val="0"/>
        </w:rPr>
        <w:t>Cualquiera de las partes puede terminarlo de inmediato si la otra incumple una obligación importante y no lo corrige dentro de quince (15) días de recibir aviso.</w:t>
      </w:r>
    </w:p>
    <w:p>
      <w:r>
        <w:rPr>
          <w:b w:val="0"/>
        </w:rPr>
        <w:t>EL PRESTADOR puede suspender el acceso, sin responsabilidad, por falta de pago (cláusula tercera) o por uso ilícito o que ponga en riesgo el sistema o a otros clientes.</w:t>
      </w:r>
    </w:p>
    <w:p>
      <w:r>
        <w:rPr>
          <w:b w:val="0"/>
        </w:rPr>
        <w:t>Al terminar, aplica lo dispuesto en la cláusula novena sobre la entrega y eliminación de los datos.</w:t>
      </w:r>
    </w:p>
    <w:p>
      <w:pPr>
        <w:pStyle w:val="Heading2"/>
      </w:pPr>
      <w:r>
        <w:rPr>
          <w:color w:val="1D1716"/>
        </w:rPr>
        <w:t>Decimocuarta · Cambios al servicio y al precio</w:t>
      </w:r>
    </w:p>
    <w:p>
      <w:r>
        <w:rPr>
          <w:b w:val="0"/>
        </w:rPr>
        <w:t>EL PRESTADOR puede mejorar o cambiar funciones del sistema, siempre que no elimine funciones esenciales del plan contratado sin ofrecer una alternativa equivalente.</w:t>
      </w:r>
    </w:p>
    <w:p>
      <w:r>
        <w:rPr>
          <w:b w:val="0"/>
        </w:rPr>
        <w:t>EL PRESTADOR puede modificar el precio avisando con treinta (30) días de anticipación. En la modalidad anual, el precio se mantiene hasta la renovación. Si EL CLIENTE no está de acuerdo, puede terminar el contrato antes de que el cambio aplique.</w:t>
      </w:r>
    </w:p>
    <w:p>
      <w:pPr>
        <w:pStyle w:val="Heading2"/>
      </w:pPr>
      <w:r>
        <w:rPr>
          <w:color w:val="1D1716"/>
        </w:rPr>
        <w:t>Decimoquinta · Confidencialidad</w:t>
      </w:r>
    </w:p>
    <w:p>
      <w:r>
        <w:rPr>
          <w:b w:val="0"/>
        </w:rPr>
        <w:t>Las partes mantendrán en reserva la información de la otra que conozcan por este contrato, y solo la compartirán con su personal o proveedores que la necesiten para cumplirlo, con la misma obligación de reserva. Esta obligación sigue vigente dos (2) años después de terminado el contrato, y sin plazo respecto de los datos personales.</w:t>
      </w:r>
    </w:p>
    <w:p>
      <w:pPr>
        <w:pStyle w:val="Heading2"/>
      </w:pPr>
      <w:r>
        <w:rPr>
          <w:color w:val="1D1716"/>
        </w:rPr>
        <w:t>Decimosexta · Fuerza mayor</w:t>
      </w:r>
    </w:p>
    <w:p>
      <w:r>
        <w:rPr>
          <w:b w:val="0"/>
        </w:rPr>
        <w:t>Ninguna parte responde por incumplimientos causados por hechos fuera de su control razonable, como desastres naturales, cortes generales de energía o de internet, fallas generalizadas de los proveedores de infraestructura (alojamiento, base de datos, inicio de sesión) o actos de autoridad. La parte afectada avisará a la otra y hará lo razonable para reducir el efecto.</w:t>
      </w:r>
    </w:p>
    <w:p>
      <w:pPr>
        <w:pStyle w:val="Heading2"/>
      </w:pPr>
      <w:r>
        <w:rPr>
          <w:color w:val="1D1716"/>
        </w:rPr>
        <w:t>Decimoséptima · Avisos</w:t>
      </w:r>
    </w:p>
    <w:p>
      <w:r>
        <w:rPr>
          <w:b w:val="0"/>
        </w:rPr>
        <w:t>Los avisos de este contrato se harán por escrito a los correos indicados en el Anexo A. Los avisos de cobro, soporte y mantenimiento también pueden hacerse por WhatsApp a los números indicados en el Anexo A.</w:t>
      </w:r>
    </w:p>
    <w:p>
      <w:pPr>
        <w:pStyle w:val="Heading2"/>
      </w:pPr>
      <w:r>
        <w:rPr>
          <w:color w:val="1D1716"/>
        </w:rPr>
        <w:t>Decimoctava · Ley aplicable y conflictos</w:t>
      </w:r>
    </w:p>
    <w:p>
      <w:r>
        <w:rPr>
          <w:b w:val="0"/>
        </w:rPr>
        <w:t xml:space="preserve">Este contrato se rige por las leyes de la República de Honduras. Las partes procurarán resolver cualquier diferencia de buena fe; si no lo logran en treinta (30) días, se someterán a </w:t>
      </w:r>
      <w:r>
        <w:rPr>
          <w:b w:val="0"/>
          <w:highlight w:val="yellow"/>
        </w:rPr>
        <w:t>[los tribunales competentes de Tegucigalpa, M.D.C. / arbitraje en el Centro de Conciliación y Arbitraje de la Cámara de Comercio e Industrias de Tegucigalpa]</w:t>
      </w:r>
      <w:r>
        <w:rPr>
          <w:b w:val="0"/>
        </w:rPr>
        <w:t>.</w:t>
      </w:r>
    </w:p>
    <w:p>
      <w:pPr>
        <w:pStyle w:val="Heading2"/>
      </w:pPr>
      <w:r>
        <w:rPr>
          <w:color w:val="1D1716"/>
        </w:rPr>
        <w:t>Decimonovena · Disposiciones finales</w:t>
      </w:r>
    </w:p>
    <w:p>
      <w:r>
        <w:rPr>
          <w:b w:val="0"/>
        </w:rPr>
        <w:t>Este contrato, con sus anexos, es el acuerdo completo entre las partes y prevalece sobre los términos de servicio publicados en el sitio en lo que se contradigan. Cualquier cambio debe constar por escrito. EL PRESTADOR puede ceder este contrato a una sociedad que continúe prestando el servicio, avisando a EL CLIENTE.</w:t>
      </w:r>
    </w:p>
    <w:p>
      <w:r>
        <w:rPr>
          <w:b w:val="0"/>
        </w:rPr>
        <w:t>Si alguna cláusula resulta inválida, las demás siguen vigentes.</w:t>
      </w:r>
    </w:p>
    <w:p>
      <w:r>
        <w:rPr>
          <w:b w:val="0"/>
        </w:rPr>
        <w:t xml:space="preserve">Firmado en </w:t>
      </w:r>
      <w:r>
        <w:rPr>
          <w:b w:val="0"/>
          <w:highlight w:val="yellow"/>
        </w:rPr>
        <w:t>[ciudad]</w:t>
      </w:r>
      <w:r>
        <w:rPr>
          <w:b w:val="0"/>
        </w:rPr>
        <w:t xml:space="preserve">, el </w:t>
      </w:r>
      <w:r>
        <w:rPr>
          <w:b w:val="0"/>
          <w:highlight w:val="yellow"/>
        </w:rPr>
        <w:t>[día]</w:t>
      </w:r>
      <w:r>
        <w:rPr>
          <w:b w:val="0"/>
        </w:rPr>
        <w:t xml:space="preserve"> de </w:t>
      </w:r>
      <w:r>
        <w:rPr>
          <w:b w:val="0"/>
          <w:highlight w:val="yellow"/>
        </w:rPr>
        <w:t>[mes]</w:t>
      </w:r>
      <w:r>
        <w:rPr>
          <w:b w:val="0"/>
        </w:rPr>
        <w:t xml:space="preserve"> de </w:t>
      </w:r>
      <w:r>
        <w:rPr>
          <w:b w:val="0"/>
          <w:highlight w:val="yellow"/>
        </w:rPr>
        <w:t>[año]</w:t>
      </w:r>
      <w:r>
        <w:rPr>
          <w:b w:val="0"/>
        </w:rPr>
        <w:t>, en dos ejemplares de igual valor.</w:t>
      </w:r>
    </w:p>
    <w:tbl>
      <w:tblPr>
        <w:tblStyle w:val="TableGrid"/>
        <w:tblW w:type="auto" w:w="0"/>
        <w:tblLook w:firstColumn="1" w:firstRow="1" w:lastColumn="0" w:lastRow="0" w:noHBand="0" w:noVBand="1" w:val="04A0"/>
      </w:tblPr>
      <w:tblGrid>
        <w:gridCol w:w="4873"/>
        <w:gridCol w:w="4873"/>
      </w:tblGrid>
      <w:tr>
        <w:tc>
          <w:tcPr>
            <w:tcW w:type="dxa" w:w="4873"/>
          </w:tcPr>
          <w:p>
            <w:r>
              <w:rPr>
                <w:b/>
              </w:rPr>
              <w:t>EL PRESTADOR (nombre y firma)</w:t>
            </w:r>
          </w:p>
        </w:tc>
        <w:tc>
          <w:tcPr>
            <w:tcW w:type="dxa" w:w="4873"/>
          </w:tcPr>
          <w:p>
            <w:r>
              <w:rPr>
                <w:b/>
              </w:rPr>
              <w:t>EL CLIENTE (nombre, firma y sello)</w:t>
            </w:r>
          </w:p>
        </w:tc>
      </w:tr>
      <w:tr>
        <w:tc>
          <w:tcPr>
            <w:tcW w:type="dxa" w:w="4873"/>
          </w:tcPr>
          <w:p>
            <w:r/>
          </w:p>
        </w:tc>
        <w:tc>
          <w:tcPr>
            <w:tcW w:type="dxa" w:w="4873"/>
          </w:tcPr>
          <w:p>
            <w:r/>
          </w:p>
        </w:tc>
      </w:tr>
    </w:tbl>
    <w:p/>
    <w:p>
      <w:r>
        <w:br w:type="page"/>
      </w:r>
    </w:p>
    <w:p>
      <w:pPr>
        <w:pStyle w:val="Heading1"/>
      </w:pPr>
      <w:r>
        <w:rPr>
          <w:color w:val="1D1716"/>
        </w:rPr>
        <w:t>Anexo A · Plan contratado y precio</w:t>
      </w:r>
    </w:p>
    <w:p>
      <w:r>
        <w:rPr>
          <w:b w:val="0"/>
        </w:rPr>
        <w:t>Marcar con una X el plan, la modalidad y los servicios adicionales contratados.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Plan</w:t>
            </w:r>
          </w:p>
        </w:tc>
        <w:tc>
          <w:tcPr>
            <w:tcW w:type="dxa" w:w="3249"/>
          </w:tcPr>
          <w:p>
            <w:r>
              <w:rPr>
                <w:b/>
              </w:rPr>
              <w:t>Qué incluye</w:t>
            </w:r>
          </w:p>
        </w:tc>
        <w:tc>
          <w:tcPr>
            <w:tcW w:type="dxa" w:w="3249"/>
          </w:tcPr>
          <w:p>
            <w:r>
              <w:rPr>
                <w:b/>
              </w:rPr>
              <w:t>Precio mensual de referencia (L, sin ISV)</w:t>
            </w:r>
          </w:p>
        </w:tc>
      </w:tr>
      <w:tr>
        <w:tc>
          <w:tcPr>
            <w:tcW w:type="dxa" w:w="3249"/>
          </w:tcPr>
          <w:p>
            <w:r>
              <w:t>☐ Mostrador</w:t>
            </w:r>
          </w:p>
        </w:tc>
        <w:tc>
          <w:tcPr>
            <w:tcW w:type="dxa" w:w="3249"/>
          </w:tcPr>
          <w:p>
            <w:r>
              <w:t>1 sucursal · 1 caja · hasta 3 usuarios · inventario, facturación con CAI, notas, crédito, caja, reportes, ticket</w:t>
            </w:r>
          </w:p>
        </w:tc>
        <w:tc>
          <w:tcPr>
            <w:tcW w:type="dxa" w:w="3249"/>
          </w:tcPr>
          <w:p>
            <w:r>
              <w:t>690</w:t>
            </w:r>
          </w:p>
        </w:tc>
      </w:tr>
      <w:tr>
        <w:tc>
          <w:tcPr>
            <w:tcW w:type="dxa" w:w="3249"/>
          </w:tcPr>
          <w:p>
            <w:r>
              <w:t>☐ Taller</w:t>
            </w:r>
          </w:p>
        </w:tc>
        <w:tc>
          <w:tcPr>
            <w:tcW w:type="dxa" w:w="3249"/>
          </w:tcPr>
          <w:p>
            <w:r>
              <w:t>Hasta 3 cajas · usuarios sin límite · todo lo de Mostrador + sitio web con catálogo y pedidos</w:t>
            </w:r>
          </w:p>
        </w:tc>
        <w:tc>
          <w:tcPr>
            <w:tcW w:type="dxa" w:w="3249"/>
          </w:tcPr>
          <w:p>
            <w:r>
              <w:t>1,190</w:t>
            </w:r>
          </w:p>
        </w:tc>
      </w:tr>
      <w:tr>
        <w:tc>
          <w:tcPr>
            <w:tcW w:type="dxa" w:w="3249"/>
          </w:tcPr>
          <w:p>
            <w:r>
              <w:t>☐ Multisucursal</w:t>
            </w:r>
          </w:p>
        </w:tc>
        <w:tc>
          <w:tcPr>
            <w:tcW w:type="dxa" w:w="3249"/>
          </w:tcPr>
          <w:p>
            <w:r>
              <w:t>Varias sucursales y cajas · usuarios sin límite · todo lo de Taller</w:t>
            </w:r>
          </w:p>
        </w:tc>
        <w:tc>
          <w:tcPr>
            <w:tcW w:type="dxa" w:w="3249"/>
          </w:tcPr>
          <w:p>
            <w:r>
              <w:t>1,890</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rPr>
              <w:t>Modalidad</w:t>
            </w:r>
          </w:p>
        </w:tc>
        <w:tc>
          <w:tcPr>
            <w:tcW w:type="dxa" w:w="4873"/>
          </w:tcPr>
          <w:p>
            <w:r>
              <w:rPr>
                <w:b/>
              </w:rPr>
              <w:t>Condición</w:t>
            </w:r>
          </w:p>
        </w:tc>
      </w:tr>
      <w:tr>
        <w:tc>
          <w:tcPr>
            <w:tcW w:type="dxa" w:w="4873"/>
          </w:tcPr>
          <w:p>
            <w:r>
              <w:t>☐ Mensual</w:t>
            </w:r>
          </w:p>
        </w:tc>
        <w:tc>
          <w:tcPr>
            <w:tcW w:type="dxa" w:w="4873"/>
          </w:tcPr>
          <w:p>
            <w:r>
              <w:t>Se paga cada mes por adelantado.</w:t>
            </w:r>
          </w:p>
        </w:tc>
      </w:tr>
      <w:tr>
        <w:tc>
          <w:tcPr>
            <w:tcW w:type="dxa" w:w="4873"/>
          </w:tcPr>
          <w:p>
            <w:r>
              <w:t>☐ Anual</w:t>
            </w:r>
          </w:p>
        </w:tc>
        <w:tc>
          <w:tcPr>
            <w:tcW w:type="dxa" w:w="4873"/>
          </w:tcPr>
          <w:p>
            <w:r>
              <w:t>Se paga un año por adelantado al precio de diez (10) meses.</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rPr>
              <w:t>Servicio adicional</w:t>
            </w:r>
          </w:p>
        </w:tc>
        <w:tc>
          <w:tcPr>
            <w:tcW w:type="dxa" w:w="4873"/>
          </w:tcPr>
          <w:p>
            <w:r>
              <w:rPr>
                <w:b/>
              </w:rPr>
              <w:t>Precio (L, sin ISV)</w:t>
            </w:r>
          </w:p>
        </w:tc>
      </w:tr>
      <w:tr>
        <w:tc>
          <w:tcPr>
            <w:tcW w:type="dxa" w:w="4873"/>
          </w:tcPr>
          <w:p>
            <w:r>
              <w:t>☐ Implementación y capacitación (carga de inventario, CAI, puntos de emisión, capacitación)</w:t>
            </w:r>
          </w:p>
        </w:tc>
        <w:tc>
          <w:tcPr>
            <w:tcW w:type="dxa" w:w="4873"/>
          </w:tcPr>
          <w:p>
            <w:r>
              <w:t>2,500 pago único</w:t>
            </w:r>
          </w:p>
        </w:tc>
      </w:tr>
      <w:tr>
        <w:tc>
          <w:tcPr>
            <w:tcW w:type="dxa" w:w="4873"/>
          </w:tcPr>
          <w:p>
            <w:r>
              <w:t>☐ Caja o punto de emisión adicional</w:t>
            </w:r>
          </w:p>
        </w:tc>
        <w:tc>
          <w:tcPr>
            <w:tcW w:type="dxa" w:w="4873"/>
          </w:tcPr>
          <w:p>
            <w:r>
              <w:t>[monto] al mes</w:t>
            </w:r>
          </w:p>
        </w:tc>
      </w:tr>
      <w:tr>
        <w:tc>
          <w:tcPr>
            <w:tcW w:type="dxa" w:w="4873"/>
          </w:tcPr>
          <w:p>
            <w:r>
              <w:t>☐ Sucursal adicional</w:t>
            </w:r>
          </w:p>
        </w:tc>
        <w:tc>
          <w:tcPr>
            <w:tcW w:type="dxa" w:w="4873"/>
          </w:tcPr>
          <w:p>
            <w:r>
              <w:t>[monto] al mes</w:t>
            </w:r>
          </w:p>
        </w:tc>
      </w:tr>
      <w:tr>
        <w:tc>
          <w:tcPr>
            <w:tcW w:type="dxa" w:w="4873"/>
          </w:tcPr>
          <w:p>
            <w:r>
              <w:t>☐ Ajustes a medida (formatos, reportes, integraciones)</w:t>
            </w:r>
          </w:p>
        </w:tc>
        <w:tc>
          <w:tcPr>
            <w:tcW w:type="dxa" w:w="4873"/>
          </w:tcPr>
          <w:p>
            <w:r>
              <w:t>Según cotización aparte</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rPr>
              <w:t>Dato</w:t>
            </w:r>
          </w:p>
        </w:tc>
        <w:tc>
          <w:tcPr>
            <w:tcW w:type="dxa" w:w="4873"/>
          </w:tcPr>
          <w:p>
            <w:r>
              <w:rPr>
                <w:b/>
              </w:rPr>
              <w:t>Valor</w:t>
            </w:r>
          </w:p>
        </w:tc>
      </w:tr>
      <w:tr>
        <w:tc>
          <w:tcPr>
            <w:tcW w:type="dxa" w:w="4873"/>
          </w:tcPr>
          <w:p>
            <w:r>
              <w:t>Sucursales incluidas</w:t>
            </w:r>
          </w:p>
        </w:tc>
        <w:tc>
          <w:tcPr>
            <w:tcW w:type="dxa" w:w="4873"/>
          </w:tcPr>
          <w:p>
            <w:r/>
          </w:p>
        </w:tc>
      </w:tr>
      <w:tr>
        <w:tc>
          <w:tcPr>
            <w:tcW w:type="dxa" w:w="4873"/>
          </w:tcPr>
          <w:p>
            <w:r>
              <w:t>Cajas (puntos de emisión) incluidas</w:t>
            </w:r>
          </w:p>
        </w:tc>
        <w:tc>
          <w:tcPr>
            <w:tcW w:type="dxa" w:w="4873"/>
          </w:tcPr>
          <w:p>
            <w:r/>
          </w:p>
        </w:tc>
      </w:tr>
      <w:tr>
        <w:tc>
          <w:tcPr>
            <w:tcW w:type="dxa" w:w="4873"/>
          </w:tcPr>
          <w:p>
            <w:r>
              <w:t>Usuarios incluidos</w:t>
            </w:r>
          </w:p>
        </w:tc>
        <w:tc>
          <w:tcPr>
            <w:tcW w:type="dxa" w:w="4873"/>
          </w:tcPr>
          <w:p>
            <w:r/>
          </w:p>
        </w:tc>
      </w:tr>
      <w:tr>
        <w:tc>
          <w:tcPr>
            <w:tcW w:type="dxa" w:w="4873"/>
          </w:tcPr>
          <w:p>
            <w:r>
              <w:t>Descuento acordado (si aplica)</w:t>
            </w:r>
          </w:p>
        </w:tc>
        <w:tc>
          <w:tcPr>
            <w:tcW w:type="dxa" w:w="4873"/>
          </w:tcPr>
          <w:p>
            <w:r/>
          </w:p>
        </w:tc>
      </w:tr>
      <w:tr>
        <w:tc>
          <w:tcPr>
            <w:tcW w:type="dxa" w:w="4873"/>
          </w:tcPr>
          <w:p>
            <w:r>
              <w:t>Precio total por período (L, sin ISV)</w:t>
            </w:r>
          </w:p>
        </w:tc>
        <w:tc>
          <w:tcPr>
            <w:tcW w:type="dxa" w:w="4873"/>
          </w:tcPr>
          <w:p>
            <w:r/>
          </w:p>
        </w:tc>
      </w:tr>
      <w:tr>
        <w:tc>
          <w:tcPr>
            <w:tcW w:type="dxa" w:w="4873"/>
          </w:tcPr>
          <w:p>
            <w:r>
              <w:t>Fecha de inicio</w:t>
            </w:r>
          </w:p>
        </w:tc>
        <w:tc>
          <w:tcPr>
            <w:tcW w:type="dxa" w:w="4873"/>
          </w:tcPr>
          <w:p>
            <w:r/>
          </w:p>
        </w:tc>
      </w:tr>
      <w:tr>
        <w:tc>
          <w:tcPr>
            <w:tcW w:type="dxa" w:w="4873"/>
          </w:tcPr>
          <w:p>
            <w:r>
              <w:t>Día de pago</w:t>
            </w:r>
          </w:p>
        </w:tc>
        <w:tc>
          <w:tcPr>
            <w:tcW w:type="dxa" w:w="4873"/>
          </w:tcPr>
          <w:p>
            <w:r/>
          </w:p>
        </w:tc>
      </w:tr>
      <w:tr>
        <w:tc>
          <w:tcPr>
            <w:tcW w:type="dxa" w:w="4873"/>
          </w:tcPr>
          <w:p>
            <w:r>
              <w:t>Correo y WhatsApp de EL CLIENTE para avisos</w:t>
            </w:r>
          </w:p>
        </w:tc>
        <w:tc>
          <w:tcPr>
            <w:tcW w:type="dxa" w:w="4873"/>
          </w:tcPr>
          <w:p>
            <w:r/>
          </w:p>
        </w:tc>
      </w:tr>
      <w:tr>
        <w:tc>
          <w:tcPr>
            <w:tcW w:type="dxa" w:w="4873"/>
          </w:tcPr>
          <w:p>
            <w:r>
              <w:t>Correo y WhatsApp de EL PRESTADOR para avisos y soporte</w:t>
            </w:r>
          </w:p>
        </w:tc>
        <w:tc>
          <w:tcPr>
            <w:tcW w:type="dxa" w:w="4873"/>
          </w:tcPr>
          <w:p>
            <w:r/>
          </w:p>
        </w:tc>
      </w:tr>
    </w:tbl>
    <w:p/>
    <w:tbl>
      <w:tblPr>
        <w:tblStyle w:val="TableGrid"/>
        <w:tblW w:type="auto" w:w="0"/>
        <w:tblLook w:firstColumn="1" w:firstRow="1" w:lastColumn="0" w:lastRow="0" w:noHBand="0" w:noVBand="1" w:val="04A0"/>
      </w:tblPr>
      <w:tblGrid>
        <w:gridCol w:w="4873"/>
        <w:gridCol w:w="4873"/>
      </w:tblGrid>
      <w:tr>
        <w:tc>
          <w:tcPr>
            <w:tcW w:type="dxa" w:w="4873"/>
          </w:tcPr>
          <w:p>
            <w:r>
              <w:rPr>
                <w:b/>
              </w:rPr>
              <w:t>EL PRESTADOR</w:t>
            </w:r>
          </w:p>
        </w:tc>
        <w:tc>
          <w:tcPr>
            <w:tcW w:type="dxa" w:w="4873"/>
          </w:tcPr>
          <w:p>
            <w:r>
              <w:rPr>
                <w:b/>
              </w:rPr>
              <w:t>EL CLIENTE</w:t>
            </w:r>
          </w:p>
        </w:tc>
      </w:tr>
      <w:tr>
        <w:tc>
          <w:tcPr>
            <w:tcW w:type="dxa" w:w="4873"/>
          </w:tcPr>
          <w:p>
            <w:r/>
          </w:p>
        </w:tc>
        <w:tc>
          <w:tcPr>
            <w:tcW w:type="dxa" w:w="4873"/>
          </w:tcPr>
          <w:p>
            <w:r/>
          </w:p>
        </w:tc>
      </w:tr>
    </w:tbl>
    <w:p/>
    <w:p>
      <w:r>
        <w:br w:type="page"/>
      </w:r>
    </w:p>
    <w:p>
      <w:pPr>
        <w:pStyle w:val="Heading1"/>
      </w:pPr>
      <w:r>
        <w:rPr>
          <w:color w:val="1D1716"/>
        </w:rPr>
        <w:t>Anexo B · Soporte y niveles de servicio</w:t>
      </w:r>
    </w:p>
    <w:p>
      <w:r>
        <w:rPr>
          <w:b w:val="0"/>
        </w:rPr>
        <w:t>Horario: 24 horas, 7 días de la semana, incluidos feriados. Canales: WhatsApp de soporte y correo indicados en el Anexo A.</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Prioridad</w:t>
            </w:r>
          </w:p>
        </w:tc>
        <w:tc>
          <w:tcPr>
            <w:tcW w:type="dxa" w:w="2436"/>
          </w:tcPr>
          <w:p>
            <w:r>
              <w:rPr>
                <w:b/>
              </w:rPr>
              <w:t>Ejemplo</w:t>
            </w:r>
          </w:p>
        </w:tc>
        <w:tc>
          <w:tcPr>
            <w:tcW w:type="dxa" w:w="2436"/>
          </w:tcPr>
          <w:p>
            <w:r>
              <w:rPr>
                <w:b/>
              </w:rPr>
              <w:t>Primera respuesta</w:t>
            </w:r>
          </w:p>
        </w:tc>
        <w:tc>
          <w:tcPr>
            <w:tcW w:type="dxa" w:w="2436"/>
          </w:tcPr>
          <w:p>
            <w:r>
              <w:rPr>
                <w:b/>
              </w:rPr>
              <w:t>Solución o alternativa</w:t>
            </w:r>
          </w:p>
        </w:tc>
      </w:tr>
      <w:tr>
        <w:tc>
          <w:tcPr>
            <w:tcW w:type="dxa" w:w="2436"/>
          </w:tcPr>
          <w:p>
            <w:r>
              <w:t>Crítica</w:t>
            </w:r>
          </w:p>
        </w:tc>
        <w:tc>
          <w:tcPr>
            <w:tcW w:type="dxa" w:w="2436"/>
          </w:tcPr>
          <w:p>
            <w:r>
              <w:t>No se puede facturar o el sistema no carga para nadie</w:t>
            </w:r>
          </w:p>
        </w:tc>
        <w:tc>
          <w:tcPr>
            <w:tcW w:type="dxa" w:w="2436"/>
          </w:tcPr>
          <w:p>
            <w:r>
              <w:t>1 hora</w:t>
            </w:r>
          </w:p>
        </w:tc>
        <w:tc>
          <w:tcPr>
            <w:tcW w:type="dxa" w:w="2436"/>
          </w:tcPr>
          <w:p>
            <w:r>
              <w:t>4 horas</w:t>
            </w:r>
          </w:p>
        </w:tc>
      </w:tr>
      <w:tr>
        <w:tc>
          <w:tcPr>
            <w:tcW w:type="dxa" w:w="2436"/>
          </w:tcPr>
          <w:p>
            <w:r>
              <w:t>Alta</w:t>
            </w:r>
          </w:p>
        </w:tc>
        <w:tc>
          <w:tcPr>
            <w:tcW w:type="dxa" w:w="2436"/>
          </w:tcPr>
          <w:p>
            <w:r>
              <w:t>Una función importante falla (caja, crédito, impresión) y hay forma de seguir trabajando</w:t>
            </w:r>
          </w:p>
        </w:tc>
        <w:tc>
          <w:tcPr>
            <w:tcW w:type="dxa" w:w="2436"/>
          </w:tcPr>
          <w:p>
            <w:r>
              <w:t>4 horas</w:t>
            </w:r>
          </w:p>
        </w:tc>
        <w:tc>
          <w:tcPr>
            <w:tcW w:type="dxa" w:w="2436"/>
          </w:tcPr>
          <w:p>
            <w:r>
              <w:t>1 día hábil</w:t>
            </w:r>
          </w:p>
        </w:tc>
      </w:tr>
      <w:tr>
        <w:tc>
          <w:tcPr>
            <w:tcW w:type="dxa" w:w="2436"/>
          </w:tcPr>
          <w:p>
            <w:r>
              <w:t>Normal</w:t>
            </w:r>
          </w:p>
        </w:tc>
        <w:tc>
          <w:tcPr>
            <w:tcW w:type="dxa" w:w="2436"/>
          </w:tcPr>
          <w:p>
            <w:r>
              <w:t>Dudas de uso, ajustes de configuración, errores menores</w:t>
            </w:r>
          </w:p>
        </w:tc>
        <w:tc>
          <w:tcPr>
            <w:tcW w:type="dxa" w:w="2436"/>
          </w:tcPr>
          <w:p>
            <w:r>
              <w:t>8 horas</w:t>
            </w:r>
          </w:p>
        </w:tc>
        <w:tc>
          <w:tcPr>
            <w:tcW w:type="dxa" w:w="2436"/>
          </w:tcPr>
          <w:p>
            <w:r>
              <w:t>3 días hábiles</w:t>
            </w:r>
          </w:p>
        </w:tc>
      </w:tr>
    </w:tbl>
    <w:p/>
    <w:p>
      <w:r>
        <w:rPr>
          <w:b w:val="0"/>
        </w:rPr>
        <w:t>Disponibilidad: 99.5 % del tiempo de cada mes calendario, medida por EL PRESTADOR. No cuentan el mantenimiento programado avisado con al menos 48 horas (de preferencia entre 10 p. m. y 5 a. m.), las fallas del internet o los equipos de EL CLIENTE ni los casos de fuerza mayor.</w:t>
      </w:r>
    </w:p>
    <w:tbl>
      <w:tblPr>
        <w:tblStyle w:val="TableGrid"/>
        <w:tblW w:type="auto" w:w="0"/>
        <w:tblLook w:firstColumn="1" w:firstRow="1" w:lastColumn="0" w:lastRow="0" w:noHBand="0" w:noVBand="1" w:val="04A0"/>
      </w:tblPr>
      <w:tblGrid>
        <w:gridCol w:w="4873"/>
        <w:gridCol w:w="4873"/>
      </w:tblGrid>
      <w:tr>
        <w:tc>
          <w:tcPr>
            <w:tcW w:type="dxa" w:w="4873"/>
          </w:tcPr>
          <w:p>
            <w:r>
              <w:rPr>
                <w:b/>
              </w:rPr>
              <w:t>Disponibilidad del mes</w:t>
            </w:r>
          </w:p>
        </w:tc>
        <w:tc>
          <w:tcPr>
            <w:tcW w:type="dxa" w:w="4873"/>
          </w:tcPr>
          <w:p>
            <w:r>
              <w:rPr>
                <w:b/>
              </w:rPr>
              <w:t>Descuento en la siguiente factura</w:t>
            </w:r>
          </w:p>
        </w:tc>
      </w:tr>
      <w:tr>
        <w:tc>
          <w:tcPr>
            <w:tcW w:type="dxa" w:w="4873"/>
          </w:tcPr>
          <w:p>
            <w:r>
              <w:t>Menos de 99.5 % y hasta 99 %</w:t>
            </w:r>
          </w:p>
        </w:tc>
        <w:tc>
          <w:tcPr>
            <w:tcW w:type="dxa" w:w="4873"/>
          </w:tcPr>
          <w:p>
            <w:r>
              <w:t>10 % del mes</w:t>
            </w:r>
          </w:p>
        </w:tc>
      </w:tr>
      <w:tr>
        <w:tc>
          <w:tcPr>
            <w:tcW w:type="dxa" w:w="4873"/>
          </w:tcPr>
          <w:p>
            <w:r>
              <w:t>Menos de 99 % y hasta 97 %</w:t>
            </w:r>
          </w:p>
        </w:tc>
        <w:tc>
          <w:tcPr>
            <w:tcW w:type="dxa" w:w="4873"/>
          </w:tcPr>
          <w:p>
            <w:r>
              <w:t>25 % del mes</w:t>
            </w:r>
          </w:p>
        </w:tc>
      </w:tr>
      <w:tr>
        <w:tc>
          <w:tcPr>
            <w:tcW w:type="dxa" w:w="4873"/>
          </w:tcPr>
          <w:p>
            <w:r>
              <w:t>Menos de 97 %</w:t>
            </w:r>
          </w:p>
        </w:tc>
        <w:tc>
          <w:tcPr>
            <w:tcW w:type="dxa" w:w="4873"/>
          </w:tcPr>
          <w:p>
            <w:r>
              <w:t>50 % del mes</w:t>
            </w:r>
          </w:p>
        </w:tc>
      </w:tr>
    </w:tbl>
    <w:p/>
    <w:p>
      <w:r>
        <w:rPr>
          <w:b w:val="0"/>
        </w:rPr>
        <w:t>EL CLIENTE debe pedir el descuento dentro de los treinta (30) días siguientes al mes afectado. El descuento es la compensación por falta de disponibilidad.</w:t>
      </w:r>
    </w:p>
    <w:p>
      <w:r>
        <w:br w:type="page"/>
      </w:r>
    </w:p>
    <w:p>
      <w:pPr>
        <w:pStyle w:val="Heading1"/>
      </w:pPr>
      <w:r>
        <w:rPr>
          <w:color w:val="1D1716"/>
        </w:rPr>
        <w:t>Anexo C · Tratamiento de datos personales</w:t>
      </w:r>
    </w:p>
    <w:tbl>
      <w:tblPr>
        <w:tblStyle w:val="TableGrid"/>
        <w:tblW w:type="auto" w:w="0"/>
        <w:tblLook w:firstColumn="1" w:firstRow="1" w:lastColumn="0" w:lastRow="0" w:noHBand="0" w:noVBand="1" w:val="04A0"/>
      </w:tblPr>
      <w:tblGrid>
        <w:gridCol w:w="4873"/>
        <w:gridCol w:w="4873"/>
      </w:tblGrid>
      <w:tr>
        <w:tc>
          <w:tcPr>
            <w:tcW w:type="dxa" w:w="4873"/>
          </w:tcPr>
          <w:p>
            <w:r>
              <w:rPr>
                <w:b/>
              </w:rPr>
              <w:t>Tema</w:t>
            </w:r>
          </w:p>
        </w:tc>
        <w:tc>
          <w:tcPr>
            <w:tcW w:type="dxa" w:w="4873"/>
          </w:tcPr>
          <w:p>
            <w:r>
              <w:rPr>
                <w:b/>
              </w:rPr>
              <w:t>Compromiso</w:t>
            </w:r>
          </w:p>
        </w:tc>
      </w:tr>
      <w:tr>
        <w:tc>
          <w:tcPr>
            <w:tcW w:type="dxa" w:w="4873"/>
          </w:tcPr>
          <w:p>
            <w:r>
              <w:t>Roles</w:t>
            </w:r>
          </w:p>
        </w:tc>
        <w:tc>
          <w:tcPr>
            <w:tcW w:type="dxa" w:w="4873"/>
          </w:tcPr>
          <w:p>
            <w:r>
              <w:t>EL CLIENTE decide qué datos personales registra (de sus clientes, compradores y del público que hace pedidos en su sitio) y para qué: es el responsable. EL PRESTADOR los guarda y procesa solo para prestar el servicio y según las instrucciones de EL CLIENTE: actúa por encargo.</w:t>
            </w:r>
          </w:p>
        </w:tc>
      </w:tr>
      <w:tr>
        <w:tc>
          <w:tcPr>
            <w:tcW w:type="dxa" w:w="4873"/>
          </w:tcPr>
          <w:p>
            <w:r>
              <w:t>Datos</w:t>
            </w:r>
          </w:p>
        </w:tc>
        <w:tc>
          <w:tcPr>
            <w:tcW w:type="dxa" w:w="4873"/>
          </w:tcPr>
          <w:p>
            <w:r>
              <w:t>Nombre, RTN, teléfono, correo, dirección e historial de compras de los clientes de EL CLIENTE; nombre, teléfono, correo, mensaje y dirección IP del público que envía pedidos; datos de los usuarios de EL CLIENTE (nombre, correo, teléfono) y su registro de actividad.</w:t>
            </w:r>
          </w:p>
        </w:tc>
      </w:tr>
      <w:tr>
        <w:tc>
          <w:tcPr>
            <w:tcW w:type="dxa" w:w="4873"/>
          </w:tcPr>
          <w:p>
            <w:r>
              <w:t>Proveedores que intervienen</w:t>
            </w:r>
          </w:p>
        </w:tc>
        <w:tc>
          <w:tcPr>
            <w:tcW w:type="dxa" w:w="4873"/>
          </w:tcPr>
          <w:p>
            <w:r>
              <w:t>Supabase (base de datos, archivos e inicio de sesión), Vercel (alojamiento del sitio) y Google (inicio de sesión). Sus servidores pueden estar fuera de Honduras. EL PRESTADOR avisará antes de cambiar de proveedor principal.</w:t>
            </w:r>
          </w:p>
        </w:tc>
      </w:tr>
      <w:tr>
        <w:tc>
          <w:tcPr>
            <w:tcW w:type="dxa" w:w="4873"/>
          </w:tcPr>
          <w:p>
            <w:r>
              <w:t>Seguridad</w:t>
            </w:r>
          </w:p>
        </w:tc>
        <w:tc>
          <w:tcPr>
            <w:tcW w:type="dxa" w:w="4873"/>
          </w:tcPr>
          <w:p>
            <w:r>
              <w:t>Comunicación cifrada, separación de datos por empresa en la base de datos, control de acceso por rol, registro de actividad y respaldos diarios.</w:t>
            </w:r>
          </w:p>
        </w:tc>
      </w:tr>
      <w:tr>
        <w:tc>
          <w:tcPr>
            <w:tcW w:type="dxa" w:w="4873"/>
          </w:tcPr>
          <w:p>
            <w:r>
              <w:t>Personal</w:t>
            </w:r>
          </w:p>
        </w:tc>
        <w:tc>
          <w:tcPr>
            <w:tcW w:type="dxa" w:w="4873"/>
          </w:tcPr>
          <w:p>
            <w:r>
              <w:t>Solo el personal de EL PRESTADOR que da soporte accede a los datos, cuando hace falta, y con obligación de confidencialidad.</w:t>
            </w:r>
          </w:p>
        </w:tc>
      </w:tr>
      <w:tr>
        <w:tc>
          <w:tcPr>
            <w:tcW w:type="dxa" w:w="4873"/>
          </w:tcPr>
          <w:p>
            <w:r>
              <w:t>Incidentes</w:t>
            </w:r>
          </w:p>
        </w:tc>
        <w:tc>
          <w:tcPr>
            <w:tcW w:type="dxa" w:w="4873"/>
          </w:tcPr>
          <w:p>
            <w:r>
              <w:t>Si EL PRESTADOR detecta un acceso indebido que afecte datos de EL CLIENTE, le avisará dentro de las setenta y dos (72) horas siguientes, con lo que se sepa y las medidas tomadas.</w:t>
            </w:r>
          </w:p>
        </w:tc>
      </w:tr>
      <w:tr>
        <w:tc>
          <w:tcPr>
            <w:tcW w:type="dxa" w:w="4873"/>
          </w:tcPr>
          <w:p>
            <w:r>
              <w:t>Solicitudes de personas</w:t>
            </w:r>
          </w:p>
        </w:tc>
        <w:tc>
          <w:tcPr>
            <w:tcW w:type="dxa" w:w="4873"/>
          </w:tcPr>
          <w:p>
            <w:r>
              <w:t>Si una persona pide ver, corregir o eliminar sus datos, EL CLIENTE la atiende desde el sistema; EL PRESTADOR ayuda cuando haga falta.</w:t>
            </w:r>
          </w:p>
        </w:tc>
      </w:tr>
      <w:tr>
        <w:tc>
          <w:tcPr>
            <w:tcW w:type="dxa" w:w="4873"/>
          </w:tcPr>
          <w:p>
            <w:r>
              <w:t>Fin del contrato</w:t>
            </w:r>
          </w:p>
        </w:tc>
        <w:tc>
          <w:tcPr>
            <w:tcW w:type="dxa" w:w="4873"/>
          </w:tcPr>
          <w:p>
            <w:r>
              <w:t>Se aplica la cláusula novena: exportación durante [60] días y luego eliminación, salvo obligación legal de conservar.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rPr>
              <w:t>EL PRESTADOR</w:t>
            </w:r>
          </w:p>
        </w:tc>
        <w:tc>
          <w:tcPr>
            <w:tcW w:type="dxa" w:w="4873"/>
          </w:tcPr>
          <w:p>
            <w:r>
              <w:rPr>
                <w:b/>
              </w:rPr>
              <w:t>EL CLIENTE</w:t>
            </w:r>
          </w:p>
        </w:tc>
      </w:tr>
      <w:tr>
        <w:tc>
          <w:tcPr>
            <w:tcW w:type="dxa" w:w="4873"/>
          </w:tcPr>
          <w:p>
            <w:r/>
          </w:p>
        </w:tc>
        <w:tc>
          <w:tcPr>
            <w:tcW w:type="dxa" w:w="4873"/>
          </w:tcPr>
          <w:p>
            <w:r/>
          </w:p>
        </w:tc>
      </w:tr>
    </w:tbl>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