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Meiryo" w:hAnsi="Meiryo"/>
          <w:b/>
          <w:color w:val="1F4E79"/>
          <w:sz w:val="44"/>
        </w:rPr>
        <w:t>app.py プログラム処理フローチャート解説書</w:t>
      </w:r>
    </w:p>
    <w:p>
      <w:pPr>
        <w:spacing w:before="0" w:after="320"/>
      </w:pPr>
      <w:r>
        <w:rPr>
          <w:rFonts w:ascii="Meiryo" w:hAnsi="Meiryo"/>
          <w:color w:val="595959"/>
          <w:sz w:val="22"/>
        </w:rPr>
        <w:t>CSVデータビジュアルアナライザー &amp; 高度解析ダッシュボード 全体処理フロー構造定義書</w:t>
      </w:r>
    </w:p>
    <w:p>
      <w:pPr>
        <w:spacing w:after="240"/>
      </w:pPr>
      <w:r>
        <w:rPr>
          <w:color w:val="D3D3D3"/>
        </w:rPr>
        <w:t>―――――――――――――――――――――――――――――――――――――――――――――――――――――――</w:t>
      </w:r>
    </w:p>
    <w:p>
      <w:pPr>
        <w:keepNext/>
        <w:spacing w:before="320" w:after="120"/>
      </w:pPr>
      <w:r>
        <w:rPr>
          <w:rFonts w:ascii="Meiryo" w:hAnsi="Meiryo"/>
          <w:b/>
          <w:color w:val="1F4E79"/>
          <w:sz w:val="32"/>
        </w:rPr>
        <w:t>1. はじめに</w:t>
      </w:r>
    </w:p>
    <w:p>
      <w:pPr>
        <w:spacing w:before="0" w:after="80" w:line="288" w:lineRule="auto"/>
      </w:pPr>
      <w:r>
        <w:rPr>
          <w:rFonts w:ascii="Meiryo" w:hAnsi="Meiryo"/>
          <w:color w:val="333333"/>
          <w:sz w:val="21"/>
        </w:rPr>
        <w:t>本ドキュメントは、`app.py`（StreamlitベースのCSV可視化・統計解析Webアプリケーション）の全コード処理フローを図解および詳細な説明表としてまとめた設計仕様ドキュメントです。</w:t>
      </w:r>
    </w:p>
    <w:p>
      <w:pPr>
        <w:spacing w:before="0" w:after="80" w:line="288" w:lineRule="auto"/>
      </w:pPr>
      <w:r>
        <w:rPr>
          <w:rFonts w:ascii="Meiryo" w:hAnsi="Meiryo"/>
          <w:color w:val="333333"/>
          <w:sz w:val="21"/>
        </w:rPr>
        <w:t>アプリケーションの初期化、データ読み込み・文字コード自動判別、サイドバー制御、データプロファイリング、および各種可視化・分析モジュールへの分岐処理の流れを体系化しています。</w:t>
      </w:r>
    </w:p>
    <w:p>
      <w:pPr>
        <w:keepNext/>
        <w:spacing w:before="320" w:after="120"/>
      </w:pPr>
      <w:r>
        <w:rPr>
          <w:rFonts w:ascii="Meiryo" w:hAnsi="Meiryo"/>
          <w:b/>
          <w:color w:val="1F4E79"/>
          <w:sz w:val="32"/>
        </w:rPr>
        <w:t>2. 全体フローチャート図</w:t>
      </w:r>
    </w:p>
    <w:p>
      <w:pPr>
        <w:spacing w:before="0" w:after="80" w:line="288" w:lineRule="auto"/>
      </w:pPr>
      <w:r>
        <w:rPr>
          <w:rFonts w:ascii="Meiryo" w:hAnsi="Meiryo"/>
          <w:color w:val="333333"/>
          <w:sz w:val="21"/>
        </w:rPr>
        <w:t>以下は `app.py` の実行フローを可視化したビジュアルフローチャートです。</w:t>
      </w:r>
    </w:p>
    <w:p>
      <w:pPr>
        <w:spacing w:before="120" w:after="120"/>
        <w:jc w:val="center"/>
      </w:pPr>
      <w:r>
        <w:drawing>
          <wp:inline xmlns:a="http://schemas.openxmlformats.org/drawingml/2006/main" xmlns:pic="http://schemas.openxmlformats.org/drawingml/2006/picture">
            <wp:extent cx="5669280" cy="11436985"/>
            <wp:docPr id="1" name="Picture 1"/>
            <wp:cNvGraphicFramePr>
              <a:graphicFrameLocks noChangeAspect="1"/>
            </wp:cNvGraphicFramePr>
            <a:graphic>
              <a:graphicData uri="http://schemas.openxmlformats.org/drawingml/2006/picture">
                <pic:pic>
                  <pic:nvPicPr>
                    <pic:cNvPr id="0" name="app_flowchart.png"/>
                    <pic:cNvPicPr/>
                  </pic:nvPicPr>
                  <pic:blipFill>
                    <a:blip r:embed="rId9"/>
                    <a:stretch>
                      <a:fillRect/>
                    </a:stretch>
                  </pic:blipFill>
                  <pic:spPr>
                    <a:xfrm>
                      <a:off x="0" y="0"/>
                      <a:ext cx="5669280" cy="11436985"/>
                    </a:xfrm>
                    <a:prstGeom prst="rect"/>
                  </pic:spPr>
                </pic:pic>
              </a:graphicData>
            </a:graphic>
          </wp:inline>
        </w:drawing>
      </w:r>
    </w:p>
    <w:p>
      <w:pPr>
        <w:spacing w:after="240"/>
        <w:jc w:val="center"/>
      </w:pPr>
      <w:r>
        <w:rPr>
          <w:rFonts w:ascii="Meiryo" w:hAnsi="Meiryo"/>
          <w:color w:val="595959"/>
          <w:sz w:val="18"/>
        </w:rPr>
        <w:t>▲ 図 1.1: app.py 全体処理フローチャート</w:t>
      </w:r>
    </w:p>
    <w:p>
      <w:pPr>
        <w:keepNext/>
        <w:spacing w:before="320" w:after="120"/>
      </w:pPr>
      <w:r>
        <w:rPr>
          <w:rFonts w:ascii="Meiryo" w:hAnsi="Meiryo"/>
          <w:b/>
          <w:color w:val="1F4E79"/>
          <w:sz w:val="32"/>
        </w:rPr>
        <w:t>3. 処理ステップ詳細仕様一覧</w:t>
      </w:r>
    </w:p>
    <w:p>
      <w:pPr>
        <w:spacing w:before="0" w:after="80" w:line="288" w:lineRule="auto"/>
      </w:pPr>
      <w:r>
        <w:rPr>
          <w:rFonts w:ascii="Meiryo" w:hAnsi="Meiryo"/>
          <w:color w:val="333333"/>
          <w:sz w:val="21"/>
        </w:rPr>
        <w:t>フローチャート内の各処理ブロックの役割、該当行番号、および主な処理内容は以下の通りです。</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2340"/>
        <w:gridCol w:w="2340"/>
        <w:gridCol w:w="2340"/>
        <w:gridCol w:w="2340"/>
      </w:tblGrid>
      <w:tr>
        <w:tc>
          <w:tcPr>
            <w:tcW w:type="dxa" w:w="1584"/>
            <w:shd w:fill="1F4E79"/>
            <w:tcMar>
              <w:top w:w="140" w:type="dxa"/>
              <w:bottom w:w="140" w:type="dxa"/>
              <w:left w:w="150" w:type="dxa"/>
              <w:right w:w="150" w:type="dxa"/>
            </w:tcMar>
          </w:tcPr>
          <w:p>
            <w:pPr>
              <w:spacing w:before="60" w:after="60" w:line="276" w:lineRule="auto"/>
              <w:jc w:val="center"/>
            </w:pPr>
            <w:r>
              <w:rPr>
                <w:rFonts w:ascii="Meiryo" w:hAnsi="Meiryo"/>
                <w:b/>
                <w:color w:val="FFFFFF"/>
                <w:sz w:val="20"/>
              </w:rPr>
              <w:t>フェーズ</w:t>
            </w:r>
          </w:p>
        </w:tc>
        <w:tc>
          <w:tcPr>
            <w:tcW w:type="dxa" w:w="2592"/>
            <w:shd w:fill="1F4E79"/>
            <w:tcMar>
              <w:top w:w="140" w:type="dxa"/>
              <w:bottom w:w="140" w:type="dxa"/>
              <w:left w:w="150" w:type="dxa"/>
              <w:right w:w="150" w:type="dxa"/>
            </w:tcMar>
          </w:tcPr>
          <w:p>
            <w:pPr>
              <w:spacing w:before="60" w:after="60" w:line="276" w:lineRule="auto"/>
              <w:jc w:val="center"/>
            </w:pPr>
            <w:r>
              <w:rPr>
                <w:rFonts w:ascii="Meiryo" w:hAnsi="Meiryo"/>
                <w:b/>
                <w:color w:val="FFFFFF"/>
                <w:sz w:val="20"/>
              </w:rPr>
              <w:t>処理ブロック名</w:t>
            </w:r>
          </w:p>
        </w:tc>
        <w:tc>
          <w:tcPr>
            <w:tcW w:type="dxa" w:w="2160"/>
            <w:shd w:fill="1F4E79"/>
            <w:tcMar>
              <w:top w:w="140" w:type="dxa"/>
              <w:bottom w:w="140" w:type="dxa"/>
              <w:left w:w="150" w:type="dxa"/>
              <w:right w:w="150" w:type="dxa"/>
            </w:tcMar>
          </w:tcPr>
          <w:p>
            <w:pPr>
              <w:spacing w:before="60" w:after="60" w:line="276" w:lineRule="auto"/>
              <w:jc w:val="center"/>
            </w:pPr>
            <w:r>
              <w:rPr>
                <w:rFonts w:ascii="Meiryo" w:hAnsi="Meiryo"/>
                <w:b/>
                <w:color w:val="FFFFFF"/>
                <w:sz w:val="20"/>
              </w:rPr>
              <w:t>該当行番号</w:t>
            </w:r>
          </w:p>
        </w:tc>
        <w:tc>
          <w:tcPr>
            <w:tcW w:type="dxa" w:w="3024"/>
            <w:shd w:fill="1F4E79"/>
            <w:tcMar>
              <w:top w:w="140" w:type="dxa"/>
              <w:bottom w:w="140" w:type="dxa"/>
              <w:left w:w="150" w:type="dxa"/>
              <w:right w:w="150" w:type="dxa"/>
            </w:tcMar>
          </w:tcPr>
          <w:p>
            <w:pPr>
              <w:spacing w:before="60" w:after="60" w:line="276" w:lineRule="auto"/>
              <w:jc w:val="center"/>
            </w:pPr>
            <w:r>
              <w:rPr>
                <w:rFonts w:ascii="Meiryo" w:hAnsi="Meiryo"/>
                <w:b/>
                <w:color w:val="FFFFFF"/>
                <w:sz w:val="20"/>
              </w:rPr>
              <w:t>詳細仕様・主な関数/ロジック</w:t>
            </w:r>
          </w:p>
        </w:tc>
      </w:tr>
      <w:tr>
        <w:tc>
          <w:tcPr>
            <w:tcW w:type="dxa" w:w="1584"/>
            <w:shd w:fill="FFFFFF"/>
            <w:tcMar>
              <w:top w:w="100" w:type="dxa"/>
              <w:bottom w:w="100" w:type="dxa"/>
              <w:left w:w="120" w:type="dxa"/>
              <w:right w:w="120" w:type="dxa"/>
            </w:tcMar>
          </w:tcPr>
          <w:p>
            <w:pPr>
              <w:spacing w:before="60" w:after="60" w:line="276" w:lineRule="auto"/>
              <w:jc w:val="center"/>
            </w:pPr>
            <w:r>
              <w:rPr>
                <w:rFonts w:ascii="Meiryo" w:hAnsi="Meiryo"/>
                <w:b/>
                <w:color w:val="333333"/>
                <w:sz w:val="18"/>
              </w:rPr>
              <w:t>1. 初期化</w:t>
            </w:r>
          </w:p>
        </w:tc>
        <w:tc>
          <w:tcPr>
            <w:tcW w:type="dxa" w:w="2592"/>
            <w:shd w:fill="FFFFFF"/>
            <w:tcMar>
              <w:top w:w="100" w:type="dxa"/>
              <w:bottom w:w="100" w:type="dxa"/>
              <w:left w:w="120" w:type="dxa"/>
              <w:right w:w="120" w:type="dxa"/>
            </w:tcMar>
          </w:tcPr>
          <w:p>
            <w:pPr>
              <w:spacing w:before="60" w:after="60" w:line="276" w:lineRule="auto"/>
              <w:jc w:val="left"/>
            </w:pPr>
            <w:r>
              <w:rPr>
                <w:rFonts w:ascii="Meiryo" w:hAnsi="Meiryo"/>
                <w:b/>
                <w:color w:val="333333"/>
                <w:sz w:val="18"/>
              </w:rPr>
              <w:t>ページ構成 &amp; CSS設定</w:t>
            </w:r>
          </w:p>
        </w:tc>
        <w:tc>
          <w:tcPr>
            <w:tcW w:type="dxa" w:w="2160"/>
            <w:shd w:fill="FFFFFF"/>
            <w:tcMar>
              <w:top w:w="100" w:type="dxa"/>
              <w:bottom w:w="100" w:type="dxa"/>
              <w:left w:w="120" w:type="dxa"/>
              <w:right w:w="120" w:type="dxa"/>
            </w:tcMar>
          </w:tcPr>
          <w:p>
            <w:pPr>
              <w:spacing w:before="60" w:after="60" w:line="276" w:lineRule="auto"/>
              <w:jc w:val="center"/>
            </w:pPr>
            <w:r>
              <w:rPr>
                <w:rFonts w:ascii="Meiryo" w:hAnsi="Meiryo"/>
                <w:b w:val="0"/>
                <w:color w:val="333333"/>
                <w:sz w:val="18"/>
              </w:rPr>
              <w:t>40行目～80行目</w:t>
            </w:r>
          </w:p>
        </w:tc>
        <w:tc>
          <w:tcPr>
            <w:tcW w:type="dxa" w:w="3024"/>
            <w:shd w:fill="FFFFFF"/>
            <w:tcMar>
              <w:top w:w="100" w:type="dxa"/>
              <w:bottom w:w="100" w:type="dxa"/>
              <w:left w:w="120" w:type="dxa"/>
              <w:right w:w="120" w:type="dxa"/>
            </w:tcMar>
          </w:tcPr>
          <w:p>
            <w:pPr>
              <w:spacing w:before="60" w:after="60" w:line="276" w:lineRule="auto"/>
              <w:jc w:val="left"/>
            </w:pPr>
            <w:r>
              <w:rPr>
                <w:rFonts w:ascii="Meiryo" w:hAnsi="Meiryo"/>
                <w:b w:val="0"/>
                <w:color w:val="333333"/>
                <w:sz w:val="18"/>
              </w:rPr>
              <w:t>st.set_page_config() による画面レイアウト指定、st.markdown() でカスタムCSS注入</w:t>
            </w:r>
          </w:p>
        </w:tc>
      </w:tr>
      <w:tr>
        <w:tc>
          <w:tcPr>
            <w:tcW w:type="dxa" w:w="1584"/>
            <w:shd w:fill="F9FAFB"/>
            <w:tcMar>
              <w:top w:w="100" w:type="dxa"/>
              <w:bottom w:w="100" w:type="dxa"/>
              <w:left w:w="120" w:type="dxa"/>
              <w:right w:w="120" w:type="dxa"/>
            </w:tcMar>
          </w:tcPr>
          <w:p>
            <w:pPr>
              <w:spacing w:before="60" w:after="60" w:line="276" w:lineRule="auto"/>
              <w:jc w:val="center"/>
            </w:pPr>
            <w:r>
              <w:rPr>
                <w:rFonts w:ascii="Meiryo" w:hAnsi="Meiryo"/>
                <w:b/>
                <w:color w:val="333333"/>
                <w:sz w:val="18"/>
              </w:rPr>
              <w:t>2. データ読み込み</w:t>
            </w:r>
          </w:p>
        </w:tc>
        <w:tc>
          <w:tcPr>
            <w:tcW w:type="dxa" w:w="2592"/>
            <w:shd w:fill="F9FAFB"/>
            <w:tcMar>
              <w:top w:w="100" w:type="dxa"/>
              <w:bottom w:w="100" w:type="dxa"/>
              <w:left w:w="120" w:type="dxa"/>
              <w:right w:w="120" w:type="dxa"/>
            </w:tcMar>
          </w:tcPr>
          <w:p>
            <w:pPr>
              <w:spacing w:before="60" w:after="60" w:line="276" w:lineRule="auto"/>
              <w:jc w:val="left"/>
            </w:pPr>
            <w:r>
              <w:rPr>
                <w:rFonts w:ascii="Meiryo" w:hAnsi="Meiryo"/>
                <w:b/>
                <w:color w:val="333333"/>
                <w:sz w:val="18"/>
              </w:rPr>
              <w:t>CSVローダー関数</w:t>
            </w:r>
          </w:p>
        </w:tc>
        <w:tc>
          <w:tcPr>
            <w:tcW w:type="dxa" w:w="2160"/>
            <w:shd w:fill="F9FAFB"/>
            <w:tcMar>
              <w:top w:w="100" w:type="dxa"/>
              <w:bottom w:w="100" w:type="dxa"/>
              <w:left w:w="120" w:type="dxa"/>
              <w:right w:w="120" w:type="dxa"/>
            </w:tcMar>
          </w:tcPr>
          <w:p>
            <w:pPr>
              <w:spacing w:before="60" w:after="60" w:line="276" w:lineRule="auto"/>
              <w:jc w:val="center"/>
            </w:pPr>
            <w:r>
              <w:rPr>
                <w:rFonts w:ascii="Meiryo" w:hAnsi="Meiryo"/>
                <w:b w:val="0"/>
                <w:color w:val="333333"/>
                <w:sz w:val="18"/>
              </w:rPr>
              <w:t>86行目～120行目</w:t>
            </w:r>
          </w:p>
        </w:tc>
        <w:tc>
          <w:tcPr>
            <w:tcW w:type="dxa" w:w="3024"/>
            <w:shd w:fill="F9FAFB"/>
            <w:tcMar>
              <w:top w:w="100" w:type="dxa"/>
              <w:bottom w:w="100" w:type="dxa"/>
              <w:left w:w="120" w:type="dxa"/>
              <w:right w:w="120" w:type="dxa"/>
            </w:tcMar>
          </w:tcPr>
          <w:p>
            <w:pPr>
              <w:spacing w:before="60" w:after="60" w:line="276" w:lineRule="auto"/>
              <w:jc w:val="left"/>
            </w:pPr>
            <w:r>
              <w:rPr>
                <w:rFonts w:ascii="Meiryo" w:hAnsi="Meiryo"/>
                <w:b w:val="0"/>
                <w:color w:val="333333"/>
                <w:sz w:val="18"/>
              </w:rPr>
              <w:t>load_csv_data(): UTF-8, Shift-JIS, CP932, EUC-JP を順次試行しDataFrame化</w:t>
            </w:r>
          </w:p>
        </w:tc>
      </w:tr>
      <w:tr>
        <w:tc>
          <w:tcPr>
            <w:tcW w:type="dxa" w:w="1584"/>
            <w:shd w:fill="FFFFFF"/>
            <w:tcMar>
              <w:top w:w="100" w:type="dxa"/>
              <w:bottom w:w="100" w:type="dxa"/>
              <w:left w:w="120" w:type="dxa"/>
              <w:right w:w="120" w:type="dxa"/>
            </w:tcMar>
          </w:tcPr>
          <w:p>
            <w:pPr>
              <w:spacing w:before="60" w:after="60" w:line="276" w:lineRule="auto"/>
              <w:jc w:val="center"/>
            </w:pPr>
            <w:r>
              <w:rPr>
                <w:rFonts w:ascii="Meiryo" w:hAnsi="Meiryo"/>
                <w:b/>
                <w:color w:val="333333"/>
                <w:sz w:val="18"/>
              </w:rPr>
              <w:t>3. UI制御</w:t>
            </w:r>
          </w:p>
        </w:tc>
        <w:tc>
          <w:tcPr>
            <w:tcW w:type="dxa" w:w="2592"/>
            <w:shd w:fill="FFFFFF"/>
            <w:tcMar>
              <w:top w:w="100" w:type="dxa"/>
              <w:bottom w:w="100" w:type="dxa"/>
              <w:left w:w="120" w:type="dxa"/>
              <w:right w:w="120" w:type="dxa"/>
            </w:tcMar>
          </w:tcPr>
          <w:p>
            <w:pPr>
              <w:spacing w:before="60" w:after="60" w:line="276" w:lineRule="auto"/>
              <w:jc w:val="left"/>
            </w:pPr>
            <w:r>
              <w:rPr>
                <w:rFonts w:ascii="Meiryo" w:hAnsi="Meiryo"/>
                <w:b/>
                <w:color w:val="333333"/>
                <w:sz w:val="18"/>
              </w:rPr>
              <w:t>サイドバー設定入力</w:t>
            </w:r>
          </w:p>
        </w:tc>
        <w:tc>
          <w:tcPr>
            <w:tcW w:type="dxa" w:w="2160"/>
            <w:shd w:fill="FFFFFF"/>
            <w:tcMar>
              <w:top w:w="100" w:type="dxa"/>
              <w:bottom w:w="100" w:type="dxa"/>
              <w:left w:w="120" w:type="dxa"/>
              <w:right w:w="120" w:type="dxa"/>
            </w:tcMar>
          </w:tcPr>
          <w:p>
            <w:pPr>
              <w:spacing w:before="60" w:after="60" w:line="276" w:lineRule="auto"/>
              <w:jc w:val="center"/>
            </w:pPr>
            <w:r>
              <w:rPr>
                <w:rFonts w:ascii="Meiryo" w:hAnsi="Meiryo"/>
                <w:b w:val="0"/>
                <w:color w:val="333333"/>
                <w:sz w:val="18"/>
              </w:rPr>
              <w:t>125行目～167行目</w:t>
            </w:r>
          </w:p>
        </w:tc>
        <w:tc>
          <w:tcPr>
            <w:tcW w:type="dxa" w:w="3024"/>
            <w:shd w:fill="FFFFFF"/>
            <w:tcMar>
              <w:top w:w="100" w:type="dxa"/>
              <w:bottom w:w="100" w:type="dxa"/>
              <w:left w:w="120" w:type="dxa"/>
              <w:right w:w="120" w:type="dxa"/>
            </w:tcMar>
          </w:tcPr>
          <w:p>
            <w:pPr>
              <w:spacing w:before="60" w:after="60" w:line="276" w:lineRule="auto"/>
              <w:jc w:val="left"/>
            </w:pPr>
            <w:r>
              <w:rPr>
                <w:rFonts w:ascii="Meiryo" w:hAnsi="Meiryo"/>
                <w:b w:val="0"/>
                <w:color w:val="333333"/>
                <w:sz w:val="18"/>
              </w:rPr>
              <w:t>作業モード選択（図/分析/両方）およびデータソース選択（サンプル/アップロード）</w:t>
            </w:r>
          </w:p>
        </w:tc>
      </w:tr>
      <w:tr>
        <w:tc>
          <w:tcPr>
            <w:tcW w:type="dxa" w:w="1584"/>
            <w:shd w:fill="F9FAFB"/>
            <w:tcMar>
              <w:top w:w="100" w:type="dxa"/>
              <w:bottom w:w="100" w:type="dxa"/>
              <w:left w:w="120" w:type="dxa"/>
              <w:right w:w="120" w:type="dxa"/>
            </w:tcMar>
          </w:tcPr>
          <w:p>
            <w:pPr>
              <w:spacing w:before="60" w:after="60" w:line="276" w:lineRule="auto"/>
              <w:jc w:val="center"/>
            </w:pPr>
            <w:r>
              <w:rPr>
                <w:rFonts w:ascii="Meiryo" w:hAnsi="Meiryo"/>
                <w:b/>
                <w:color w:val="333333"/>
                <w:sz w:val="18"/>
              </w:rPr>
              <w:t>4. 判定・検証</w:t>
            </w:r>
          </w:p>
        </w:tc>
        <w:tc>
          <w:tcPr>
            <w:tcW w:type="dxa" w:w="2592"/>
            <w:shd w:fill="F9FAFB"/>
            <w:tcMar>
              <w:top w:w="100" w:type="dxa"/>
              <w:bottom w:w="100" w:type="dxa"/>
              <w:left w:w="120" w:type="dxa"/>
              <w:right w:w="120" w:type="dxa"/>
            </w:tcMar>
          </w:tcPr>
          <w:p>
            <w:pPr>
              <w:spacing w:before="60" w:after="60" w:line="276" w:lineRule="auto"/>
              <w:jc w:val="left"/>
            </w:pPr>
            <w:r>
              <w:rPr>
                <w:rFonts w:ascii="Meiryo" w:hAnsi="Meiryo"/>
                <w:b/>
                <w:color w:val="333333"/>
                <w:sz w:val="18"/>
              </w:rPr>
              <w:t>データ有無判定ガード</w:t>
            </w:r>
          </w:p>
        </w:tc>
        <w:tc>
          <w:tcPr>
            <w:tcW w:type="dxa" w:w="2160"/>
            <w:shd w:fill="F9FAFB"/>
            <w:tcMar>
              <w:top w:w="100" w:type="dxa"/>
              <w:bottom w:w="100" w:type="dxa"/>
              <w:left w:w="120" w:type="dxa"/>
              <w:right w:w="120" w:type="dxa"/>
            </w:tcMar>
          </w:tcPr>
          <w:p>
            <w:pPr>
              <w:spacing w:before="60" w:after="60" w:line="276" w:lineRule="auto"/>
              <w:jc w:val="center"/>
            </w:pPr>
            <w:r>
              <w:rPr>
                <w:rFonts w:ascii="Meiryo" w:hAnsi="Meiryo"/>
                <w:b w:val="0"/>
                <w:color w:val="333333"/>
                <w:sz w:val="18"/>
              </w:rPr>
              <w:t>169行目～172行目</w:t>
            </w:r>
          </w:p>
        </w:tc>
        <w:tc>
          <w:tcPr>
            <w:tcW w:type="dxa" w:w="3024"/>
            <w:shd w:fill="F9FAFB"/>
            <w:tcMar>
              <w:top w:w="100" w:type="dxa"/>
              <w:bottom w:w="100" w:type="dxa"/>
              <w:left w:w="120" w:type="dxa"/>
              <w:right w:w="120" w:type="dxa"/>
            </w:tcMar>
          </w:tcPr>
          <w:p>
            <w:pPr>
              <w:spacing w:before="60" w:after="60" w:line="276" w:lineRule="auto"/>
              <w:jc w:val="left"/>
            </w:pPr>
            <w:r>
              <w:rPr>
                <w:rFonts w:ascii="Meiryo" w:hAnsi="Meiryo"/>
                <w:b w:val="0"/>
                <w:color w:val="333333"/>
                <w:sz w:val="18"/>
              </w:rPr>
              <w:t>df が empty または None の場合、案内メッセージを出力して st.stop() で処理中断</w:t>
            </w:r>
          </w:p>
        </w:tc>
      </w:tr>
      <w:tr>
        <w:tc>
          <w:tcPr>
            <w:tcW w:type="dxa" w:w="1584"/>
            <w:shd w:fill="FFFFFF"/>
            <w:tcMar>
              <w:top w:w="100" w:type="dxa"/>
              <w:bottom w:w="100" w:type="dxa"/>
              <w:left w:w="120" w:type="dxa"/>
              <w:right w:w="120" w:type="dxa"/>
            </w:tcMar>
          </w:tcPr>
          <w:p>
            <w:pPr>
              <w:spacing w:before="60" w:after="60" w:line="276" w:lineRule="auto"/>
              <w:jc w:val="center"/>
            </w:pPr>
            <w:r>
              <w:rPr>
                <w:rFonts w:ascii="Meiryo" w:hAnsi="Meiryo"/>
                <w:b/>
                <w:color w:val="333333"/>
                <w:sz w:val="18"/>
              </w:rPr>
              <w:t>5. 解析準備</w:t>
            </w:r>
          </w:p>
        </w:tc>
        <w:tc>
          <w:tcPr>
            <w:tcW w:type="dxa" w:w="2592"/>
            <w:shd w:fill="FFFFFF"/>
            <w:tcMar>
              <w:top w:w="100" w:type="dxa"/>
              <w:bottom w:w="100" w:type="dxa"/>
              <w:left w:w="120" w:type="dxa"/>
              <w:right w:w="120" w:type="dxa"/>
            </w:tcMar>
          </w:tcPr>
          <w:p>
            <w:pPr>
              <w:spacing w:before="60" w:after="60" w:line="276" w:lineRule="auto"/>
              <w:jc w:val="left"/>
            </w:pPr>
            <w:r>
              <w:rPr>
                <w:rFonts w:ascii="Meiryo" w:hAnsi="Meiryo"/>
                <w:b/>
                <w:color w:val="333333"/>
                <w:sz w:val="18"/>
              </w:rPr>
              <w:t>データ自動プロファイリング</w:t>
            </w:r>
          </w:p>
        </w:tc>
        <w:tc>
          <w:tcPr>
            <w:tcW w:type="dxa" w:w="2160"/>
            <w:shd w:fill="FFFFFF"/>
            <w:tcMar>
              <w:top w:w="100" w:type="dxa"/>
              <w:bottom w:w="100" w:type="dxa"/>
              <w:left w:w="120" w:type="dxa"/>
              <w:right w:w="120" w:type="dxa"/>
            </w:tcMar>
          </w:tcPr>
          <w:p>
            <w:pPr>
              <w:spacing w:before="60" w:after="60" w:line="276" w:lineRule="auto"/>
              <w:jc w:val="center"/>
            </w:pPr>
            <w:r>
              <w:rPr>
                <w:rFonts w:ascii="Meiryo" w:hAnsi="Meiryo"/>
                <w:b w:val="0"/>
                <w:color w:val="333333"/>
                <w:sz w:val="18"/>
              </w:rPr>
              <w:t>176行目～193行目</w:t>
            </w:r>
          </w:p>
        </w:tc>
        <w:tc>
          <w:tcPr>
            <w:tcW w:type="dxa" w:w="3024"/>
            <w:shd w:fill="FFFFFF"/>
            <w:tcMar>
              <w:top w:w="100" w:type="dxa"/>
              <w:bottom w:w="100" w:type="dxa"/>
              <w:left w:w="120" w:type="dxa"/>
              <w:right w:w="120" w:type="dxa"/>
            </w:tcMar>
          </w:tcPr>
          <w:p>
            <w:pPr>
              <w:spacing w:before="60" w:after="60" w:line="276" w:lineRule="auto"/>
              <w:jc w:val="left"/>
            </w:pPr>
            <w:r>
              <w:rPr>
                <w:rFonts w:ascii="Meiryo" w:hAnsi="Meiryo"/>
                <w:b w:val="0"/>
                <w:color w:val="333333"/>
                <w:sz w:val="18"/>
              </w:rPr>
              <w:t>全列、数値列、カテゴリ列、および日付判定列（60%以上認識可能）の動的識別</w:t>
            </w:r>
          </w:p>
        </w:tc>
      </w:tr>
      <w:tr>
        <w:tc>
          <w:tcPr>
            <w:tcW w:type="dxa" w:w="1584"/>
            <w:shd w:fill="F9FAFB"/>
            <w:tcMar>
              <w:top w:w="100" w:type="dxa"/>
              <w:bottom w:w="100" w:type="dxa"/>
              <w:left w:w="120" w:type="dxa"/>
              <w:right w:w="120" w:type="dxa"/>
            </w:tcMar>
          </w:tcPr>
          <w:p>
            <w:pPr>
              <w:spacing w:before="60" w:after="60" w:line="276" w:lineRule="auto"/>
              <w:jc w:val="center"/>
            </w:pPr>
            <w:r>
              <w:rPr>
                <w:rFonts w:ascii="Meiryo" w:hAnsi="Meiryo"/>
                <w:b/>
                <w:color w:val="333333"/>
                <w:sz w:val="18"/>
              </w:rPr>
              <w:t>6. パラメータ設定</w:t>
            </w:r>
          </w:p>
        </w:tc>
        <w:tc>
          <w:tcPr>
            <w:tcW w:type="dxa" w:w="2592"/>
            <w:shd w:fill="F9FAFB"/>
            <w:tcMar>
              <w:top w:w="100" w:type="dxa"/>
              <w:bottom w:w="100" w:type="dxa"/>
              <w:left w:w="120" w:type="dxa"/>
              <w:right w:w="120" w:type="dxa"/>
            </w:tcMar>
          </w:tcPr>
          <w:p>
            <w:pPr>
              <w:spacing w:before="60" w:after="60" w:line="276" w:lineRule="auto"/>
              <w:jc w:val="left"/>
            </w:pPr>
            <w:r>
              <w:rPr>
                <w:rFonts w:ascii="Meiryo" w:hAnsi="Meiryo"/>
                <w:b/>
                <w:color w:val="333333"/>
                <w:sz w:val="18"/>
              </w:rPr>
              <w:t>軸・グラフ種別選択</w:t>
            </w:r>
          </w:p>
        </w:tc>
        <w:tc>
          <w:tcPr>
            <w:tcW w:type="dxa" w:w="2160"/>
            <w:shd w:fill="F9FAFB"/>
            <w:tcMar>
              <w:top w:w="100" w:type="dxa"/>
              <w:bottom w:w="100" w:type="dxa"/>
              <w:left w:w="120" w:type="dxa"/>
              <w:right w:w="120" w:type="dxa"/>
            </w:tcMar>
          </w:tcPr>
          <w:p>
            <w:pPr>
              <w:spacing w:before="60" w:after="60" w:line="276" w:lineRule="auto"/>
              <w:jc w:val="center"/>
            </w:pPr>
            <w:r>
              <w:rPr>
                <w:rFonts w:ascii="Meiryo" w:hAnsi="Meiryo"/>
                <w:b w:val="0"/>
                <w:color w:val="333333"/>
                <w:sz w:val="18"/>
              </w:rPr>
              <w:t>198行目～243行目</w:t>
            </w:r>
          </w:p>
        </w:tc>
        <w:tc>
          <w:tcPr>
            <w:tcW w:type="dxa" w:w="3024"/>
            <w:shd w:fill="F9FAFB"/>
            <w:tcMar>
              <w:top w:w="100" w:type="dxa"/>
              <w:bottom w:w="100" w:type="dxa"/>
              <w:left w:w="120" w:type="dxa"/>
              <w:right w:w="120" w:type="dxa"/>
            </w:tcMar>
          </w:tcPr>
          <w:p>
            <w:pPr>
              <w:spacing w:before="60" w:after="60" w:line="276" w:lineRule="auto"/>
              <w:jc w:val="left"/>
            </w:pPr>
            <w:r>
              <w:rPr>
                <w:rFonts w:ascii="Meiryo" w:hAnsi="Meiryo"/>
                <w:b w:val="0"/>
                <w:color w:val="333333"/>
                <w:sz w:val="18"/>
              </w:rPr>
              <w:t>X軸、Y軸（複数選択）、グループ分け列の指定、各種グラフの表示ON/OFF設定</w:t>
            </w:r>
          </w:p>
        </w:tc>
      </w:tr>
      <w:tr>
        <w:tc>
          <w:tcPr>
            <w:tcW w:type="dxa" w:w="1584"/>
            <w:shd w:fill="FFFFFF"/>
            <w:tcMar>
              <w:top w:w="100" w:type="dxa"/>
              <w:bottom w:w="100" w:type="dxa"/>
              <w:left w:w="120" w:type="dxa"/>
              <w:right w:w="120" w:type="dxa"/>
            </w:tcMar>
          </w:tcPr>
          <w:p>
            <w:pPr>
              <w:spacing w:before="60" w:after="60" w:line="276" w:lineRule="auto"/>
              <w:jc w:val="center"/>
            </w:pPr>
            <w:r>
              <w:rPr>
                <w:rFonts w:ascii="Meiryo" w:hAnsi="Meiryo"/>
                <w:b/>
                <w:color w:val="333333"/>
                <w:sz w:val="18"/>
              </w:rPr>
              <w:t>7. 画面表示</w:t>
            </w:r>
          </w:p>
        </w:tc>
        <w:tc>
          <w:tcPr>
            <w:tcW w:type="dxa" w:w="2592"/>
            <w:shd w:fill="FFFFFF"/>
            <w:tcMar>
              <w:top w:w="100" w:type="dxa"/>
              <w:bottom w:w="100" w:type="dxa"/>
              <w:left w:w="120" w:type="dxa"/>
              <w:right w:w="120" w:type="dxa"/>
            </w:tcMar>
          </w:tcPr>
          <w:p>
            <w:pPr>
              <w:spacing w:before="60" w:after="60" w:line="276" w:lineRule="auto"/>
              <w:jc w:val="left"/>
            </w:pPr>
            <w:r>
              <w:rPr>
                <w:rFonts w:ascii="Meiryo" w:hAnsi="Meiryo"/>
                <w:b/>
                <w:color w:val="333333"/>
                <w:sz w:val="18"/>
              </w:rPr>
              <w:t>ヘッダー &amp; プレビュー</w:t>
            </w:r>
          </w:p>
        </w:tc>
        <w:tc>
          <w:tcPr>
            <w:tcW w:type="dxa" w:w="2160"/>
            <w:shd w:fill="FFFFFF"/>
            <w:tcMar>
              <w:top w:w="100" w:type="dxa"/>
              <w:bottom w:w="100" w:type="dxa"/>
              <w:left w:w="120" w:type="dxa"/>
              <w:right w:w="120" w:type="dxa"/>
            </w:tcMar>
          </w:tcPr>
          <w:p>
            <w:pPr>
              <w:spacing w:before="60" w:after="60" w:line="276" w:lineRule="auto"/>
              <w:jc w:val="center"/>
            </w:pPr>
            <w:r>
              <w:rPr>
                <w:rFonts w:ascii="Meiryo" w:hAnsi="Meiryo"/>
                <w:b w:val="0"/>
                <w:color w:val="333333"/>
                <w:sz w:val="18"/>
              </w:rPr>
              <w:t>248行目～278行目</w:t>
            </w:r>
          </w:p>
        </w:tc>
        <w:tc>
          <w:tcPr>
            <w:tcW w:type="dxa" w:w="3024"/>
            <w:shd w:fill="FFFFFF"/>
            <w:tcMar>
              <w:top w:w="100" w:type="dxa"/>
              <w:bottom w:w="100" w:type="dxa"/>
              <w:left w:w="120" w:type="dxa"/>
              <w:right w:w="120" w:type="dxa"/>
            </w:tcMar>
          </w:tcPr>
          <w:p>
            <w:pPr>
              <w:spacing w:before="60" w:after="60" w:line="276" w:lineRule="auto"/>
              <w:jc w:val="left"/>
            </w:pPr>
            <w:r>
              <w:rPr>
                <w:rFonts w:ascii="Meiryo" w:hAnsi="Meiryo"/>
                <w:b w:val="0"/>
                <w:color w:val="333333"/>
                <w:sz w:val="18"/>
              </w:rPr>
              <w:t>メトリクス表示（行数/列数等）、データ一覧・記述統計・欠損値チェックのタブ表示</w:t>
            </w:r>
          </w:p>
        </w:tc>
      </w:tr>
      <w:tr>
        <w:tc>
          <w:tcPr>
            <w:tcW w:type="dxa" w:w="1584"/>
            <w:shd w:fill="F9FAFB"/>
            <w:tcMar>
              <w:top w:w="100" w:type="dxa"/>
              <w:bottom w:w="100" w:type="dxa"/>
              <w:left w:w="120" w:type="dxa"/>
              <w:right w:w="120" w:type="dxa"/>
            </w:tcMar>
          </w:tcPr>
          <w:p>
            <w:pPr>
              <w:spacing w:before="60" w:after="60" w:line="276" w:lineRule="auto"/>
              <w:jc w:val="center"/>
            </w:pPr>
            <w:r>
              <w:rPr>
                <w:rFonts w:ascii="Meiryo" w:hAnsi="Meiryo"/>
                <w:b/>
                <w:color w:val="333333"/>
                <w:sz w:val="18"/>
              </w:rPr>
              <w:t>8. タブ分岐</w:t>
            </w:r>
          </w:p>
        </w:tc>
        <w:tc>
          <w:tcPr>
            <w:tcW w:type="dxa" w:w="2592"/>
            <w:shd w:fill="F9FAFB"/>
            <w:tcMar>
              <w:top w:w="100" w:type="dxa"/>
              <w:bottom w:w="100" w:type="dxa"/>
              <w:left w:w="120" w:type="dxa"/>
              <w:right w:w="120" w:type="dxa"/>
            </w:tcMar>
          </w:tcPr>
          <w:p>
            <w:pPr>
              <w:spacing w:before="60" w:after="60" w:line="276" w:lineRule="auto"/>
              <w:jc w:val="left"/>
            </w:pPr>
            <w:r>
              <w:rPr>
                <w:rFonts w:ascii="Meiryo" w:hAnsi="Meiryo"/>
                <w:b/>
                <w:color w:val="333333"/>
                <w:sz w:val="18"/>
              </w:rPr>
              <w:t>作業モード動的タブ切り替え</w:t>
            </w:r>
          </w:p>
        </w:tc>
        <w:tc>
          <w:tcPr>
            <w:tcW w:type="dxa" w:w="2160"/>
            <w:shd w:fill="F9FAFB"/>
            <w:tcMar>
              <w:top w:w="100" w:type="dxa"/>
              <w:bottom w:w="100" w:type="dxa"/>
              <w:left w:w="120" w:type="dxa"/>
              <w:right w:w="120" w:type="dxa"/>
            </w:tcMar>
          </w:tcPr>
          <w:p>
            <w:pPr>
              <w:spacing w:before="60" w:after="60" w:line="276" w:lineRule="auto"/>
              <w:jc w:val="center"/>
            </w:pPr>
            <w:r>
              <w:rPr>
                <w:rFonts w:ascii="Meiryo" w:hAnsi="Meiryo"/>
                <w:b w:val="0"/>
                <w:color w:val="333333"/>
                <w:sz w:val="18"/>
              </w:rPr>
              <w:t>283行目～300行目</w:t>
            </w:r>
          </w:p>
        </w:tc>
        <w:tc>
          <w:tcPr>
            <w:tcW w:type="dxa" w:w="3024"/>
            <w:shd w:fill="F9FAFB"/>
            <w:tcMar>
              <w:top w:w="100" w:type="dxa"/>
              <w:bottom w:w="100" w:type="dxa"/>
              <w:left w:w="120" w:type="dxa"/>
              <w:right w:w="120" w:type="dxa"/>
            </w:tcMar>
          </w:tcPr>
          <w:p>
            <w:pPr>
              <w:spacing w:before="60" w:after="60" w:line="276" w:lineRule="auto"/>
              <w:jc w:val="left"/>
            </w:pPr>
            <w:r>
              <w:rPr>
                <w:rFonts w:ascii="Meiryo" w:hAnsi="Meiryo"/>
                <w:b w:val="0"/>
                <w:color w:val="333333"/>
                <w:sz w:val="18"/>
              </w:rPr>
              <w:t>選択された作業モード（app_mode）に基づき表示するタブコンポーネントを構築</w:t>
            </w:r>
          </w:p>
        </w:tc>
      </w:tr>
      <w:tr>
        <w:tc>
          <w:tcPr>
            <w:tcW w:type="dxa" w:w="1584"/>
            <w:shd w:fill="FFFFFF"/>
            <w:tcMar>
              <w:top w:w="100" w:type="dxa"/>
              <w:bottom w:w="100" w:type="dxa"/>
              <w:left w:w="120" w:type="dxa"/>
              <w:right w:w="120" w:type="dxa"/>
            </w:tcMar>
          </w:tcPr>
          <w:p>
            <w:pPr>
              <w:spacing w:before="60" w:after="60" w:line="276" w:lineRule="auto"/>
              <w:jc w:val="center"/>
            </w:pPr>
            <w:r>
              <w:rPr>
                <w:rFonts w:ascii="Meiryo" w:hAnsi="Meiryo"/>
                <w:b/>
                <w:color w:val="333333"/>
                <w:sz w:val="18"/>
              </w:rPr>
              <w:t>9. モジュール実行</w:t>
            </w:r>
          </w:p>
        </w:tc>
        <w:tc>
          <w:tcPr>
            <w:tcW w:type="dxa" w:w="2592"/>
            <w:shd w:fill="FFFFFF"/>
            <w:tcMar>
              <w:top w:w="100" w:type="dxa"/>
              <w:bottom w:w="100" w:type="dxa"/>
              <w:left w:w="120" w:type="dxa"/>
              <w:right w:w="120" w:type="dxa"/>
            </w:tcMar>
          </w:tcPr>
          <w:p>
            <w:pPr>
              <w:spacing w:before="60" w:after="60" w:line="276" w:lineRule="auto"/>
              <w:jc w:val="left"/>
            </w:pPr>
            <w:r>
              <w:rPr>
                <w:rFonts w:ascii="Meiryo" w:hAnsi="Meiryo"/>
                <w:b/>
                <w:color w:val="333333"/>
                <w:sz w:val="18"/>
              </w:rPr>
              <w:t>4大分析モジュール処理</w:t>
            </w:r>
          </w:p>
        </w:tc>
        <w:tc>
          <w:tcPr>
            <w:tcW w:type="dxa" w:w="2160"/>
            <w:shd w:fill="FFFFFF"/>
            <w:tcMar>
              <w:top w:w="100" w:type="dxa"/>
              <w:bottom w:w="100" w:type="dxa"/>
              <w:left w:w="120" w:type="dxa"/>
              <w:right w:w="120" w:type="dxa"/>
            </w:tcMar>
          </w:tcPr>
          <w:p>
            <w:pPr>
              <w:spacing w:before="60" w:after="60" w:line="276" w:lineRule="auto"/>
              <w:jc w:val="center"/>
            </w:pPr>
            <w:r>
              <w:rPr>
                <w:rFonts w:ascii="Meiryo" w:hAnsi="Meiryo"/>
                <w:b w:val="0"/>
                <w:color w:val="333333"/>
                <w:sz w:val="18"/>
              </w:rPr>
              <w:t>307行目～822行目</w:t>
            </w:r>
          </w:p>
        </w:tc>
        <w:tc>
          <w:tcPr>
            <w:tcW w:type="dxa" w:w="3024"/>
            <w:shd w:fill="FFFFFF"/>
            <w:tcMar>
              <w:top w:w="100" w:type="dxa"/>
              <w:bottom w:w="100" w:type="dxa"/>
              <w:left w:w="120" w:type="dxa"/>
              <w:right w:w="120" w:type="dxa"/>
            </w:tcMar>
          </w:tcPr>
          <w:p>
            <w:pPr>
              <w:spacing w:before="60" w:after="60" w:line="276" w:lineRule="auto"/>
              <w:jc w:val="left"/>
            </w:pPr>
            <w:r>
              <w:rPr>
                <w:rFonts w:ascii="Meiryo" w:hAnsi="Meiryo"/>
                <w:b w:val="0"/>
                <w:color w:val="333333"/>
                <w:sz w:val="18"/>
              </w:rPr>
              <w:t>【モジュール1】図表示（Plotly）</w:t>
              <w:br/>
              <w:t>【モジュール2】統計分析（記述統計/相関/検定）</w:t>
              <w:br/>
              <w:t>【モジュール3】線形分析（OLS回帰）</w:t>
              <w:br/>
              <w:t>【モジュール4】時系列（移動平均/ボリンジャー/予測）</w:t>
            </w:r>
          </w:p>
        </w:tc>
      </w:tr>
    </w:tbl>
    <w:p>
      <w:pPr>
        <w:spacing w:after="160"/>
      </w:pPr>
    </w:p>
    <w:p>
      <w:pPr>
        <w:keepNext/>
        <w:spacing w:before="320" w:after="120"/>
      </w:pPr>
      <w:r>
        <w:rPr>
          <w:rFonts w:ascii="Meiryo" w:hAnsi="Meiryo"/>
          <w:b/>
          <w:color w:val="1F4E79"/>
          <w:sz w:val="32"/>
        </w:rPr>
        <w:t>4. Mermaid フローチャート構文定義</w:t>
      </w:r>
    </w:p>
    <w:p>
      <w:pPr>
        <w:spacing w:before="0" w:after="80" w:line="288" w:lineRule="auto"/>
      </w:pPr>
      <w:r>
        <w:rPr>
          <w:rFonts w:ascii="Meiryo" w:hAnsi="Meiryo"/>
          <w:color w:val="333333"/>
          <w:sz w:val="21"/>
        </w:rPr>
        <w:t>ドキュメントツールやGitHub markdown等で再利用可能な Mermaid 形式のフローチャートコードです。</w:t>
      </w:r>
    </w:p>
    <w:tbl>
      <w:tblPr>
        <w:tblW w:type="auto" w:w="0"/>
        <w:jc w:val="center"/>
        <w:tblLook w:firstColumn="1" w:firstRow="1" w:lastColumn="0" w:lastRow="0" w:noHBand="0" w:noVBand="1" w:val="04A0"/>
      </w:tblPr>
      <w:tblGrid>
        <w:gridCol w:w="9360"/>
      </w:tblGrid>
      <w:tr>
        <w:tc>
          <w:tcPr>
            <w:tcW w:type="dxa" w:w="9360"/>
            <w:shd w:fill="F5F7FA"/>
            <w:tcMar>
              <w:top w:w="100" w:type="dxa"/>
              <w:bottom w:w="100" w:type="dxa"/>
              <w:left w:w="150" w:type="dxa"/>
              <w:right w:w="150" w:type="dxa"/>
            </w:tcMar>
            <w:tcBorders>
              <w:top w:val="none"/>
              <w:left w:val="single" w:sz="18" w:space="0" w:color="5C6B73"/>
              <w:bottom w:val="none"/>
              <w:right w:val="none"/>
            </w:tcBorders>
          </w:tcPr>
          <w:p>
            <w:pPr>
              <w:spacing w:before="0" w:after="20" w:line="264" w:lineRule="auto"/>
            </w:pPr>
            <w:r>
              <w:rPr>
                <w:rFonts w:ascii="Consolas" w:hAnsi="Consolas"/>
                <w:color w:val="24292E"/>
                <w:sz w:val="18"/>
              </w:rPr>
              <w:t>graph TD</w:t>
            </w:r>
          </w:p>
          <w:p>
            <w:pPr>
              <w:spacing w:before="0" w:after="20" w:line="264" w:lineRule="auto"/>
            </w:pPr>
            <w:r>
              <w:rPr>
                <w:rFonts w:ascii="Consolas" w:hAnsi="Consolas"/>
                <w:color w:val="24292E"/>
                <w:sz w:val="18"/>
              </w:rPr>
              <w:t xml:space="preserve">    A[🚀 アプリ起動 Streamlit] --&gt; B[1. ページ基本設定 st.set_page_config]</w:t>
            </w:r>
          </w:p>
          <w:p>
            <w:pPr>
              <w:spacing w:before="0" w:after="20" w:line="264" w:lineRule="auto"/>
            </w:pPr>
            <w:r>
              <w:rPr>
                <w:rFonts w:ascii="Consolas" w:hAnsi="Consolas"/>
                <w:color w:val="24292E"/>
                <w:sz w:val="18"/>
              </w:rPr>
              <w:t xml:space="preserve">    B --&gt; C[2. カスタムCSS注入 st.markdown]</w:t>
            </w:r>
          </w:p>
          <w:p>
            <w:pPr>
              <w:spacing w:before="0" w:after="20" w:line="264" w:lineRule="auto"/>
            </w:pPr>
            <w:r>
              <w:rPr>
                <w:rFonts w:ascii="Consolas" w:hAnsi="Consolas"/>
                <w:color w:val="24292E"/>
                <w:sz w:val="18"/>
              </w:rPr>
              <w:t xml:space="preserve">    C --&gt; D[3. サイドバー: 作業モード &amp; データソース選択]</w:t>
            </w:r>
          </w:p>
          <w:p>
            <w:pPr>
              <w:spacing w:before="0" w:after="20" w:line="264" w:lineRule="auto"/>
            </w:pPr>
            <w:r>
              <w:rPr>
                <w:rFonts w:ascii="Consolas" w:hAnsi="Consolas"/>
                <w:color w:val="24292E"/>
                <w:sz w:val="18"/>
              </w:rPr>
              <w:t xml:space="preserve">    D --&gt; E{データソース選択?}</w:t>
            </w:r>
          </w:p>
          <w:p>
            <w:pPr>
              <w:spacing w:before="0" w:after="20" w:line="264" w:lineRule="auto"/>
            </w:pPr>
            <w:r>
              <w:rPr>
                <w:rFonts w:ascii="Consolas" w:hAnsi="Consolas"/>
                <w:color w:val="24292E"/>
                <w:sz w:val="18"/>
              </w:rPr>
              <w:t xml:space="preserve">    E -- サンプルCSV --&gt; F1[sample_data.csv 読み込み]</w:t>
            </w:r>
          </w:p>
          <w:p>
            <w:pPr>
              <w:spacing w:before="0" w:after="20" w:line="264" w:lineRule="auto"/>
            </w:pPr>
            <w:r>
              <w:rPr>
                <w:rFonts w:ascii="Consolas" w:hAnsi="Consolas"/>
                <w:color w:val="24292E"/>
                <w:sz w:val="18"/>
              </w:rPr>
              <w:t xml:space="preserve">    E -- ユーザー指定 --&gt; F2[st.file_uploader]</w:t>
            </w:r>
          </w:p>
          <w:p>
            <w:pPr>
              <w:spacing w:before="0" w:after="20" w:line="264" w:lineRule="auto"/>
            </w:pPr>
            <w:r>
              <w:rPr>
                <w:rFonts w:ascii="Consolas" w:hAnsi="Consolas"/>
                <w:color w:val="24292E"/>
                <w:sz w:val="18"/>
              </w:rPr>
              <w:t xml:space="preserve">    F1 --&gt; G[load_csv_data 関数: エンコーディング自動試行]</w:t>
            </w:r>
          </w:p>
          <w:p>
            <w:pPr>
              <w:spacing w:before="0" w:after="20" w:line="264" w:lineRule="auto"/>
            </w:pPr>
            <w:r>
              <w:rPr>
                <w:rFonts w:ascii="Consolas" w:hAnsi="Consolas"/>
                <w:color w:val="24292E"/>
                <w:sz w:val="18"/>
              </w:rPr>
              <w:t xml:space="preserve">    F2 --&gt; G</w:t>
            </w:r>
          </w:p>
          <w:p>
            <w:pPr>
              <w:spacing w:before="0" w:after="20" w:line="264" w:lineRule="auto"/>
            </w:pPr>
            <w:r>
              <w:rPr>
                <w:rFonts w:ascii="Consolas" w:hAnsi="Consolas"/>
                <w:color w:val="24292E"/>
                <w:sz w:val="18"/>
              </w:rPr>
              <w:t xml:space="preserve">    G --&gt; H{DataFrame 正常取得?}</w:t>
            </w:r>
          </w:p>
          <w:p>
            <w:pPr>
              <w:spacing w:before="0" w:after="20" w:line="264" w:lineRule="auto"/>
            </w:pPr>
            <w:r>
              <w:rPr>
                <w:rFonts w:ascii="Consolas" w:hAnsi="Consolas"/>
                <w:color w:val="24292E"/>
                <w:sz w:val="18"/>
              </w:rPr>
              <w:t xml:space="preserve">    H -- No 空またはエラー --&gt; I[st.stop 処理中断]</w:t>
            </w:r>
          </w:p>
          <w:p>
            <w:pPr>
              <w:spacing w:before="0" w:after="20" w:line="264" w:lineRule="auto"/>
            </w:pPr>
            <w:r>
              <w:rPr>
                <w:rFonts w:ascii="Consolas" w:hAnsi="Consolas"/>
                <w:color w:val="24292E"/>
                <w:sz w:val="18"/>
              </w:rPr>
              <w:t xml:space="preserve">    H -- Yes 正常読み込み --&gt; J[4. データ自動プロファイリング 列分類]</w:t>
            </w:r>
          </w:p>
          <w:p>
            <w:pPr>
              <w:spacing w:before="0" w:after="20" w:line="264" w:lineRule="auto"/>
            </w:pPr>
            <w:r>
              <w:rPr>
                <w:rFonts w:ascii="Consolas" w:hAnsi="Consolas"/>
                <w:color w:val="24292E"/>
                <w:sz w:val="18"/>
              </w:rPr>
              <w:t xml:space="preserve">    J --&gt; K[5. サイドバー: 軸・パラメータ・グラフ選択]</w:t>
            </w:r>
          </w:p>
          <w:p>
            <w:pPr>
              <w:spacing w:before="0" w:after="20" w:line="264" w:lineRule="auto"/>
            </w:pPr>
            <w:r>
              <w:rPr>
                <w:rFonts w:ascii="Consolas" w:hAnsi="Consolas"/>
                <w:color w:val="24292E"/>
                <w:sz w:val="18"/>
              </w:rPr>
              <w:t xml:space="preserve">    K --&gt; L[6. メインヘッダー &amp; データプレビュー表示]</w:t>
            </w:r>
          </w:p>
          <w:p>
            <w:pPr>
              <w:spacing w:before="0" w:after="20" w:line="264" w:lineRule="auto"/>
            </w:pPr>
            <w:r>
              <w:rPr>
                <w:rFonts w:ascii="Consolas" w:hAnsi="Consolas"/>
                <w:color w:val="24292E"/>
                <w:sz w:val="18"/>
              </w:rPr>
              <w:t xml:space="preserve">    L --&gt; M{作業モード分岐 app_mode}</w:t>
            </w:r>
          </w:p>
          <w:p>
            <w:pPr>
              <w:spacing w:before="0" w:after="20" w:line="264" w:lineRule="auto"/>
            </w:pPr>
            <w:r>
              <w:rPr>
                <w:rFonts w:ascii="Consolas" w:hAnsi="Consolas"/>
                <w:color w:val="24292E"/>
                <w:sz w:val="18"/>
              </w:rPr>
              <w:t xml:space="preserve">    M -- 📈 図を表示する --&gt; N1[モジュール1: Plotlyインタラクティブ可視化]</w:t>
            </w:r>
          </w:p>
          <w:p>
            <w:pPr>
              <w:spacing w:before="0" w:after="20" w:line="264" w:lineRule="auto"/>
            </w:pPr>
            <w:r>
              <w:rPr>
                <w:rFonts w:ascii="Consolas" w:hAnsi="Consolas"/>
                <w:color w:val="24292E"/>
                <w:sz w:val="18"/>
              </w:rPr>
              <w:t xml:space="preserve">    M -- 🧪 データを分析する --&gt; N2[モジュール2: 統計学的分析]</w:t>
            </w:r>
          </w:p>
          <w:p>
            <w:pPr>
              <w:spacing w:before="0" w:after="20" w:line="264" w:lineRule="auto"/>
            </w:pPr>
            <w:r>
              <w:rPr>
                <w:rFonts w:ascii="Consolas" w:hAnsi="Consolas"/>
                <w:color w:val="24292E"/>
                <w:sz w:val="18"/>
              </w:rPr>
              <w:t xml:space="preserve">    M -- 🧪 データを分析する --&gt; N3[モジュール3: OLS線形分析 回帰分析]</w:t>
            </w:r>
          </w:p>
          <w:p>
            <w:pPr>
              <w:spacing w:before="0" w:after="20" w:line="264" w:lineRule="auto"/>
            </w:pPr>
            <w:r>
              <w:rPr>
                <w:rFonts w:ascii="Consolas" w:hAnsi="Consolas"/>
                <w:color w:val="24292E"/>
                <w:sz w:val="18"/>
              </w:rPr>
              <w:t xml:space="preserve">    M -- 🧪 データを分析する --&gt; N4[モジュール4: 時系列分析 &amp; 将来予測]</w:t>
            </w:r>
          </w:p>
          <w:p>
            <w:pPr>
              <w:spacing w:before="0" w:after="20" w:line="264" w:lineRule="auto"/>
            </w:pPr>
            <w:r>
              <w:rPr>
                <w:rFonts w:ascii="Consolas" w:hAnsi="Consolas"/>
                <w:color w:val="24292E"/>
                <w:sz w:val="18"/>
              </w:rPr>
              <w:t xml:space="preserve">    M -- 📊 両方を表示 --&gt; N1 &amp; N2 &amp; N3 &amp; N4</w:t>
            </w:r>
          </w:p>
          <w:p>
            <w:pPr>
              <w:spacing w:before="0" w:after="20" w:line="264" w:lineRule="auto"/>
            </w:pPr>
            <w:r>
              <w:rPr>
                <w:rFonts w:ascii="Consolas" w:hAnsi="Consolas"/>
                <w:color w:val="24292E"/>
                <w:sz w:val="18"/>
              </w:rPr>
              <w:t xml:space="preserve">    N1 --&gt; O[💡 フッター解説表示]</w:t>
            </w:r>
          </w:p>
          <w:p>
            <w:pPr>
              <w:spacing w:before="0" w:after="20" w:line="264" w:lineRule="auto"/>
            </w:pPr>
            <w:r>
              <w:rPr>
                <w:rFonts w:ascii="Consolas" w:hAnsi="Consolas"/>
                <w:color w:val="24292E"/>
                <w:sz w:val="18"/>
              </w:rPr>
              <w:t xml:space="preserve">    N2 --&gt; O</w:t>
            </w:r>
          </w:p>
          <w:p>
            <w:pPr>
              <w:spacing w:before="0" w:after="20" w:line="264" w:lineRule="auto"/>
            </w:pPr>
            <w:r>
              <w:rPr>
                <w:rFonts w:ascii="Consolas" w:hAnsi="Consolas"/>
                <w:color w:val="24292E"/>
                <w:sz w:val="18"/>
              </w:rPr>
              <w:t xml:space="preserve">    N3 --&gt; O</w:t>
            </w:r>
          </w:p>
          <w:p>
            <w:pPr>
              <w:spacing w:before="0" w:after="20" w:line="264" w:lineRule="auto"/>
            </w:pPr>
            <w:r>
              <w:rPr>
                <w:rFonts w:ascii="Consolas" w:hAnsi="Consolas"/>
                <w:color w:val="24292E"/>
                <w:sz w:val="18"/>
              </w:rPr>
              <w:t xml:space="preserve">    N4 --&gt; O</w:t>
            </w:r>
          </w:p>
          <w:p>
            <w:pPr>
              <w:spacing w:before="0" w:after="20" w:line="264" w:lineRule="auto"/>
            </w:pPr>
            <w:r>
              <w:rPr>
                <w:rFonts w:ascii="Consolas" w:hAnsi="Consolas"/>
                <w:color w:val="24292E"/>
                <w:sz w:val="18"/>
              </w:rPr>
              <w:t xml:space="preserve">    O --&gt; P[🏁 処理完了 ユーザー操作待機]</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