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Connecto Implementation Plan</w:t>
      </w:r>
    </w:p>
    <w:p>
      <w:r>
        <w:t>Version 1.0  |  1 October 2026</w:t>
      </w:r>
    </w:p>
    <w:p>
      <w:r>
        <w:t>Audience: Project owner and delivery team</w:t>
      </w:r>
    </w:p>
    <w:p>
      <w:r>
        <w:t>Complete Connecto in controlled increments that turn the existing POC into a reliable persisted marketplace flow. This plan orders the work by dependency and defines evidence for each delivery gate. Scheduling and ownership assignments require project owner approval.</w:t>
      </w:r>
    </w:p>
    <w:p>
      <w:pPr>
        <w:pStyle w:val="Heading1"/>
      </w:pPr>
      <w:r>
        <w:t>Version history</w:t>
      </w:r>
    </w:p>
    <w:tbl>
      <w:tblPr>
        <w:tblW w:type="auto" w:w="0"/>
        <w:jc w:val="center"/>
        <w:tblLayout w:type="fixed"/>
        <w:tblLook w:firstColumn="1" w:firstRow="1" w:lastColumn="0" w:lastRow="0" w:noHBand="0" w:noVBand="1" w:val="04A0"/>
      </w:tblPr>
      <w:tblGrid>
        <w:gridCol w:w="936"/>
        <w:gridCol w:w="1440"/>
        <w:gridCol w:w="7373"/>
      </w:tblGrid>
      <w:tr>
        <w:trPr>
          <w:tblHeader/>
        </w:trPr>
        <w:tc>
          <w:tcPr>
            <w:tcW w:type="dxa" w:w="936"/>
            <w:vAlign w:val="center"/>
            <w:shd w:fill="DCE6E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sz w:val="20"/>
              </w:rPr>
              <w:t>Version</w:t>
            </w:r>
          </w:p>
        </w:tc>
        <w:tc>
          <w:tcPr>
            <w:tcW w:type="dxa" w:w="1440"/>
            <w:vAlign w:val="center"/>
            <w:shd w:fill="DCE6E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sz w:val="20"/>
              </w:rPr>
              <w:t>Date</w:t>
            </w:r>
          </w:p>
        </w:tc>
        <w:tc>
          <w:tcPr>
            <w:tcW w:type="dxa" w:w="7373"/>
            <w:vAlign w:val="center"/>
            <w:shd w:fill="DCE6E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sz w:val="20"/>
              </w:rPr>
              <w:t>Change</w:t>
            </w:r>
          </w:p>
        </w:tc>
      </w:tr>
      <w:tr>
        <w:tc>
          <w:tcPr>
            <w:tcW w:type="dxa" w:w="9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1.0</w:t>
            </w:r>
          </w:p>
        </w:tc>
        <w:tc>
          <w:tcPr>
            <w:tcW w:type="dxa" w:w="144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1 Oct 2026</w:t>
            </w:r>
          </w:p>
        </w:tc>
        <w:tc>
          <w:tcPr>
            <w:tcW w:type="dxa" w:w="7373"/>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Initial documentation baseline covering the current POC and proposed completion work.</w:t>
            </w:r>
          </w:p>
        </w:tc>
      </w:tr>
    </w:tbl>
    <w:p>
      <w:pPr>
        <w:spacing w:after="40"/>
      </w:pPr>
    </w:p>
    <w:p>
      <w:r>
        <w:t>Approval: pending project owner review. Future revisions should add a dated history entry describing the change and reviewer; preserve earlier entries.</w:t>
      </w:r>
    </w:p>
    <w:p>
      <w:pPr>
        <w:pStyle w:val="Heading1"/>
      </w:pPr>
      <w:r>
        <w:t>Baseline and priorities</w:t>
      </w:r>
    </w:p>
    <w:p>
      <w:r>
        <w:t>Authenticated posting and backend need matching exist. The highest priority is to reconcile identity configuration, validate the migration release path, and complete persistent read and update APIs. Discovery and messaging should not be presented as live capabilities until their backend workflows are delivered.</w:t>
      </w:r>
    </w:p>
    <w:p>
      <w:pPr>
        <w:pStyle w:val="Heading1"/>
      </w:pPr>
      <w:r>
        <w:t>Delivery responsibilities</w:t>
      </w:r>
    </w:p>
    <w:tbl>
      <w:tblPr>
        <w:tblW w:type="auto" w:w="0"/>
        <w:jc w:val="center"/>
        <w:tblLayout w:type="fixed"/>
        <w:tblLook w:firstColumn="1" w:firstRow="1" w:lastColumn="0" w:lastRow="0" w:noHBand="0" w:noVBand="1" w:val="04A0"/>
      </w:tblPr>
      <w:tblGrid>
        <w:gridCol w:w="2304"/>
        <w:gridCol w:w="7445"/>
      </w:tblGrid>
      <w:tr>
        <w:trPr>
          <w:tblHeader/>
        </w:trPr>
        <w:tc>
          <w:tcPr>
            <w:tcW w:type="dxa" w:w="2304"/>
            <w:vAlign w:val="center"/>
            <w:shd w:fill="DCE6E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sz w:val="20"/>
              </w:rPr>
              <w:t>Role</w:t>
            </w:r>
          </w:p>
        </w:tc>
        <w:tc>
          <w:tcPr>
            <w:tcW w:type="dxa" w:w="7445"/>
            <w:vAlign w:val="center"/>
            <w:shd w:fill="DCE6E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sz w:val="20"/>
              </w:rPr>
              <w:t>Responsibility</w:t>
            </w:r>
          </w:p>
        </w:tc>
      </w:tr>
      <w:t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Project owner</w:t>
            </w:r>
          </w:p>
        </w:tc>
        <w:tc>
          <w:tcPr>
            <w:tcW w:type="dxa" w:w="7445"/>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Approve scope, taxonomy, pricing units, privacy expectations, and release acceptance.</w:t>
            </w:r>
          </w:p>
        </w:tc>
      </w:tr>
      <w:tr>
        <w:tc>
          <w:tcPr>
            <w:tcW w:type="dxa" w:w="2304"/>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Backend engineer</w:t>
            </w:r>
          </w:p>
        </w:tc>
        <w:tc>
          <w:tcPr>
            <w:tcW w:type="dxa" w:w="7445"/>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Contracts, validation, persistence, authorisation, matching, and migration compatibility.</w:t>
            </w:r>
          </w:p>
        </w:tc>
      </w:tr>
      <w:t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Frontend engineer</w:t>
            </w:r>
          </w:p>
        </w:tc>
        <w:tc>
          <w:tcPr>
            <w:tcW w:type="dxa" w:w="7445"/>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Account flows, API-backed screens, user feedback, and demo separation.</w:t>
            </w:r>
          </w:p>
        </w:tc>
      </w:tr>
      <w:tr>
        <w:tc>
          <w:tcPr>
            <w:tcW w:type="dxa" w:w="2304"/>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Platform and QA</w:t>
            </w:r>
          </w:p>
        </w:tc>
        <w:tc>
          <w:tcPr>
            <w:tcW w:type="dxa" w:w="7445"/>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Environment configuration, IAM and networking checks, SQL integration tests, staging evidence, rollback and release records.</w:t>
            </w:r>
          </w:p>
        </w:tc>
      </w:tr>
    </w:tbl>
    <w:p>
      <w:pPr>
        <w:spacing w:after="40"/>
      </w:pPr>
    </w:p>
    <w:p>
      <w:r>
        <w:t>Use phases and exit gates instead of unsupported calendar estimates. Estimate each phase after the scope decisions and environment access are resolved.</w:t>
      </w:r>
    </w:p>
    <w:p>
      <w:r>
        <w:br w:type="page"/>
      </w:r>
    </w:p>
    <w:p>
      <w:pPr>
        <w:pStyle w:val="Heading1"/>
      </w:pPr>
      <w:r>
        <w:t>Phases and delivery gates</w:t>
      </w:r>
    </w:p>
    <w:tbl>
      <w:tblPr>
        <w:tblW w:type="auto" w:w="0"/>
        <w:jc w:val="center"/>
        <w:tblLayout w:type="fixed"/>
        <w:tblLook w:firstColumn="1" w:firstRow="1" w:lastColumn="0" w:lastRow="0" w:noHBand="0" w:noVBand="1" w:val="04A0"/>
      </w:tblPr>
      <w:tblGrid>
        <w:gridCol w:w="1512"/>
        <w:gridCol w:w="4968"/>
        <w:gridCol w:w="3269"/>
      </w:tblGrid>
      <w:tr>
        <w:trPr>
          <w:tblHeader/>
        </w:trPr>
        <w:tc>
          <w:tcPr>
            <w:tcW w:type="dxa" w:w="1512"/>
            <w:vAlign w:val="center"/>
            <w:shd w:fill="DCE6E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sz w:val="20"/>
              </w:rPr>
              <w:t>Phase</w:t>
            </w:r>
          </w:p>
        </w:tc>
        <w:tc>
          <w:tcPr>
            <w:tcW w:type="dxa" w:w="4968"/>
            <w:vAlign w:val="center"/>
            <w:shd w:fill="DCE6E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sz w:val="20"/>
              </w:rPr>
              <w:t>Work and dependencies</w:t>
            </w:r>
          </w:p>
        </w:tc>
        <w:tc>
          <w:tcPr>
            <w:tcW w:type="dxa" w:w="3269"/>
            <w:vAlign w:val="center"/>
            <w:shd w:fill="DCE6E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sz w:val="20"/>
              </w:rPr>
              <w:t>Exit evidence</w:t>
            </w:r>
          </w:p>
        </w:tc>
      </w:tr>
      <w:tr>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1 Baseline</w:t>
            </w:r>
          </w:p>
        </w:tc>
        <w:tc>
          <w:tcPr>
            <w:tcW w:type="dxa" w:w="496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Resolve Cognito auth-flow mismatch. Verify client IDs, issuer, supported skills, and price semantics. Confirm source state and production resource names.</w:t>
            </w:r>
          </w:p>
        </w:tc>
        <w:tc>
          <w:tcPr>
            <w:tcW w:type="dxa" w:w="3269"/>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Staging registration, confirmation, login, refresh, and /api/users/me succeed. BR01.</w:t>
            </w:r>
          </w:p>
        </w:tc>
      </w:tr>
      <w:tr>
        <w:tc>
          <w:tcPr>
            <w:tcW w:type="dxa" w:w="1512"/>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2 Release safety</w:t>
            </w:r>
          </w:p>
        </w:tc>
        <w:tc>
          <w:tcPr>
            <w:tcW w:type="dxa" w:w="4968"/>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Review Terraform plan with existing state. Validate task IAM, secret injection, private subnet routing, SQL trust, and exact-image migration execution.</w:t>
            </w:r>
          </w:p>
        </w:tc>
        <w:tc>
          <w:tcPr>
            <w:tcW w:type="dxa" w:w="3269"/>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Failed migration blocks deployment; successful migration precedes stable API service.</w:t>
            </w:r>
          </w:p>
        </w:tc>
      </w:tr>
      <w:tr>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3 Persistence</w:t>
            </w:r>
          </w:p>
        </w:tc>
        <w:tc>
          <w:tcPr>
            <w:tcW w:type="dxa" w:w="496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Add owned activity retrieval, profile updates, input validation, and agreed edit or close operations. Define contracts before UI wiring. Depends on phases 1 and 2.</w:t>
            </w:r>
          </w:p>
        </w:tc>
        <w:tc>
          <w:tcPr>
            <w:tcW w:type="dxa" w:w="3269"/>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SQL integration tests prove persistence after reload and reject invalid or cross-user changes. BR02 to BR04 and BR06.</w:t>
            </w:r>
          </w:p>
        </w:tc>
      </w:tr>
      <w:tr>
        <w:tc>
          <w:tcPr>
            <w:tcW w:type="dxa" w:w="1512"/>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4 Matching and discovery</w:t>
            </w:r>
          </w:p>
        </w:tc>
        <w:tc>
          <w:tcPr>
            <w:tcW w:type="dxa" w:w="4968"/>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Implement discovery search and filters; connect screens to persisted records; calibrate scoring and handle missing values. Depends on phase 3.</w:t>
            </w:r>
          </w:p>
        </w:tc>
        <w:tc>
          <w:tcPr>
            <w:tcW w:type="dxa" w:w="3269"/>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Representative fixtures produce agreed ordering, reasons, empty states, and owner access behaviour. BR05 and BR06.</w:t>
            </w:r>
          </w:p>
        </w:tc>
      </w:tr>
      <w:tr>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5 Optional capabilities</w:t>
            </w:r>
          </w:p>
        </w:tc>
        <w:tc>
          <w:tcPr>
            <w:tcW w:type="dxa" w:w="496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Integrate reviewable AI parse suggestions. Scope persistent messaging separately, including participant permissions and delivery semantics.</w:t>
            </w:r>
          </w:p>
        </w:tc>
        <w:tc>
          <w:tcPr>
            <w:tcW w:type="dxa" w:w="3269"/>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Confirmed parsing flow; messaging tests if approved. BR07 and BR08.</w:t>
            </w:r>
          </w:p>
        </w:tc>
      </w:tr>
      <w:tr>
        <w:tc>
          <w:tcPr>
            <w:tcW w:type="dxa" w:w="1512"/>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6 Pilot and release</w:t>
            </w:r>
          </w:p>
        </w:tc>
        <w:tc>
          <w:tcPr>
            <w:tcW w:type="dxa" w:w="4968"/>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Complete security, usability, failure recovery, monitoring, backup and restore checks. Depends on agreed release scope.</w:t>
            </w:r>
          </w:p>
        </w:tc>
        <w:tc>
          <w:tcPr>
            <w:tcW w:type="dxa" w:w="3269"/>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Owner accepts evidence and pilot outcomes; deployment and recovery procedures are exercised.</w:t>
            </w:r>
          </w:p>
        </w:tc>
      </w:tr>
    </w:tbl>
    <w:p>
      <w:pPr>
        <w:spacing w:after="40"/>
      </w:pPr>
    </w:p>
    <w:p>
      <w:r>
        <w:br w:type="page"/>
      </w:r>
    </w:p>
    <w:p>
      <w:pPr>
        <w:pStyle w:val="Heading1"/>
      </w:pPr>
      <w:r>
        <w:t>Validation and release management</w:t>
      </w:r>
    </w:p>
    <w:p>
      <w:pPr>
        <w:pStyle w:val="Heading1"/>
      </w:pPr>
      <w:r>
        <w:t>Validation strategy</w:t>
      </w:r>
    </w:p>
    <w:p>
      <w:r>
        <w:t>Keep fast tests for authentication, ownership, token lifecycle, API mapping, database configuration, and matching. Add SQL Server integration coverage for provisioning races, migrations, and money precision. Use end-to-end checks for sign-up, login, post creation, reload, and matching with a real staging configuration.</w:t>
      </w:r>
    </w:p>
    <w:p>
      <w:r>
        <w:t>The continuation record reports 19 backend and 17 frontend tests passing, frontend build and lint passing, and Terraform validation passing on 1 October 2026. These are historical local checks, not evidence of a deployed environment. Re-run relevant checks against the release candidate.</w:t>
      </w:r>
    </w:p>
    <w:p>
      <w:pPr>
        <w:pStyle w:val="Heading1"/>
      </w:pPr>
      <w:r>
        <w:t>Risks and mitigation</w:t>
      </w:r>
    </w:p>
    <w:tbl>
      <w:tblPr>
        <w:tblW w:type="auto" w:w="0"/>
        <w:jc w:val="center"/>
        <w:tblLayout w:type="fixed"/>
        <w:tblLook w:firstColumn="1" w:firstRow="1" w:lastColumn="0" w:lastRow="0" w:noHBand="0" w:noVBand="1" w:val="04A0"/>
      </w:tblPr>
      <w:tblGrid>
        <w:gridCol w:w="2304"/>
        <w:gridCol w:w="7445"/>
      </w:tblGrid>
      <w:tr>
        <w:trPr>
          <w:tblHeader/>
        </w:trPr>
        <w:tc>
          <w:tcPr>
            <w:tcW w:type="dxa" w:w="2304"/>
            <w:vAlign w:val="center"/>
            <w:shd w:fill="DCE6E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sz w:val="20"/>
              </w:rPr>
              <w:t>Risk</w:t>
            </w:r>
          </w:p>
        </w:tc>
        <w:tc>
          <w:tcPr>
            <w:tcW w:type="dxa" w:w="7445"/>
            <w:vAlign w:val="center"/>
            <w:shd w:fill="DCE6E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sz w:val="20"/>
              </w:rPr>
              <w:t>Action</w:t>
            </w:r>
          </w:p>
        </w:tc>
      </w:tr>
      <w:t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Identity flow mismatch</w:t>
            </w:r>
          </w:p>
        </w:tc>
        <w:tc>
          <w:tcPr>
            <w:tcW w:type="dxa" w:w="7445"/>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Select a supported flow and make frontend and Terraform consistent before the pilot.</w:t>
            </w:r>
          </w:p>
        </w:tc>
      </w:tr>
      <w:tr>
        <w:tc>
          <w:tcPr>
            <w:tcW w:type="dxa" w:w="2304"/>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Demo mistaken for live data</w:t>
            </w:r>
          </w:p>
        </w:tc>
        <w:tc>
          <w:tcPr>
            <w:tcW w:type="dxa" w:w="7445"/>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Label demo screens and test switching modes; do not silently upload demo records.</w:t>
            </w:r>
          </w:p>
        </w:tc>
      </w:tr>
      <w:t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Schema and release failure</w:t>
            </w:r>
          </w:p>
        </w:tc>
        <w:tc>
          <w:tcPr>
            <w:tcW w:type="dxa" w:w="7445"/>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Use additive migrations; capture exit status; test against a restored staging database.</w:t>
            </w:r>
          </w:p>
        </w:tc>
      </w:tr>
      <w:tr>
        <w:tc>
          <w:tcPr>
            <w:tcW w:type="dxa" w:w="2304"/>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External ECS ownership</w:t>
            </w:r>
          </w:p>
        </w:tc>
        <w:tc>
          <w:tcPr>
            <w:tcW w:type="dxa" w:w="7445"/>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Check configured task family, service, roles, and preserved secrets before deployment.</w:t>
            </w:r>
          </w:p>
        </w:tc>
      </w:tr>
      <w:t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Matching or price ambiguity</w:t>
            </w:r>
          </w:p>
        </w:tc>
        <w:tc>
          <w:tcPr>
            <w:tcW w:type="dxa" w:w="7445"/>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Agree taxonomy, units, currency, and representative acceptance fixtures with the owner.</w:t>
            </w:r>
          </w:p>
        </w:tc>
      </w:tr>
    </w:tbl>
    <w:p>
      <w:pPr>
        <w:spacing w:after="40"/>
      </w:pPr>
    </w:p>
    <w:p>
      <w:pPr>
        <w:pStyle w:val="Heading1"/>
      </w:pPr>
      <w:r>
        <w:t>Release and recovery gate</w:t>
      </w:r>
    </w:p>
    <w:p>
      <w:r>
        <w:t>Record image URI, task revision, migration result, test evidence, and owner acceptance. Confirm backups and a tested restore path before schema changes. Retain the previous API image for compatible rollback; database reversal or restoration needs a reviewed recovery procedure rather than automatic destructive down-migration.</w:t>
      </w:r>
    </w:p>
    <w:p>
      <w:r>
        <w:t>After release, verify health, login, persisted listing creation, and matching. Check logs without exposing tokens, passwords, or raw private listing text. Update all four documents and append a version-history entry when scope, contracts, or deployment procedures change.</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Connecto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Connecto Implementation Plan</dc:title>
  <dc:subject/>
  <dc:creator>Connecto</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