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2.0  |  1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Authenticated posting, need matching, allowlisted profile updates and own activity reads exist locally. Account state and stale-response isolation are implemented. Finish browser and staging acceptance, identity configuration and release checks before closing foundation gates; discovery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Resolve Cognito auth-flow mismatch.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Select a supported flow and make frontend and Terraform consistent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Local regression tests passed, while browser, SQL Server and AWS staging acceptance remain outstanding.</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Reconcile the app's USER_PASSWORD_AUTH with the declared SRP-enabled Cognito client;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Initial S0/S1 code is implemented locally: account/cache cleanup, asynchronous session isolation, allowlisted persistent profile editing and own activity retrieval/UI. Backend twenty-one tests and frontend twenty-two tests passed; lint and production build passed. API persistence tests use EF InMemory and do not prove SQL Server or deployed behaviour. Complete real-browser multi-account/cross-device acceptance, Cognito configuration reconciliation, staging HTTPS, migration recovery and optional AI startup before closing the corresponding gates. Pricing/lifecycle and discovery/configured semantic scoring remain next slices.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Reconcile Cognito app flow with provisioning; isolate member/demo state and clean logout; make structured posting independent of AI; verify staging HTTPS and migration pipeline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Profile PATCH with allowlisted DTO; own Needs/Offerings reads and pagination; replace local profile/activity sources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Latest code evidence: UserController.cs, useConnecto.js, sessionScope.js, cognito.js and api.js.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