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Architectural Specification</w:t>
      </w:r>
    </w:p>
    <w:p>
      <w:r>
        <w:t>Version 1.0  |  1 October 2026</w:t>
      </w:r>
    </w:p>
    <w:p>
      <w:r>
        <w:t>Audience: Engineers and technical reviewers</w:t>
      </w:r>
    </w:p>
    <w:p>
      <w:r>
        <w:t>Connecto uses a React browser client, an ASP.NET Core API, SQL Server persistence, and Cognito identity. This specification describes the current component boundaries and request flows, then identifies the decisions needed to complete and operate the POC.</w:t>
      </w:r>
    </w:p>
    <w:p>
      <w:pPr>
        <w:pStyle w:val="Heading1"/>
      </w:pPr>
      <w:r>
        <w:t>Version history</w:t>
      </w:r>
    </w:p>
    <w:tbl>
      <w:tblPr>
        <w:tblW w:type="auto" w:w="0"/>
        <w:jc w:val="center"/>
        <w:tblLayout w:type="fixed"/>
        <w:tblLook w:firstColumn="1" w:firstRow="1" w:lastColumn="0" w:lastRow="0" w:noHBand="0" w:noVBand="1" w:val="04A0"/>
      </w:tblPr>
      <w:tblGrid>
        <w:gridCol w:w="936"/>
        <w:gridCol w:w="1440"/>
        <w:gridCol w:w="7373"/>
      </w:tblGrid>
      <w:tr>
        <w:trPr>
          <w:tblHeader/>
        </w:trPr>
        <w:tc>
          <w:tcPr>
            <w:tcW w:type="dxa" w:w="936"/>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Version</w:t>
            </w:r>
          </w:p>
        </w:tc>
        <w:tc>
          <w:tcPr>
            <w:tcW w:type="dxa" w:w="1440"/>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Date</w:t>
            </w:r>
          </w:p>
        </w:tc>
        <w:tc>
          <w:tcPr>
            <w:tcW w:type="dxa" w:w="7373"/>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Change</w:t>
            </w:r>
          </w:p>
        </w:tc>
      </w:tr>
      <w:t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1.0</w:t>
            </w:r>
          </w:p>
        </w:tc>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1 Oct 2026</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Initial documentation baseline covering the current POC and proposed completion work.</w:t>
            </w:r>
          </w:p>
        </w:tc>
      </w:tr>
    </w:tbl>
    <w:p>
      <w:pPr>
        <w:spacing w:after="40"/>
      </w:pPr>
    </w:p>
    <w:p>
      <w:r>
        <w:t>Approval: pending project owner review. Future revisions should add a dated history entry describing the change and reviewer; preserve earlier entries.</w:t>
      </w:r>
    </w:p>
    <w:p>
      <w:pPr>
        <w:pStyle w:val="Heading1"/>
      </w:pPr>
      <w:r>
        <w:t>System boundaries</w:t>
      </w:r>
    </w:p>
    <w:tbl>
      <w:tblPr>
        <w:tblW w:type="auto" w:w="0"/>
        <w:jc w:val="center"/>
        <w:tblLayout w:type="fixed"/>
        <w:tblLook w:firstColumn="1" w:firstRow="1" w:lastColumn="0" w:lastRow="0" w:noHBand="0" w:noVBand="1" w:val="04A0"/>
      </w:tblPr>
      <w:tblGrid>
        <w:gridCol w:w="2376"/>
        <w:gridCol w:w="7373"/>
      </w:tblGrid>
      <w:tr>
        <w:trPr>
          <w:tblHeader/>
        </w:trPr>
        <w:tc>
          <w:tcPr>
            <w:tcW w:type="dxa" w:w="2376"/>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Component</w:t>
            </w:r>
          </w:p>
        </w:tc>
        <w:tc>
          <w:tcPr>
            <w:tcW w:type="dxa" w:w="7373"/>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Responsibility</w:t>
            </w:r>
          </w:p>
        </w:tc>
      </w:tr>
      <w:t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Browser application</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React and Vite screens; API transport; Cognito account flow; in-memory tokens; device-local demo data.</w:t>
            </w:r>
          </w:p>
        </w:tc>
      </w:tr>
      <w:tr>
        <w:tc>
          <w:tcPr>
            <w:tcW w:type="dxa" w:w="2376"/>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API and Application</w:t>
            </w:r>
          </w:p>
        </w:tc>
        <w:tc>
          <w:tcPr>
            <w:tcW w:type="dxa" w:w="7373"/>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HTTP contracts, JWT validation and ownership policies; listing creation, matching calculators, and AI parsing.</w:t>
            </w:r>
          </w:p>
        </w:tc>
      </w:tr>
      <w:t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Domain and Infrastructure</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Entities and request models; EF Core SQL Server access, migrations, seed data, and database configuration.</w:t>
            </w:r>
          </w:p>
        </w:tc>
      </w:tr>
      <w:tr>
        <w:tc>
          <w:tcPr>
            <w:tcW w:type="dxa" w:w="2376"/>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AWS platform</w:t>
            </w:r>
          </w:p>
        </w:tc>
        <w:tc>
          <w:tcPr>
            <w:tcW w:type="dxa" w:w="7373"/>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Cognito identity; ECR images; ECS tasks; RDS SQL Server; ALB ingress; IAM, Secrets Manager, and CloudWatch.</w:t>
            </w:r>
          </w:p>
        </w:tc>
      </w:tr>
    </w:tbl>
    <w:p>
      <w:pPr>
        <w:spacing w:after="40"/>
      </w:pPr>
    </w:p>
    <w:p>
      <w:r>
        <w:t>Connecto.Database is a separate migration executable. Terraform manages the migration task and several supporting resources; the API service and task family are existing AWS resources referenced by the deployment workflow. A full Terraform-owned API service is not present in this baseline.</w:t>
      </w:r>
    </w:p>
    <w:p>
      <w:r>
        <w:br w:type="page"/>
      </w:r>
    </w:p>
    <w:p>
      <w:pPr>
        <w:pStyle w:val="Heading1"/>
      </w:pPr>
      <w:r>
        <w:t>Request flows and data model</w:t>
      </w:r>
    </w:p>
    <w:p>
      <w:pPr>
        <w:pStyle w:val="Heading1"/>
      </w:pPr>
      <w:r>
        <w:t>Identity and authorised posting</w:t>
      </w:r>
    </w:p>
    <w:p>
      <w:r>
        <w:t>1. The browser sends registration, confirmation, and login requests directly to Cognito. Access and refresh tokens stay in memory. Reloading requires a new login.</w:t>
      </w:r>
    </w:p>
    <w:p>
      <w:r>
        <w:t>2. The browser calls the API with a Bearer access token. Validation checks signature, issuer, expiry, access token type, app client ID, and a nonempty subject. Controllers require authentication; /health is public.</w:t>
      </w:r>
    </w:p>
    <w:p>
      <w:r>
        <w:t>3. CurrentUser maps the Cognito subject to an internal GUID User. A filtered unique AuthSubjectId index prevents duplicate identity mappings. Legacy profiles keep null subjects and are not automatically linked by email.</w:t>
      </w:r>
    </w:p>
    <w:p>
      <w:r>
        <w:t>4. Listing services assign the internal user as owner and persist a Need or Offering. Match endpoints load the resource and enforce the Owner policy before returning results.</w:t>
      </w:r>
    </w:p>
    <w:p>
      <w:pPr>
        <w:pStyle w:val="Heading1"/>
      </w:pPr>
      <w:r>
        <w:t>Matching and parsing</w:t>
      </w:r>
    </w:p>
    <w:p>
      <w:r>
        <w:t>For a need, MatchService reads active offerings, invokes seven calculators, sorts the summed score descending, and returns at most ten results. Reasons are added by calculators that report a match. The frontend demo engine has separate scoring rules; its scores are not interchangeable with backend results.</w:t>
      </w:r>
    </w:p>
    <w:p>
      <w:r>
        <w:t>AI parsing calls an external model through OpenAIListingParser and validates structured output through the listing parse service. It is an authenticated API capability, separate from deterministic matching. The API currently requires an OpenAI key at startup even if parsing is unused.</w:t>
      </w:r>
    </w:p>
    <w:p>
      <w:pPr>
        <w:pStyle w:val="Heading1"/>
      </w:pPr>
      <w:r>
        <w:t>Persistent relationships</w:t>
      </w:r>
    </w:p>
    <w:p>
      <w:r>
        <w:t>User owns Needs and Offerings. NeedSkill and OfferingSkill link listings to Skill. Match is a domain entity, but the current need match route computes ranked results on demand; its existence does not establish a persisted match workflow. ConnectoDbContext and its model snapshot define the database schema.</w:t>
      </w:r>
    </w:p>
    <w:p>
      <w:r>
        <w:br w:type="page"/>
      </w:r>
    </w:p>
    <w:p>
      <w:pPr>
        <w:pStyle w:val="Heading1"/>
      </w:pPr>
      <w:r>
        <w:t>Deployment design and architecture decisions</w:t>
      </w:r>
    </w:p>
    <w:p>
      <w:pPr>
        <w:pStyle w:val="Heading1"/>
      </w:pPr>
      <w:r>
        <w:t>Build and release sequence</w:t>
      </w:r>
    </w:p>
    <w:p>
      <w:r>
        <w:t>Build an image containing the API and migration runner; publish it to ECR. Register a migration task revision with that exact image, run it in database-accessible subnets, wait for completion, and inspect its exit code. Only after success does the workflow deploy the API task and wait for service stability. Manual migration skipping requires deliberate use of the workflow option.</w:t>
      </w:r>
    </w:p>
    <w:p>
      <w:r>
        <w:t>Database credentials are injected from username and password keys in the RDS-managed secret. API and migration runner use the same SqlConnectionStringBuilder helper. Deployed Database settings override the local connection string, with encryption enabled and certificate trust bypass disabled.</w:t>
      </w:r>
    </w:p>
    <w:p>
      <w:pPr>
        <w:pStyle w:val="Heading1"/>
      </w:pPr>
      <w:r>
        <w:t>Decisions and constraints</w:t>
      </w:r>
    </w:p>
    <w:tbl>
      <w:tblPr>
        <w:tblW w:type="auto" w:w="0"/>
        <w:jc w:val="center"/>
        <w:tblLayout w:type="fixed"/>
        <w:tblLook w:firstColumn="1" w:firstRow="1" w:lastColumn="0" w:lastRow="0" w:noHBand="0" w:noVBand="1" w:val="04A0"/>
      </w:tblPr>
      <w:tblGrid>
        <w:gridCol w:w="2304"/>
        <w:gridCol w:w="7445"/>
      </w:tblGrid>
      <w:tr>
        <w:trPr>
          <w:tblHeader/>
        </w:trPr>
        <w:tc>
          <w:tcPr>
            <w:tcW w:type="dxa" w:w="2304"/>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Decision</w:t>
            </w:r>
          </w:p>
        </w:tc>
        <w:tc>
          <w:tcPr>
            <w:tcW w:type="dxa" w:w="7445"/>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Rationale and consequence</w:t>
            </w:r>
          </w:p>
        </w:tc>
      </w:tr>
      <w:t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Cognito identity</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Avoid storing passwords in the application database. Align frontend USER_PASSWORD_AUTH with the Terraform client, which currently permits SRP and refresh flows.</w:t>
            </w:r>
          </w:p>
        </w:tc>
      </w:tr>
      <w:tr>
        <w:tc>
          <w:tcPr>
            <w:tcW w:type="dxa" w:w="2304"/>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SQL Server and EF Core</w:t>
            </w:r>
          </w:p>
        </w:tc>
        <w:tc>
          <w:tcPr>
            <w:tcW w:type="dxa" w:w="7445"/>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Retain the existing relational schema and migration history. Test concurrency and decimal behaviour on SQL Server rather than relying only on InMemory tests.</w:t>
            </w:r>
          </w:p>
        </w:tc>
      </w:tr>
      <w:t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Separate migration task</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Stop a failed migration from releasing an incompatible API. Prefer additive schema changes and separate privileged migration credentials from runtime credentials.</w:t>
            </w:r>
          </w:p>
        </w:tc>
      </w:tr>
      <w:tr>
        <w:tc>
          <w:tcPr>
            <w:tcW w:type="dxa" w:w="2304"/>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Hybrid infrastructure ownership</w:t>
            </w:r>
          </w:p>
        </w:tc>
        <w:tc>
          <w:tcPr>
            <w:tcW w:type="dxa" w:w="7445"/>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Review existing Terraform state and external ECS resources before changing ownership. Do not recreate resources from an empty state.</w:t>
            </w:r>
          </w:p>
        </w:tc>
      </w:tr>
    </w:tbl>
    <w:p>
      <w:pPr>
        <w:spacing w:after="40"/>
      </w:pPr>
    </w:p>
    <w:p>
      <w:pPr>
        <w:pStyle w:val="Heading1"/>
      </w:pPr>
      <w:r>
        <w:t>Operational gaps and source map</w:t>
      </w:r>
    </w:p>
    <w:p>
      <w:r>
        <w:t>Validate private subnet egress or service endpoints, task IAM, ALB configuration, SQL certificate trust, and secret rotation in the target environment. /health is a web-server check, not database readiness. Backups, observability objectives, rate limits, CORS or same-origin hosting, and disaster recovery need explicit release decisions.</w:t>
      </w:r>
    </w:p>
    <w:p>
      <w:r>
        <w:t>Source map: connecto-app/src/services and hooks; connecto-api/Connecto.Api/Authentication and Controllers; Connecto.Application/Internal; Connecto.Infrastructure/Services/Data; terraform; .github/workflows; docs/continuation.md.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Architectural Specification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