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Connecto Business Requirements</w:t>
      </w:r>
    </w:p>
    <w:p>
      <w:r>
        <w:t>Version 1.0  |  1 October 2026</w:t>
      </w:r>
    </w:p>
    <w:p>
      <w:r>
        <w:t>Audience: Product owner and delivery team</w:t>
      </w:r>
    </w:p>
    <w:p>
      <w:r>
        <w:t>Connecto connects people who need help with people offering relevant skills or services. This document defines the POC scope, expected user outcomes, and acceptance criteria for completing the core marketplace journey. Proposed requirements require product approval before they become release commitments.</w:t>
      </w:r>
    </w:p>
    <w:p>
      <w:pPr>
        <w:pStyle w:val="Heading1"/>
      </w:pPr>
      <w:r>
        <w:t>Version history</w:t>
      </w:r>
    </w:p>
    <w:tbl>
      <w:tblPr>
        <w:tblW w:type="auto" w:w="0"/>
        <w:jc w:val="center"/>
        <w:tblLayout w:type="fixed"/>
        <w:tblLook w:firstColumn="1" w:firstRow="1" w:lastColumn="0" w:lastRow="0" w:noHBand="0" w:noVBand="1" w:val="04A0"/>
      </w:tblPr>
      <w:tblGrid>
        <w:gridCol w:w="936"/>
        <w:gridCol w:w="1440"/>
        <w:gridCol w:w="7373"/>
      </w:tblGrid>
      <w:tr>
        <w:trPr>
          <w:tblHeader/>
        </w:trPr>
        <w:tc>
          <w:tcPr>
            <w:tcW w:type="dxa" w:w="936"/>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sz w:val="20"/>
              </w:rPr>
              <w:t>Version</w:t>
            </w:r>
          </w:p>
        </w:tc>
        <w:tc>
          <w:tcPr>
            <w:tcW w:type="dxa" w:w="1440"/>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sz w:val="20"/>
              </w:rPr>
              <w:t>Date</w:t>
            </w:r>
          </w:p>
        </w:tc>
        <w:tc>
          <w:tcPr>
            <w:tcW w:type="dxa" w:w="7373"/>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sz w:val="20"/>
              </w:rPr>
              <w:t>Change</w:t>
            </w:r>
          </w:p>
        </w:tc>
      </w:tr>
      <w:tr>
        <w:tc>
          <w:tcPr>
            <w:tcW w:type="dxa" w:w="9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1.0</w:t>
            </w:r>
          </w:p>
        </w:tc>
        <w:tc>
          <w:tcPr>
            <w:tcW w:type="dxa" w:w="144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1 Oct 2026</w:t>
            </w:r>
          </w:p>
        </w:tc>
        <w:tc>
          <w:tcPr>
            <w:tcW w:type="dxa" w:w="7373"/>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Initial documentation baseline covering the current POC and proposed completion work.</w:t>
            </w:r>
          </w:p>
        </w:tc>
      </w:tr>
    </w:tbl>
    <w:p>
      <w:pPr>
        <w:spacing w:after="40"/>
      </w:pPr>
    </w:p>
    <w:p>
      <w:r>
        <w:t>Approval: pending project owner review. Future revisions should add a dated history entry describing the change and reviewer; preserve earlier entries.</w:t>
      </w:r>
    </w:p>
    <w:p>
      <w:pPr>
        <w:pStyle w:val="Heading1"/>
      </w:pPr>
      <w:r>
        <w:t>Business objective and users</w:t>
      </w:r>
    </w:p>
    <w:p>
      <w:r>
        <w:t>A requester describes a need and compares relevant offerings. A provider publishes an offering so their expertise can be found. One person may act in both roles. The project owner prioritises scope and accepts release evidence; the delivery team implements and verifies each requirement.</w:t>
      </w:r>
    </w:p>
    <w:p>
      <w:pPr>
        <w:pStyle w:val="Heading1"/>
      </w:pPr>
      <w:r>
        <w:t>Scope and release boundary</w:t>
      </w:r>
    </w:p>
    <w:p>
      <w:r>
        <w:t>The current POC includes Cognito registration and login, authenticated listing creation, and ranked matches for a need. Discovery, conversations, and profile edits remain local demonstrations. Payments, subscriptions, identity verification, moderation tooling, real geolocation, and service fulfilment are outside this baseline.</w:t>
      </w:r>
    </w:p>
    <w:p>
      <w:r>
        <w:t>The intended next release completes persistent profiles, discovery, activity retrieval, and reliable matching. Messaging should be a separately approved increment because delivery, access control, and retention are not implemented.</w:t>
      </w:r>
    </w:p>
    <w:p>
      <w:r>
        <w:br w:type="page"/>
      </w:r>
    </w:p>
    <w:p>
      <w:pPr>
        <w:pStyle w:val="Heading1"/>
      </w:pPr>
      <w:r>
        <w:t>Functional requirements and acceptance</w:t>
      </w:r>
    </w:p>
    <w:tbl>
      <w:tblPr>
        <w:tblW w:type="auto" w:w="0"/>
        <w:jc w:val="center"/>
        <w:tblLayout w:type="fixed"/>
        <w:tblLook w:firstColumn="1" w:firstRow="1" w:lastColumn="0" w:lastRow="0" w:noHBand="0" w:noVBand="1" w:val="04A0"/>
      </w:tblPr>
      <w:tblGrid>
        <w:gridCol w:w="792"/>
        <w:gridCol w:w="5976"/>
        <w:gridCol w:w="2981"/>
      </w:tblGrid>
      <w:tr>
        <w:trPr>
          <w:tblHeader/>
        </w:trPr>
        <w:tc>
          <w:tcPr>
            <w:tcW w:type="dxa" w:w="792"/>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sz w:val="20"/>
              </w:rPr>
              <w:t>ID</w:t>
            </w:r>
          </w:p>
        </w:tc>
        <w:tc>
          <w:tcPr>
            <w:tcW w:type="dxa" w:w="5976"/>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sz w:val="20"/>
              </w:rPr>
              <w:t>Requirement and acceptance</w:t>
            </w:r>
          </w:p>
        </w:tc>
        <w:tc>
          <w:tcPr>
            <w:tcW w:type="dxa" w:w="2981"/>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sz w:val="20"/>
              </w:rPr>
              <w:t>Current position</w:t>
            </w:r>
          </w:p>
        </w:tc>
      </w:tr>
      <w:tr>
        <w:tc>
          <w:tcPr>
            <w:tcW w:type="dxa" w:w="79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BR01</w:t>
            </w:r>
          </w:p>
        </w:tc>
        <w:tc>
          <w:tcPr>
            <w:tcW w:type="dxa" w:w="59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Register, confirm email, and log in. Success requires an accepted Cognito access token and a successful profile request.</w:t>
            </w:r>
          </w:p>
        </w:tc>
        <w:tc>
          <w:tcPr>
            <w:tcW w:type="dxa" w:w="2981"/>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Implemented paths; client auth flow needs alignment.</w:t>
            </w:r>
          </w:p>
        </w:tc>
      </w:tr>
      <w:tr>
        <w:tc>
          <w:tcPr>
            <w:tcW w:type="dxa" w:w="792"/>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BR02</w:t>
            </w:r>
          </w:p>
        </w:tc>
        <w:tc>
          <w:tcPr>
            <w:tcW w:type="dxa" w:w="5976"/>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Read and update a profile. Saved changes must survive reload and be returned by the API.</w:t>
            </w:r>
          </w:p>
        </w:tc>
        <w:tc>
          <w:tcPr>
            <w:tcW w:type="dxa" w:w="2981"/>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Profile read exists; edits are local.</w:t>
            </w:r>
          </w:p>
        </w:tc>
      </w:tr>
      <w:tr>
        <w:tc>
          <w:tcPr>
            <w:tcW w:type="dxa" w:w="79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BR03</w:t>
            </w:r>
          </w:p>
        </w:tc>
        <w:tc>
          <w:tcPr>
            <w:tcW w:type="dxa" w:w="59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Post a need with title, description, category, skills, budget, location, and optional deadline. Ownership comes from the authenticated user.</w:t>
            </w:r>
          </w:p>
        </w:tc>
        <w:tc>
          <w:tcPr>
            <w:tcW w:type="dxa" w:w="2981"/>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API and app path exist.</w:t>
            </w:r>
          </w:p>
        </w:tc>
      </w:tr>
      <w:tr>
        <w:tc>
          <w:tcPr>
            <w:tcW w:type="dxa" w:w="792"/>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BR04</w:t>
            </w:r>
          </w:p>
        </w:tc>
        <w:tc>
          <w:tcPr>
            <w:tcW w:type="dxa" w:w="5976"/>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Post an offering with skills, price range, location, remote option, availability, and experience.</w:t>
            </w:r>
          </w:p>
        </w:tc>
        <w:tc>
          <w:tcPr>
            <w:tcW w:type="dxa" w:w="2981"/>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API and app path exist.</w:t>
            </w:r>
          </w:p>
        </w:tc>
      </w:tr>
      <w:tr>
        <w:tc>
          <w:tcPr>
            <w:tcW w:type="dxa" w:w="79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BR05</w:t>
            </w:r>
          </w:p>
        </w:tc>
        <w:tc>
          <w:tcPr>
            <w:tcW w:type="dxa" w:w="59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Show up to ten ranked offerings for an owned need, with criterion scores and understandable reasons. Another user cannot access its matches.</w:t>
            </w:r>
          </w:p>
        </w:tc>
        <w:tc>
          <w:tcPr>
            <w:tcW w:type="dxa" w:w="2981"/>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Backend ranking exists; calibration remains.</w:t>
            </w:r>
          </w:p>
        </w:tc>
      </w:tr>
      <w:tr>
        <w:tc>
          <w:tcPr>
            <w:tcW w:type="dxa" w:w="792"/>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BR06</w:t>
            </w:r>
          </w:p>
        </w:tc>
        <w:tc>
          <w:tcPr>
            <w:tcW w:type="dxa" w:w="5976"/>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Search and filter persisted active offerings and retrieve owned activity after a new session.</w:t>
            </w:r>
          </w:p>
        </w:tc>
        <w:tc>
          <w:tcPr>
            <w:tcW w:type="dxa" w:w="2981"/>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Discovery is a placeholder; activity uses local cache.</w:t>
            </w:r>
          </w:p>
        </w:tc>
      </w:tr>
      <w:tr>
        <w:tc>
          <w:tcPr>
            <w:tcW w:type="dxa" w:w="79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BR07</w:t>
            </w:r>
          </w:p>
        </w:tc>
        <w:tc>
          <w:tcPr>
            <w:tcW w:type="dxa" w:w="59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Clearly label demo data and local conversations. Persistent messaging requires participants-only access and confirmed delivery.</w:t>
            </w:r>
          </w:p>
        </w:tc>
        <w:tc>
          <w:tcPr>
            <w:tcW w:type="dxa" w:w="2981"/>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Local demo only; messaging increment proposed.</w:t>
            </w:r>
          </w:p>
        </w:tc>
      </w:tr>
      <w:tr>
        <w:tc>
          <w:tcPr>
            <w:tcW w:type="dxa" w:w="792"/>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BR08</w:t>
            </w:r>
          </w:p>
        </w:tc>
        <w:tc>
          <w:tcPr>
            <w:tcW w:type="dxa" w:w="5976"/>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Parse free-text listings into reviewable structured fields. Users confirm the result before posting.</w:t>
            </w:r>
          </w:p>
        </w:tc>
        <w:tc>
          <w:tcPr>
            <w:tcW w:type="dxa" w:w="2981"/>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Backend parse routes exist; UI integration proposed.</w:t>
            </w:r>
          </w:p>
        </w:tc>
      </w:tr>
    </w:tbl>
    <w:p>
      <w:pPr>
        <w:spacing w:after="40"/>
      </w:pPr>
    </w:p>
    <w:p>
      <w:r>
        <w:br w:type="page"/>
      </w:r>
    </w:p>
    <w:p>
      <w:pPr>
        <w:pStyle w:val="Heading1"/>
      </w:pPr>
      <w:r>
        <w:t>Quality requirements and product decisions</w:t>
      </w:r>
    </w:p>
    <w:p>
      <w:pPr>
        <w:pStyle w:val="Heading1"/>
      </w:pPr>
      <w:r>
        <w:t>Quality acceptance criteria</w:t>
      </w:r>
    </w:p>
    <w:p>
      <w:r>
        <w:t>Security: anonymous marketplace requests receive 401; authenticated non-owners receive 403 for another person’s match resource. Passwords go to Cognito; the API derives ownership from the token. Never persist tokens or passwords in browser local storage.</w:t>
      </w:r>
    </w:p>
    <w:p>
      <w:r>
        <w:t>Data quality: validate required text, supported skills, nonnegative monetary values, minimum and maximum ordering, and valid date ranges. Confirm whether prices are hourly or total and which currency applies before extending the API contract.</w:t>
      </w:r>
    </w:p>
    <w:p>
      <w:r>
        <w:t>Usability: forms show readable field errors, loading states, empty states, and recoverable errors. Verify keyboard access, narrow-screen layouts, and explicit switching between demo and API mode.</w:t>
      </w:r>
    </w:p>
    <w:p>
      <w:r>
        <w:t>Reliability: migration failure prevents API release. Verify authenticated persistence and matching against SQL Server. Response time targets, availability objectives, backup retention, and restore objectives need agreed values and measured evidence before release.</w:t>
      </w:r>
    </w:p>
    <w:p>
      <w:pPr>
        <w:pStyle w:val="Heading1"/>
      </w:pPr>
      <w:r>
        <w:t>Success measures and open decisions</w:t>
      </w:r>
    </w:p>
    <w:p>
      <w:r>
        <w:t>Track registration completion, successful post creation, match retrieval success, and whether users find a suitable provider. Establish target values after a representative pilot rather than treating invented numbers as acceptance thresholds.</w:t>
      </w:r>
    </w:p>
    <w:p>
      <w:r>
        <w:t>Owner decisions: approve the supported category and skill taxonomy; define currency and pricing units; choose whether messaging belongs in the next release; agree privacy, retention, abuse reporting, and performance targets.</w:t>
      </w:r>
    </w:p>
    <w:p>
      <w:pPr>
        <w:pStyle w:val="Heading1"/>
      </w:pPr>
      <w:r>
        <w:t>Traceability</w:t>
      </w:r>
    </w:p>
    <w:p>
      <w:r>
        <w:t>Current behaviour is grounded in connecto-api controllers and authentication code, connecto-app services and pages, and docs/continuation.md. BR01 to BR08 map to the completion phases in Connecto Implementation Plan. Code takes precedence over older README examples.</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Connecto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Connecto Business Requirements</dc:title>
  <dc:subject/>
  <dc:creator>Connecto</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